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/>
          <w:b/>
          <w:color w:val="2E74B5"/>
          <w:sz w:val="24"/>
        </w:rPr>
        <w:t>GUÍA DE ESTRUCTURA E INTERPRETACIÓN</w:t>
      </w:r>
    </w:p>
    <w:p>
      <w:pPr>
        <w:spacing w:after="100"/>
      </w:pPr>
      <w:r>
        <w:rPr>
          <w:rFonts w:ascii="Calibri" w:hAnsi="Calibri"/>
          <w:b/>
          <w:color w:val="0B2545"/>
          <w:sz w:val="46"/>
        </w:rPr>
        <w:t>Criterios AGS Beers 2023 (Bxx) en SIGRAM-AM</w:t>
      </w:r>
    </w:p>
    <w:p>
      <w:pPr>
        <w:spacing w:after="320"/>
      </w:pPr>
      <w:r>
        <w:rPr>
          <w:rFonts w:ascii="Calibri" w:hAnsi="Calibri"/>
          <w:color w:val="5B6573"/>
          <w:sz w:val="23"/>
        </w:rPr>
        <w:t>Cómo se organiza el catálogo, qué significa cada resultado y dónde se requiere especial cuidado.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2"/>
              </w:rPr>
              <w:t xml:space="preserve">Propósito. </w:t>
            </w:r>
            <w:r>
              <w:rPr>
                <w:rFonts w:ascii="Calibri" w:hAnsi="Calibri"/>
                <w:color w:val="7A5A00"/>
                <w:sz w:val="22"/>
              </w:rPr>
              <w:t>Esta guía describe la traducción operativa de los criterios Beers al catálogo B01-B23 de SIGRAM. No sustituye el juicio clínico ni autoriza decisiones terapéuticas automáticas.</w:t>
            </w:r>
          </w:p>
        </w:tc>
      </w:tr>
    </w:tbl>
    <w:p>
      <w:pPr>
        <w:pStyle w:val="Heading1"/>
      </w:pPr>
      <w:r>
        <w:t>1. Cómo se estructura el catálogo Bxx</w:t>
      </w:r>
    </w:p>
    <w:p>
      <w:r>
        <w:rPr>
          <w:rFonts w:ascii="Calibri" w:hAnsi="Calibri"/>
          <w:color w:val="0B2545"/>
          <w:sz w:val="22"/>
        </w:rPr>
        <w:t>Los códigos B01-B23 son identificadores operativos de SIGRAM y de la tabla del Dr. Armando. No reemplazan la numeración ni el texto original de AGS Beers. Cada regla debe conservar el vínculo con su tabla fuente, condición clínica, dato requerido y comportamiento de salida.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Elemento de cada regla Bxx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Contenido mínimo que debe conservar SIGRAM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Código y fuente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Bxx, tabla AGS de origen, sección y versión del catálogo.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Exposición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Medicamento, clase farmacológica o combinación activa detectada.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Precondición clínica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Edad, diagnóstico, función renal, duración, indicación o antecedente necesario.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Regla y resultado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Lógica reproducible y estado: activado, no aplicable, requiere información, revisión manual o sin alerta.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Trazabilidad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Racional, recomendación, datos usados, datos faltantes y versión aplicada.</w:t>
            </w:r>
          </w:p>
        </w:tc>
      </w:tr>
    </w:tbl>
    <w:p>
      <w:pPr>
        <w:spacing w:after="40"/>
      </w:pPr>
    </w:p>
    <w:p>
      <w:pPr>
        <w:pStyle w:val="Heading1"/>
      </w:pPr>
      <w:r>
        <w:t>2. Tablas AGS Beers 2023 y relación con Bxx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470"/>
        <w:gridCol w:w="344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Tabla AGS</w:t>
            </w:r>
          </w:p>
        </w:tc>
        <w:tc>
          <w:tcPr>
            <w:tcW w:type="dxa" w:w="44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Qué evalúa</w:t>
            </w:r>
          </w:p>
        </w:tc>
        <w:tc>
          <w:tcPr>
            <w:tcW w:type="dxa" w:w="3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Ejemplos de criterios Bxx en el catálogo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Tabla 2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Medicamentos potencialmente inapropiados por sí mismos; requiere contexto como duración, indicación o riesgo.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B01, B02, B04, B05, B09, B10.</w:t>
            </w:r>
          </w:p>
        </w:tc>
      </w:tr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Tabla 3</w:t>
            </w:r>
          </w:p>
        </w:tc>
        <w:tc>
          <w:tcPr>
            <w:tcW w:type="dxa" w:w="44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Interacción medicamento-enfermedad o síndrome; la enfermedad debe estar documentada.</w:t>
            </w:r>
          </w:p>
        </w:tc>
        <w:tc>
          <w:tcPr>
            <w:tcW w:type="dxa" w:w="3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B06, B07, B13 y B23.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Tabla 4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Medicamentos de uso con precaución; no equivalen automáticamente a “evitar”.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B11 y otros que dependan de monitorización.</w:t>
            </w:r>
          </w:p>
        </w:tc>
      </w:tr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Tabla 5</w:t>
            </w:r>
          </w:p>
        </w:tc>
        <w:tc>
          <w:tcPr>
            <w:tcW w:type="dxa" w:w="44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Interacciones medicamento-medicamento; se evalúan combinaciones simultáneas.</w:t>
            </w:r>
          </w:p>
        </w:tc>
        <w:tc>
          <w:tcPr>
            <w:tcW w:type="dxa" w:w="3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B15-B18, B21 y B22.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Tabla 6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Medicamentos que requieren evitarse o ajuste según función renal.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B08, B19 y B20.</w:t>
            </w:r>
          </w:p>
        </w:tc>
      </w:tr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Tabla 7</w:t>
            </w:r>
          </w:p>
        </w:tc>
        <w:tc>
          <w:tcPr>
            <w:tcW w:type="dxa" w:w="44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Clasificación de fármacos con propiedades anticolinérgicas fuertes.</w:t>
            </w:r>
          </w:p>
        </w:tc>
        <w:tc>
          <w:tcPr>
            <w:tcW w:type="dxa" w:w="3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B03 apoya la evaluación de B18; no es un hallazgo independiente.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3. Regla de oro para interpretar los resultados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Activado: se verificaron exposición y condiciones clínicas requeridas. Es una alerta de tamizaje, no una prescripción.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Requiere información: falta un dato que sí puede cambiar el resultado, por ejemplo duración, indicación, función renal, formulación o estado sintomático.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No aplicable: el paciente no tiene la condición clínica a la que se refiere el criterio en la evaluación histórica disponible.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Revisión manual: existe una zona de incertidumbre o una adaptación local; el sistema no debe decidir por el clínico.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Sin alerta: la exposición o la condición necesaria no se identificó con los datos disponibles.</w:t>
      </w:r>
    </w:p>
    <w:p>
      <w:pPr>
        <w:pStyle w:val="Heading1"/>
      </w:pPr>
      <w:r>
        <w:t>4. Criterios que requieren mayor cuidado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0"/>
        <w:gridCol w:w="3400"/>
        <w:gridCol w:w="3720"/>
      </w:tblGrid>
      <w:tr>
        <w:trPr>
          <w:tblHeader w:val="true"/>
        </w:trPr>
        <w:tc>
          <w:tcPr>
            <w:tcW w:type="dxa" w:w="2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Grupo / criterio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Riesgo de error</w:t>
            </w:r>
          </w:p>
        </w:tc>
        <w:tc>
          <w:tcPr>
            <w:tcW w:type="dxa" w:w="3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Implementación correcta en SIGRAM</w:t>
            </w:r>
          </w:p>
        </w:tc>
      </w:tr>
      <w:tr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B03 y B18</w:t>
              <w:br/>
              <w:t>Anticolinérgicos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Confundir una clasificación farmacológica con un hallazgo clínico.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B03 clasifica. B18 solo se activa al identificar dos o más fármacos anticolinérgicos fuertes activos.</w:t>
            </w:r>
          </w:p>
        </w:tc>
      </w:tr>
      <w:tr>
        <w:tc>
          <w:tcPr>
            <w:tcW w:type="dxa" w:w="2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B04 y B05</w:t>
              <w:br/>
              <w:t>IBP/AINE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Alertar sin conocer duración, indicación de mantenimiento, riesgo GI o gastroprotección.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Solicitar esos campos; con ausencia de información, mostrar “requiere información”, no “evitar”.</w:t>
            </w:r>
          </w:p>
        </w:tc>
      </w:tr>
      <w:tr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B06</w:t>
              <w:br/>
              <w:t>AINE + insuficiencia cardiaca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Usar el criterio sin diagnóstico de insuficiencia cardiaca o sin diferenciar síntomas.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Con IC sintomática: evitar. Con IC asintomática: usar con precaución. IC conocida sin estado: requiere información. Sin evidencia de IC: no aplicable en evaluación histórica.</w:t>
            </w:r>
          </w:p>
        </w:tc>
      </w:tr>
      <w:tr>
        <w:tc>
          <w:tcPr>
            <w:tcW w:type="dxa" w:w="2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B11</w:t>
              <w:br/>
              <w:t>Hiponatremia/SIADH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Interpretar “usar con precaución” como contraindicación.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Mantener como señal de seguimiento, especialmente al iniciar o modificar dosis; registrar sodio y momento terapéutico.</w:t>
            </w:r>
          </w:p>
        </w:tc>
      </w:tr>
      <w:tr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B15-B17</w:t>
              <w:br/>
              <w:t>SNC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Contar medicamentos en vez de clases, o ignorar excepciones clínicas.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B15 y B16 se basan en combinaciones específicas. B17 exige tres o más clases activas del SNC, no tres fármacos de la misma clase.</w:t>
            </w:r>
          </w:p>
        </w:tc>
      </w:tr>
      <w:tr>
        <w:tc>
          <w:tcPr>
            <w:tcW w:type="dxa" w:w="2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B19-B20</w:t>
              <w:br/>
              <w:t>Función renal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Tratar eGFR y CrCl como equivalentes automáticos.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El paper usa principalmente CrCl. Si ESSI aporta eGFR, declarar la aproximación y validar clínicamente el método antes de cerrar la regla.</w:t>
            </w:r>
          </w:p>
        </w:tc>
      </w:tr>
      <w:tr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B21</w:t>
              <w:br/>
              <w:t>Doble bloqueo SRA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Detectar solo dos IECA/ARA-II y omitir diurético ahorrador de potasio o ERC.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Exigir ERC estadio 3a o mayor y detectar tanto dos o más inhibidores SRA como SRA + diurético ahorrador de potasio.</w:t>
            </w:r>
          </w:p>
        </w:tc>
      </w:tr>
      <w:tr>
        <w:tc>
          <w:tcPr>
            <w:tcW w:type="dxa" w:w="2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B23</w:t>
              <w:br/>
              <w:t>Tamsulosina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Convertir evidencia limitada en una alerta automática de “evitar”.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Mantener revisión manual ante síncope o hipotensión ortostática; requiere valoración individual.</w:t>
            </w:r>
          </w:p>
        </w:tc>
      </w:tr>
    </w:tbl>
    <w:p>
      <w:pPr>
        <w:spacing w:after="40"/>
      </w:pPr>
    </w:p>
    <w:p>
      <w:pPr>
        <w:pStyle w:val="Heading1"/>
      </w:pPr>
      <w:r>
        <w:t>5. Por qué una tabla o un resultado puede cambiar</w:t>
      </w:r>
    </w:p>
    <w:p>
      <w:r>
        <w:rPr>
          <w:rFonts w:ascii="Calibri" w:hAnsi="Calibri"/>
          <w:color w:val="0B2545"/>
          <w:sz w:val="22"/>
        </w:rPr>
        <w:t>Un cambio no siempre significa que el sistema “se equivocó”. Debe identificarse cuál de las siguientes capas cambió: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Fuente AGS: una actualización del paper modifica criterios, evidencia, umbrales o recomendaciones.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Tabla operativa: el Dr. Armando puede seleccionar criterios prioritarios, añadir una nota de implementación o ajustar el alcance del piloto.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Catálogo farmacológico: nuevos medicamentos, normalizaciones de nombres o cambios de clase pueden alterar qué criterio se evalúa.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Datos del paciente: al incorporar triaje, antecedentes, diagnósticos, duración o laboratorios, un criterio puede pasar de “requiere información” a evaluable.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Lógica SIGRAM: una corrección de regla puede eliminar falsos positivos o recuperar hallazgos que antes no se identificaban.</w:t>
      </w:r>
    </w:p>
    <w:p>
      <w:pPr>
        <w:pStyle w:val="Heading1"/>
      </w:pPr>
      <w:r>
        <w:t>6. Requisitos mínimos de gobernanza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Versionar por separado: paper/fuente, tabla operativa, catálogo de medicamentos y motor de reglas.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Conservar en cada resultado la versión usada, medicamentos implicados, datos clínicos y justificación legible.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Validar con el equipo clínico toda equivalencia eGFR-CrCl, definición de enfermedad crónica y regla con excepción terapéutica.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Nunca presentar una sugerencia de SIGRAM como orden médica. El resultado debe orientar revisión profesional.</w:t>
      </w:r>
    </w:p>
    <w:p>
      <w:pPr>
        <w:pStyle w:val="Heading1"/>
      </w:pPr>
      <w:r>
        <w:t>Fuentes de referencia</w:t>
      </w:r>
    </w:p>
    <w:p>
      <w:pPr>
        <w:spacing w:after="60"/>
      </w:pPr>
      <w:r>
        <w:rPr>
          <w:rFonts w:ascii="Calibri" w:hAnsi="Calibri"/>
          <w:i/>
          <w:color w:val="5B6573"/>
          <w:sz w:val="19"/>
        </w:rPr>
        <w:t>American Geriatrics Society 2023 updated AGS Beers Criteria® for potentially inappropriate medication use in older adults.</w:t>
      </w:r>
    </w:p>
    <w:p>
      <w:pPr>
        <w:spacing w:after="0"/>
      </w:pPr>
      <w:r>
        <w:rPr>
          <w:rFonts w:ascii="Calibri" w:hAnsi="Calibri"/>
          <w:i/>
          <w:color w:val="5B6573"/>
          <w:sz w:val="19"/>
        </w:rPr>
        <w:t>Tabla operativa: top_meds_list_beers_stopp_start_v3-20260730.xlsx (Dr. Armando / proyecto SIGRAM).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B6573"/>
        <w:sz w:val="17"/>
      </w:rPr>
      <w:t>Documento de trabajo - validación clínica requerida antes de uso asistencial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B6573"/>
        <w:sz w:val="17"/>
      </w:rPr>
      <w:t>SIGRAM-AM | Guía de referencia clínica-operativa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estructura e interpretación de criterios Beers en SIGRAM</dc:title>
  <dc:subject>Referencia clínica-operativa para criterios Bxx</dc:subject>
  <dc:creator>SIGRAM-AM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