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98F0E" w14:textId="556FA116" w:rsidR="006B389B" w:rsidRPr="00DB2726" w:rsidRDefault="005430A4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Análise Estatística</w:t>
      </w:r>
      <w:r w:rsidR="000441AC" w:rsidRPr="00DB2726">
        <w:rPr>
          <w:rFonts w:ascii="Times New Roman" w:hAnsi="Times New Roman" w:cs="Times New Roman"/>
        </w:rPr>
        <w:t xml:space="preserve"> / Métodos</w:t>
      </w:r>
    </w:p>
    <w:p w14:paraId="4E99FCD1" w14:textId="304F6C71" w:rsidR="005430A4" w:rsidRPr="00DB2726" w:rsidRDefault="005430A4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Devido ao tamanho amostral limitado, as variáveis numéricas foram descritas usando medidas de tendência central e dispersão, especificamente a mediana, o primeiro quartil (Q1) e o terceiro quartil (Q3). As variáveis categóricas foram descritas utilizando frequências relativas, expressas em porcentagem.</w:t>
      </w:r>
    </w:p>
    <w:p w14:paraId="71B0412A" w14:textId="1152C14C" w:rsidR="005430A4" w:rsidRPr="00DB2726" w:rsidRDefault="005430A4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Para avaliar a associação entre variáveis numéricas e categóricas, empregou-se o teste</w:t>
      </w:r>
      <w:r w:rsidR="000441AC" w:rsidRPr="00DB2726">
        <w:rPr>
          <w:rFonts w:ascii="Times New Roman" w:hAnsi="Times New Roman" w:cs="Times New Roman"/>
        </w:rPr>
        <w:t xml:space="preserve"> não paramétrico</w:t>
      </w:r>
      <w:r w:rsidRPr="00DB2726">
        <w:rPr>
          <w:rFonts w:ascii="Times New Roman" w:hAnsi="Times New Roman" w:cs="Times New Roman"/>
        </w:rPr>
        <w:t xml:space="preserve"> de Mann-Whitney. No caso de comparações entre variáveis categóricas, o teste de Fisher foi utilizado quando ambas as variáveis tinham dois níveis. Para variáveis categóricas com três níveis ou mais, utilizou-se o teste do </w:t>
      </w:r>
      <w:proofErr w:type="spellStart"/>
      <w:r w:rsidRPr="00DB2726">
        <w:rPr>
          <w:rFonts w:ascii="Times New Roman" w:hAnsi="Times New Roman" w:cs="Times New Roman"/>
        </w:rPr>
        <w:t>qui</w:t>
      </w:r>
      <w:proofErr w:type="spellEnd"/>
      <w:r w:rsidRPr="00DB2726">
        <w:rPr>
          <w:rFonts w:ascii="Times New Roman" w:hAnsi="Times New Roman" w:cs="Times New Roman"/>
        </w:rPr>
        <w:t>-quadrado.</w:t>
      </w:r>
    </w:p>
    <w:p w14:paraId="635CA98E" w14:textId="651E4682" w:rsidR="005430A4" w:rsidRPr="00DB2726" w:rsidRDefault="005430A4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É importante destacar que, mesmo quando os resultados não atingiram um valor de p &lt; 0,05, alguns foram considerados estatisticamente tendenciosos e clinicamente relevantes.</w:t>
      </w:r>
    </w:p>
    <w:p w14:paraId="471D5E5F" w14:textId="3998E139" w:rsidR="0011487A" w:rsidRPr="008D0271" w:rsidRDefault="005430A4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Resultados</w:t>
      </w:r>
    </w:p>
    <w:p w14:paraId="37CFD763" w14:textId="6A70FCC1" w:rsidR="0011487A" w:rsidRPr="0011487A" w:rsidRDefault="0011487A" w:rsidP="00097306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11487A">
        <w:rPr>
          <w:rFonts w:ascii="Times New Roman" w:hAnsi="Times New Roman" w:cs="Times New Roman"/>
          <w:b/>
          <w:bCs/>
          <w:color w:val="FF0000"/>
        </w:rPr>
        <w:t>SUGIRO SEPARAR EM 3 TÓPICOS ESSE TEXTO</w:t>
      </w:r>
    </w:p>
    <w:p w14:paraId="31EFBAAE" w14:textId="27197B16" w:rsidR="0011487A" w:rsidRPr="0011487A" w:rsidRDefault="0011487A" w:rsidP="00097306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11487A">
        <w:rPr>
          <w:rFonts w:ascii="Times New Roman" w:hAnsi="Times New Roman" w:cs="Times New Roman"/>
          <w:b/>
          <w:bCs/>
          <w:color w:val="FF0000"/>
        </w:rPr>
        <w:t>TAXA DE ESTENOSE</w:t>
      </w:r>
    </w:p>
    <w:p w14:paraId="18177D94" w14:textId="317FEFF2" w:rsidR="0011487A" w:rsidRPr="0011487A" w:rsidRDefault="0011487A" w:rsidP="00097306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11487A">
        <w:rPr>
          <w:rFonts w:ascii="Times New Roman" w:hAnsi="Times New Roman" w:cs="Times New Roman"/>
          <w:b/>
          <w:bCs/>
          <w:color w:val="FF0000"/>
        </w:rPr>
        <w:t>NÚMERO DE DILATAÇÕES</w:t>
      </w:r>
    </w:p>
    <w:p w14:paraId="677A1630" w14:textId="339731B9" w:rsidR="0011487A" w:rsidRPr="0011487A" w:rsidRDefault="0011487A" w:rsidP="00097306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11487A">
        <w:rPr>
          <w:rFonts w:ascii="Times New Roman" w:hAnsi="Times New Roman" w:cs="Times New Roman"/>
          <w:b/>
          <w:bCs/>
          <w:color w:val="FF0000"/>
        </w:rPr>
        <w:t>TAXA DE COMPLICAÇÕES</w:t>
      </w:r>
    </w:p>
    <w:p w14:paraId="2EF658BB" w14:textId="77777777" w:rsidR="0011487A" w:rsidRPr="0011487A" w:rsidRDefault="0011487A" w:rsidP="00097306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493F0B41" w14:textId="3EB5FE05" w:rsidR="0011487A" w:rsidRDefault="0011487A" w:rsidP="00097306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11487A">
        <w:rPr>
          <w:rFonts w:ascii="Times New Roman" w:hAnsi="Times New Roman" w:cs="Times New Roman"/>
          <w:b/>
          <w:bCs/>
          <w:color w:val="FF0000"/>
        </w:rPr>
        <w:t>DENTRO DESSE TÓPICOS ALÉM DAS AVALIÇÕES JÁ FEITAS CALCULAR NOS SUBGRUPOS</w:t>
      </w:r>
      <w:r w:rsidR="0019491D">
        <w:rPr>
          <w:rFonts w:ascii="Times New Roman" w:hAnsi="Times New Roman" w:cs="Times New Roman"/>
          <w:b/>
          <w:bCs/>
          <w:color w:val="FF0000"/>
        </w:rPr>
        <w:t xml:space="preserve"> (</w:t>
      </w:r>
      <w:r w:rsidRPr="0011487A">
        <w:rPr>
          <w:rFonts w:ascii="Times New Roman" w:hAnsi="Times New Roman" w:cs="Times New Roman"/>
          <w:b/>
          <w:bCs/>
          <w:color w:val="FF0000"/>
        </w:rPr>
        <w:t>CIRCUNFERECIAL</w:t>
      </w:r>
      <w:r w:rsidR="0019491D">
        <w:rPr>
          <w:rFonts w:ascii="Times New Roman" w:hAnsi="Times New Roman" w:cs="Times New Roman"/>
          <w:b/>
          <w:bCs/>
          <w:color w:val="FF0000"/>
        </w:rPr>
        <w:t xml:space="preserve">, </w:t>
      </w:r>
      <w:r w:rsidRPr="0011487A">
        <w:rPr>
          <w:rFonts w:ascii="Times New Roman" w:hAnsi="Times New Roman" w:cs="Times New Roman"/>
          <w:b/>
          <w:bCs/>
          <w:color w:val="FF0000"/>
        </w:rPr>
        <w:t>NÃO CIRCUNFERENCIAL</w:t>
      </w:r>
      <w:r w:rsidR="0019491D">
        <w:rPr>
          <w:rFonts w:ascii="Times New Roman" w:hAnsi="Times New Roman" w:cs="Times New Roman"/>
          <w:b/>
          <w:bCs/>
          <w:color w:val="FF0000"/>
        </w:rPr>
        <w:t>)</w:t>
      </w:r>
    </w:p>
    <w:p w14:paraId="3462D439" w14:textId="7E2C6E2A" w:rsidR="00C47499" w:rsidRPr="00C47499" w:rsidRDefault="00C47499" w:rsidP="00097306">
      <w:pPr>
        <w:jc w:val="both"/>
        <w:rPr>
          <w:rFonts w:ascii="Times New Roman" w:hAnsi="Times New Roman" w:cs="Times New Roman"/>
          <w:b/>
          <w:bCs/>
        </w:rPr>
      </w:pPr>
      <w:r w:rsidRPr="00DB2726">
        <w:rPr>
          <w:rFonts w:ascii="Times New Roman" w:hAnsi="Times New Roman" w:cs="Times New Roman"/>
          <w:b/>
          <w:bCs/>
        </w:rPr>
        <w:t>Análise por grupos: Oral e Injetável</w:t>
      </w:r>
    </w:p>
    <w:tbl>
      <w:tblPr>
        <w:tblW w:w="10159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989"/>
        <w:gridCol w:w="1985"/>
        <w:gridCol w:w="1984"/>
        <w:gridCol w:w="804"/>
        <w:gridCol w:w="1275"/>
      </w:tblGrid>
      <w:tr w:rsidR="005F42F5" w:rsidRPr="005F42F5" w14:paraId="7DA2C131" w14:textId="77777777" w:rsidTr="008D0271">
        <w:trPr>
          <w:trHeight w:val="2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F869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Variaveis</w:t>
            </w:r>
            <w:proofErr w:type="spellEnd"/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EBBD8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(n=30)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364C" w14:textId="51D0DF13" w:rsidR="005F42F5" w:rsidRPr="005F42F5" w:rsidRDefault="008D0271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D02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</w:t>
            </w:r>
            <w:r w:rsidR="005F42F5"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ral (n=15)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4B995" w14:textId="17300898" w:rsidR="005F42F5" w:rsidRPr="005F42F5" w:rsidRDefault="008D0271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D02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</w:t>
            </w:r>
            <w:r w:rsidR="005F42F5"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njetável (n=15)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56E7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CA96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Teste Usado</w:t>
            </w:r>
          </w:p>
        </w:tc>
      </w:tr>
      <w:tr w:rsidR="005F42F5" w:rsidRPr="005F42F5" w14:paraId="72549222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A79CC" w14:textId="77777777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Idade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F70D5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[56.75 - 69.75]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8089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[59.50 - 76.00]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7C37D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[55.00 - 63.50]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36355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6944F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Mann-Whitney</w:t>
            </w:r>
          </w:p>
        </w:tc>
      </w:tr>
      <w:tr w:rsidR="005F42F5" w:rsidRPr="005F42F5" w14:paraId="436A6642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710B9" w14:textId="77777777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Sexo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9521D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FF243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B201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BD03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9DE19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Fisher </w:t>
            </w:r>
            <w:proofErr w:type="spellStart"/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Exact</w:t>
            </w:r>
            <w:proofErr w:type="spellEnd"/>
          </w:p>
        </w:tc>
      </w:tr>
      <w:tr w:rsidR="005F42F5" w:rsidRPr="005F42F5" w14:paraId="5C3AAB57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1D182" w14:textId="77777777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Feminino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58C4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(6)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D50A9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26.67 (4)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C4E17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13.33 (2)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BB5E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CFE75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F42F5" w:rsidRPr="005F42F5" w14:paraId="0326298E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0477" w14:textId="77777777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Masculino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43D99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(24)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BCD6E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73.33 (11)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4CD4E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86.67 (13)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4E2BB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AFF05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F42F5" w:rsidRPr="005F42F5" w14:paraId="53100614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4CBAE" w14:textId="77777777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Tumor </w:t>
            </w:r>
            <w:proofErr w:type="spellStart"/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Primario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BAAA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(20)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DE2D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(9)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F5D0F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73.33 (11)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D3D3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3B84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Fisher </w:t>
            </w:r>
            <w:proofErr w:type="spellStart"/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Exact</w:t>
            </w:r>
            <w:proofErr w:type="spellEnd"/>
          </w:p>
        </w:tc>
      </w:tr>
      <w:tr w:rsidR="005F42F5" w:rsidRPr="005F42F5" w14:paraId="1A2E9B0F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5FFEA" w14:textId="77777777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Localização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74E5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C5A93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B63AA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B3552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945FC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Chi-</w:t>
            </w:r>
            <w:proofErr w:type="spellStart"/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5F42F5" w:rsidRPr="005F42F5" w14:paraId="4E48C25E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3F02" w14:textId="77777777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Distal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0D7D0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23.33 (7)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2738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(3)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17552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26.67 (4)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ACCC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D811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F42F5" w:rsidRPr="005F42F5" w14:paraId="36D83EFB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60D8" w14:textId="77777777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Médio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1305C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(18)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916DC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(9)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EBCCD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(9)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DFE3B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FDB8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F42F5" w:rsidRPr="005F42F5" w14:paraId="265EDA57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F36F" w14:textId="77777777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Proximal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BB167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16.67 (5)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1B294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(3)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C2D7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13.33 (2)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B7B3B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916E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F42F5" w:rsidRPr="005F42F5" w14:paraId="3807E8BF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B09FC" w14:textId="77777777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BBE0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[5.00 - 7.00]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441C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[5.00 - 6.50]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FC7CE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[5.50 - 7.25]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F74F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8ADC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Mann-Whitney</w:t>
            </w:r>
          </w:p>
        </w:tc>
      </w:tr>
      <w:tr w:rsidR="005F42F5" w:rsidRPr="005F42F5" w14:paraId="69500DB4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8C486" w14:textId="77777777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Margens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81A0E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489A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A1AA7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6949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CEF95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Fisher </w:t>
            </w:r>
            <w:proofErr w:type="spellStart"/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Exact</w:t>
            </w:r>
            <w:proofErr w:type="spellEnd"/>
          </w:p>
        </w:tc>
      </w:tr>
      <w:tr w:rsidR="005F42F5" w:rsidRPr="005F42F5" w14:paraId="11D7329E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AA5DB" w14:textId="77777777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Comprometidas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98E0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(3)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ACCD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6.67 (1)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361A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13.33 (2)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C4036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83D5F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F42F5" w:rsidRPr="005F42F5" w14:paraId="7BBC50DC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875B" w14:textId="77777777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Livres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6B21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90.00 (27)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085E4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93.33 (14)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D3871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86.67 (13)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B453B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BDC7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F42F5" w:rsidRPr="005F42F5" w14:paraId="281597BC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6F266" w14:textId="77777777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Circunferêncial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DEAE1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36.67 (11)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7994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(6)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D0A51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(5)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A051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0390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Fisher </w:t>
            </w:r>
            <w:proofErr w:type="spellStart"/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Exact</w:t>
            </w:r>
            <w:proofErr w:type="spellEnd"/>
          </w:p>
        </w:tc>
      </w:tr>
      <w:tr w:rsidR="005F42F5" w:rsidRPr="005F42F5" w14:paraId="4C8F67B0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DAD7" w14:textId="02BD0CAA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Estenose na </w:t>
            </w:r>
            <w:r w:rsidR="008D0271"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4ª Semana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A5841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44.83 (13)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8698A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53.33 (8)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5A840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35.71 (5)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48646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2244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Fisher </w:t>
            </w:r>
            <w:proofErr w:type="spellStart"/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Exact</w:t>
            </w:r>
            <w:proofErr w:type="spellEnd"/>
          </w:p>
        </w:tc>
      </w:tr>
      <w:tr w:rsidR="005F42F5" w:rsidRPr="005F42F5" w14:paraId="3ACCB094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B4BD" w14:textId="4FC71623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Estenose na </w:t>
            </w:r>
            <w:r w:rsidR="008D0271"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8ª Semana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77C6C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(12)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F2D5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(6)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A6AD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(6)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317C3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3504E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Fisher </w:t>
            </w:r>
            <w:proofErr w:type="spellStart"/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Exact</w:t>
            </w:r>
            <w:proofErr w:type="spellEnd"/>
          </w:p>
        </w:tc>
      </w:tr>
      <w:tr w:rsidR="005F42F5" w:rsidRPr="005F42F5" w14:paraId="471BAE1B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FB5A" w14:textId="2C4F9F11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Estenose na </w:t>
            </w:r>
            <w:r w:rsidR="008D0271"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12ª Semana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8084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(12)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8131B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1D3C4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35.71 (5)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5E1B1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014D2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Fisher </w:t>
            </w:r>
            <w:proofErr w:type="spellStart"/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Exact</w:t>
            </w:r>
            <w:proofErr w:type="spellEnd"/>
          </w:p>
        </w:tc>
      </w:tr>
      <w:tr w:rsidR="005F42F5" w:rsidRPr="005F42F5" w14:paraId="5FA5943F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31848" w14:textId="6A0FAE63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Estenose na </w:t>
            </w:r>
            <w:r w:rsidR="008D0271"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16ª Semana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726CD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35.71 (10)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83322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(6)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5CB7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30.77 (4)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7CF9D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B30C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Fisher </w:t>
            </w:r>
            <w:proofErr w:type="spellStart"/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Exact</w:t>
            </w:r>
            <w:proofErr w:type="spellEnd"/>
          </w:p>
        </w:tc>
      </w:tr>
      <w:tr w:rsidR="005F42F5" w:rsidRPr="005F42F5" w14:paraId="50A303FA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1A43" w14:textId="3CB1D93B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Estenose na </w:t>
            </w:r>
            <w:r w:rsidR="008D0271"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20ª Semana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7354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37.93 (11)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E2212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46.67 (7)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E1475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28.57 (4)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B987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2E89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Fisher </w:t>
            </w:r>
            <w:proofErr w:type="spellStart"/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Exact</w:t>
            </w:r>
            <w:proofErr w:type="spellEnd"/>
          </w:p>
        </w:tc>
      </w:tr>
      <w:tr w:rsidR="005F42F5" w:rsidRPr="005F42F5" w14:paraId="438F475A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6F3B" w14:textId="06C37559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Estenose na </w:t>
            </w:r>
            <w:r w:rsidR="008D0271"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24ª Semana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E301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28.57 (8)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7C86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(5)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DEE62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23.08 (3)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EE6F0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E6E04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Fisher </w:t>
            </w:r>
            <w:proofErr w:type="spellStart"/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Exact</w:t>
            </w:r>
            <w:proofErr w:type="spellEnd"/>
          </w:p>
        </w:tc>
      </w:tr>
      <w:tr w:rsidR="005F42F5" w:rsidRPr="005F42F5" w14:paraId="7BF4F764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0E80" w14:textId="77777777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Presença de Estenose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374B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53.33 (16)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F637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(10)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957C7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(6)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91ED2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3A99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Fisher </w:t>
            </w:r>
            <w:proofErr w:type="spellStart"/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Exact</w:t>
            </w:r>
            <w:proofErr w:type="spellEnd"/>
          </w:p>
        </w:tc>
      </w:tr>
      <w:tr w:rsidR="005F42F5" w:rsidRPr="005F42F5" w14:paraId="28B862F0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A23F" w14:textId="77777777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Resolução de Estenose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452E3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46.67 (7)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75A7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(5)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A616F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(2)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AA07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AC0D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Fisher </w:t>
            </w:r>
            <w:proofErr w:type="spellStart"/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Exact</w:t>
            </w:r>
            <w:proofErr w:type="spellEnd"/>
          </w:p>
        </w:tc>
      </w:tr>
      <w:tr w:rsidR="008D0271" w:rsidRPr="005F42F5" w14:paraId="1D0615E5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86076" w14:textId="77777777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Basal (</w:t>
            </w:r>
            <w:proofErr w:type="spellStart"/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gm</w:t>
            </w:r>
            <w:proofErr w:type="spellEnd"/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96F72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113.00 [102.75 - 126.50]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56DCA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122.50 [113.50 - 136.75]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9E25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105.50 [102.25 - 113.75]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E162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54D4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Mann-Whitney</w:t>
            </w:r>
          </w:p>
        </w:tc>
      </w:tr>
      <w:tr w:rsidR="008D0271" w:rsidRPr="005F42F5" w14:paraId="43A79675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B39B" w14:textId="77777777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Pós (</w:t>
            </w:r>
            <w:proofErr w:type="spellStart"/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gm</w:t>
            </w:r>
            <w:proofErr w:type="spellEnd"/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10ABC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99.00 [90.00 - 110.00]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CECC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93.00 [85.00 - 107.00]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55A8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[91.75 - 108.00]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D717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544A6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Mann-Whitney</w:t>
            </w:r>
          </w:p>
        </w:tc>
      </w:tr>
      <w:tr w:rsidR="005F42F5" w:rsidRPr="005F42F5" w14:paraId="4B32AA18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3CD9D" w14:textId="77777777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3C1F9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[4.00 - 11.00]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414D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[3.25 - 8.25]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70AA0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9.50 [6.50 - 13.25]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8C4A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EFEF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Mann-Whitney</w:t>
            </w:r>
          </w:p>
        </w:tc>
      </w:tr>
      <w:tr w:rsidR="005F42F5" w:rsidRPr="005F42F5" w14:paraId="71FA0445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47BD" w14:textId="77777777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(Mais de 24 Semanas)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10284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6.50 [4.00 - 16.00]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484F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[3.25 - 8.25]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4EE0B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13.50 [7.25 - 19.75]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F2D7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CE996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Mann-Whitney</w:t>
            </w:r>
          </w:p>
        </w:tc>
      </w:tr>
      <w:tr w:rsidR="005F42F5" w:rsidRPr="005F42F5" w14:paraId="314E7E37" w14:textId="77777777" w:rsidTr="008D0271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2B0BF" w14:textId="77777777" w:rsidR="005F42F5" w:rsidRPr="005F42F5" w:rsidRDefault="005F42F5" w:rsidP="005F4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Complicações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35597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(3)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89A1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6.67 (1)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9E0F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13.33 (2)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7849B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72260" w14:textId="77777777" w:rsidR="005F42F5" w:rsidRPr="005F42F5" w:rsidRDefault="005F42F5" w:rsidP="005F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Fisher </w:t>
            </w:r>
            <w:proofErr w:type="spellStart"/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Exact</w:t>
            </w:r>
            <w:proofErr w:type="spellEnd"/>
          </w:p>
        </w:tc>
      </w:tr>
    </w:tbl>
    <w:p w14:paraId="22369D03" w14:textId="77777777" w:rsidR="0011487A" w:rsidRPr="00DB2726" w:rsidRDefault="0011487A" w:rsidP="00097306">
      <w:pPr>
        <w:jc w:val="both"/>
        <w:rPr>
          <w:rFonts w:ascii="Times New Roman" w:hAnsi="Times New Roman" w:cs="Times New Roman"/>
          <w:b/>
          <w:bCs/>
        </w:rPr>
      </w:pPr>
    </w:p>
    <w:p w14:paraId="7B6D3CBD" w14:textId="5B7CACF1" w:rsidR="000441AC" w:rsidRPr="00DB2726" w:rsidRDefault="000441AC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 xml:space="preserve">Em relação à associação entre a variável 'grupos de tratamento' (Oral </w:t>
      </w:r>
      <w:proofErr w:type="spellStart"/>
      <w:r w:rsidRPr="00DB2726">
        <w:rPr>
          <w:rFonts w:ascii="Times New Roman" w:hAnsi="Times New Roman" w:cs="Times New Roman"/>
        </w:rPr>
        <w:t>vs</w:t>
      </w:r>
      <w:proofErr w:type="spellEnd"/>
      <w:r w:rsidRPr="00DB2726">
        <w:rPr>
          <w:rFonts w:ascii="Times New Roman" w:hAnsi="Times New Roman" w:cs="Times New Roman"/>
        </w:rPr>
        <w:t xml:space="preserve"> Injetável) e as variáveis demográficas (idade, sexo, presença de tumor primário, localização), não se observou diferença estatística significativa em nenhum dos cruzamentos. Sugerindo homogeneidade na randomização dos participantes do estudo, reforçando a validade dos resultados.</w:t>
      </w:r>
    </w:p>
    <w:p w14:paraId="05CF6DA6" w14:textId="28C027A1" w:rsidR="007E4739" w:rsidRDefault="007E4739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A incidência de estenose foi de 66,67% (10/15) no grupo oral e de 40,00% (6/15) no grupo injetável (p=0,27). Entre esses, as taxas de resolução foram de 50,00% (5/10) e 40,00% (2/5), respectivamente (p=1,00).</w:t>
      </w:r>
    </w:p>
    <w:p w14:paraId="668C8D0B" w14:textId="77777777" w:rsidR="0011487A" w:rsidRDefault="0011487A" w:rsidP="00097306">
      <w:pPr>
        <w:jc w:val="both"/>
        <w:rPr>
          <w:rFonts w:ascii="Times New Roman" w:hAnsi="Times New Roman" w:cs="Times New Roman"/>
          <w:color w:val="FF0000"/>
        </w:rPr>
      </w:pPr>
    </w:p>
    <w:p w14:paraId="57282FE0" w14:textId="65F85116" w:rsidR="001F3C95" w:rsidRDefault="001F3C95" w:rsidP="00097306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INCLUIR TABELAS 2 X 2 DESSES ACHADOS</w:t>
      </w:r>
      <w:r w:rsidR="0011487A">
        <w:rPr>
          <w:rFonts w:ascii="Times New Roman" w:hAnsi="Times New Roman" w:cs="Times New Roman"/>
          <w:color w:val="FF0000"/>
        </w:rPr>
        <w:t>, ACHO QUE FICA MAIS FÁCIL O ENTENDIMENTO</w:t>
      </w:r>
    </w:p>
    <w:p w14:paraId="2BA201A6" w14:textId="77777777" w:rsidR="00CB3BF2" w:rsidRDefault="00CB3BF2" w:rsidP="00097306">
      <w:pPr>
        <w:jc w:val="both"/>
        <w:rPr>
          <w:rFonts w:ascii="Times New Roman" w:hAnsi="Times New Roman" w:cs="Times New Roman"/>
          <w:color w:val="FF0000"/>
        </w:rPr>
      </w:pPr>
    </w:p>
    <w:p w14:paraId="0E05C59C" w14:textId="006BB794" w:rsidR="00CB3BF2" w:rsidRDefault="00CB3BF2" w:rsidP="00097306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POR FAVOR FAZER TAMBÉM O NÚMERO DE DILATAÇÕES NESSES SUBGRUPOS</w:t>
      </w:r>
      <w:r w:rsidR="00AF0F31">
        <w:rPr>
          <w:rFonts w:ascii="Times New Roman" w:hAnsi="Times New Roman" w:cs="Times New Roman"/>
          <w:color w:val="FF0000"/>
        </w:rPr>
        <w:t xml:space="preserve"> CIRCUNFERENCIAL E NÃO CIRCUNFERENCIAL</w:t>
      </w:r>
    </w:p>
    <w:p w14:paraId="2AD1B4F4" w14:textId="77777777" w:rsidR="00CB3BF2" w:rsidRPr="001F3C95" w:rsidRDefault="00CB3BF2" w:rsidP="00097306">
      <w:pPr>
        <w:jc w:val="both"/>
        <w:rPr>
          <w:rFonts w:ascii="Times New Roman" w:hAnsi="Times New Roman" w:cs="Times New Roman"/>
          <w:color w:val="FF0000"/>
        </w:rPr>
      </w:pPr>
    </w:p>
    <w:p w14:paraId="6B6A8878" w14:textId="4693AEE6" w:rsidR="001F3C95" w:rsidRPr="001F3C95" w:rsidRDefault="007E4739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 xml:space="preserve">O grupo oral necessitou de uma mediana de 5 dilatações [3.25 - 8.25] para tratar estenose, comparado a 13.5 [7.25 - 19.75] no grupo injetável </w:t>
      </w:r>
      <w:r w:rsidR="000441AC" w:rsidRPr="00DB2726">
        <w:rPr>
          <w:rFonts w:ascii="Times New Roman" w:hAnsi="Times New Roman" w:cs="Times New Roman"/>
        </w:rPr>
        <w:t xml:space="preserve">como diferença estatística significativa </w:t>
      </w:r>
      <w:r w:rsidRPr="00DB2726">
        <w:rPr>
          <w:rFonts w:ascii="Times New Roman" w:hAnsi="Times New Roman" w:cs="Times New Roman"/>
        </w:rPr>
        <w:t>(p=0,04). A diferença mediana foi de 18.75</w:t>
      </w:r>
      <w:r w:rsidR="00D82FC0" w:rsidRPr="00DB2726">
        <w:rPr>
          <w:rFonts w:ascii="Times New Roman" w:hAnsi="Times New Roman" w:cs="Times New Roman"/>
        </w:rPr>
        <w:t xml:space="preserve"> (</w:t>
      </w:r>
      <w:r w:rsidRPr="00DB2726">
        <w:rPr>
          <w:rFonts w:ascii="Times New Roman" w:hAnsi="Times New Roman" w:cs="Times New Roman"/>
        </w:rPr>
        <w:t>IC 95%</w:t>
      </w:r>
      <w:r w:rsidR="00D82FC0" w:rsidRPr="00DB2726">
        <w:rPr>
          <w:rFonts w:ascii="Times New Roman" w:hAnsi="Times New Roman" w:cs="Times New Roman"/>
        </w:rPr>
        <w:t xml:space="preserve">: </w:t>
      </w:r>
      <w:r w:rsidRPr="00DB2726">
        <w:rPr>
          <w:rFonts w:ascii="Times New Roman" w:hAnsi="Times New Roman" w:cs="Times New Roman"/>
        </w:rPr>
        <w:t xml:space="preserve">2 </w:t>
      </w:r>
      <w:r w:rsidR="00D82FC0" w:rsidRPr="00DB2726">
        <w:rPr>
          <w:rFonts w:ascii="Times New Roman" w:hAnsi="Times New Roman" w:cs="Times New Roman"/>
        </w:rPr>
        <w:t>–</w:t>
      </w:r>
      <w:r w:rsidRPr="00DB2726">
        <w:rPr>
          <w:rFonts w:ascii="Times New Roman" w:hAnsi="Times New Roman" w:cs="Times New Roman"/>
        </w:rPr>
        <w:t xml:space="preserve"> 41</w:t>
      </w:r>
      <w:r w:rsidR="00D82FC0" w:rsidRPr="00DB2726">
        <w:rPr>
          <w:rFonts w:ascii="Times New Roman" w:hAnsi="Times New Roman" w:cs="Times New Roman"/>
        </w:rPr>
        <w:t xml:space="preserve">) estimador de </w:t>
      </w:r>
      <w:proofErr w:type="spellStart"/>
      <w:r w:rsidR="00D82FC0" w:rsidRPr="00DB2726">
        <w:rPr>
          <w:rFonts w:ascii="Times New Roman" w:hAnsi="Times New Roman" w:cs="Times New Roman"/>
        </w:rPr>
        <w:t>Hodges</w:t>
      </w:r>
      <w:proofErr w:type="spellEnd"/>
      <w:r w:rsidR="00D82FC0" w:rsidRPr="00DB2726">
        <w:rPr>
          <w:rFonts w:ascii="Times New Roman" w:hAnsi="Times New Roman" w:cs="Times New Roman"/>
        </w:rPr>
        <w:t>-Lehmann</w:t>
      </w:r>
      <w:r w:rsidRPr="00DB2726">
        <w:rPr>
          <w:rFonts w:ascii="Times New Roman" w:hAnsi="Times New Roman" w:cs="Times New Roman"/>
        </w:rPr>
        <w:t>.</w:t>
      </w:r>
      <w:r w:rsidR="001F3C95">
        <w:rPr>
          <w:rFonts w:ascii="Times New Roman" w:hAnsi="Times New Roman" w:cs="Times New Roman"/>
        </w:rPr>
        <w:t xml:space="preserve"> </w:t>
      </w:r>
      <w:r w:rsidR="001F3C95">
        <w:rPr>
          <w:rFonts w:ascii="Times New Roman" w:hAnsi="Times New Roman" w:cs="Times New Roman"/>
          <w:color w:val="FF0000"/>
        </w:rPr>
        <w:t xml:space="preserve">ESSE ACHADO DE DILATAÇÕES FORAM EM ATÉ 24 SEMANAS (6 MESES) OU </w:t>
      </w:r>
      <w:proofErr w:type="gramStart"/>
      <w:r w:rsidR="001F3C95">
        <w:rPr>
          <w:rFonts w:ascii="Times New Roman" w:hAnsi="Times New Roman" w:cs="Times New Roman"/>
          <w:color w:val="FF0000"/>
        </w:rPr>
        <w:t>GERAL ?</w:t>
      </w:r>
      <w:proofErr w:type="gramEnd"/>
      <w:r w:rsidR="00CB3BF2">
        <w:rPr>
          <w:rFonts w:ascii="Times New Roman" w:hAnsi="Times New Roman" w:cs="Times New Roman"/>
          <w:color w:val="FF0000"/>
        </w:rPr>
        <w:t xml:space="preserve"> ESSE É O PRINCIPAL ACHADO DO </w:t>
      </w:r>
      <w:proofErr w:type="gramStart"/>
      <w:r w:rsidR="00CB3BF2">
        <w:rPr>
          <w:rFonts w:ascii="Times New Roman" w:hAnsi="Times New Roman" w:cs="Times New Roman"/>
          <w:color w:val="FF0000"/>
        </w:rPr>
        <w:t>ESTUDO !!!</w:t>
      </w:r>
      <w:proofErr w:type="gramEnd"/>
    </w:p>
    <w:p w14:paraId="081A0F8A" w14:textId="7C931AED" w:rsidR="00DB2726" w:rsidRDefault="00930440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  <w:noProof/>
        </w:rPr>
        <w:drawing>
          <wp:inline distT="0" distB="0" distL="0" distR="0" wp14:anchorId="2A3C50F3" wp14:editId="6A112245">
            <wp:extent cx="1816100" cy="2273132"/>
            <wp:effectExtent l="0" t="0" r="0" b="0"/>
            <wp:docPr id="554241813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41813" name="Imagem 1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651" cy="228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48DB" w14:textId="77777777" w:rsidR="00097306" w:rsidRPr="00DB2726" w:rsidRDefault="00097306" w:rsidP="00097306">
      <w:pPr>
        <w:jc w:val="both"/>
        <w:rPr>
          <w:rFonts w:ascii="Times New Roman" w:hAnsi="Times New Roman" w:cs="Times New Roman"/>
        </w:rPr>
      </w:pPr>
    </w:p>
    <w:tbl>
      <w:tblPr>
        <w:tblW w:w="10364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2"/>
        <w:gridCol w:w="1393"/>
        <w:gridCol w:w="1680"/>
        <w:gridCol w:w="1678"/>
        <w:gridCol w:w="1598"/>
        <w:gridCol w:w="1455"/>
        <w:gridCol w:w="778"/>
      </w:tblGrid>
      <w:tr w:rsidR="001C02CB" w:rsidRPr="00DB2726" w14:paraId="367EB11C" w14:textId="77777777" w:rsidTr="001C02CB">
        <w:trPr>
          <w:trHeight w:val="482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12863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Variable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741B3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F4789" w14:textId="77777777" w:rsidR="001C02CB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Grupo: Injetável </w:t>
            </w:r>
          </w:p>
          <w:p w14:paraId="79E01A82" w14:textId="0B7BB4AF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(n=3)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5ED0F" w14:textId="62C6AD0D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Injetável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(n=2)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640F8" w14:textId="77777777" w:rsidR="001C02CB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Grupo: Oral </w:t>
            </w:r>
          </w:p>
          <w:p w14:paraId="52441E5B" w14:textId="61F821D1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(n=5)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D74F5" w14:textId="653047B6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Oral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(n=5)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A410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</w:tr>
      <w:tr w:rsidR="001C02CB" w:rsidRPr="00DB2726" w14:paraId="2527F7BB" w14:textId="77777777" w:rsidTr="001C02CB">
        <w:trPr>
          <w:trHeight w:val="482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D5AF6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(até 24 Semanas)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75666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[4.00 - 11.00]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A6863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11.00 [8.00 - 12.50]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375EF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13.00 [9.50 - 16.50]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00EBD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9.00 [6.00 - 11.00]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25C59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4.00 [3.00 - 4.00]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DAD8E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0.13</w:t>
            </w:r>
          </w:p>
        </w:tc>
      </w:tr>
      <w:tr w:rsidR="001C02CB" w:rsidRPr="00DB2726" w14:paraId="5D4FEA40" w14:textId="77777777" w:rsidTr="001C02CB">
        <w:trPr>
          <w:trHeight w:val="482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77DEE" w14:textId="20CB3EF3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</w:t>
            </w:r>
            <w:r w:rsidR="004C7F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mais de 24 Semanas)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C163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[4.00 - 17.00]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6006E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19.00 [13.00 - 31.00]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B5367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13.00 [9.50 - 16.50]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B6F48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9.00 [6.00 - 15.00]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90754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4.00 [3.00 - 4.00]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B0A1D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0.07</w:t>
            </w:r>
          </w:p>
        </w:tc>
      </w:tr>
    </w:tbl>
    <w:p w14:paraId="143DFA84" w14:textId="77777777" w:rsidR="001F3C95" w:rsidRDefault="001F3C95" w:rsidP="00097306">
      <w:pPr>
        <w:jc w:val="both"/>
        <w:rPr>
          <w:rFonts w:ascii="Times New Roman" w:hAnsi="Times New Roman" w:cs="Times New Roman"/>
        </w:rPr>
      </w:pPr>
    </w:p>
    <w:p w14:paraId="1E5CCE19" w14:textId="562CEAF1" w:rsidR="00097306" w:rsidRPr="00097306" w:rsidRDefault="00097306" w:rsidP="00097306">
      <w:pPr>
        <w:jc w:val="both"/>
        <w:rPr>
          <w:rFonts w:ascii="Times New Roman" w:hAnsi="Times New Roman" w:cs="Times New Roman"/>
        </w:rPr>
      </w:pPr>
      <w:r w:rsidRPr="00097306">
        <w:rPr>
          <w:rFonts w:ascii="Times New Roman" w:hAnsi="Times New Roman" w:cs="Times New Roman"/>
        </w:rPr>
        <w:t>Entre os pacientes que conseguiram resolver a estenose no grupo tratado com corticoide injetável, a mediana do número de dilatações foi de 13,00 [9,50 – 16,50]. Isso contrasta com uma mediana de 4,00 [3,00 – 4,00] dilatações no grupo tratado com corticoide oral. Embora essa diferença não tenha sido estatisticamente significativa (p=0,11), ela apresenta relevância clínica</w:t>
      </w:r>
      <w:r w:rsidR="00AD0A3E">
        <w:rPr>
          <w:rFonts w:ascii="Times New Roman" w:hAnsi="Times New Roman" w:cs="Times New Roman"/>
        </w:rPr>
        <w:t xml:space="preserve">, com diferença mediana de 9,00 (IC 95%: 0,00 – 18,00) </w:t>
      </w:r>
      <w:r w:rsidR="00AD0A3E" w:rsidRPr="00DB2726">
        <w:rPr>
          <w:rFonts w:ascii="Times New Roman" w:hAnsi="Times New Roman" w:cs="Times New Roman"/>
        </w:rPr>
        <w:t xml:space="preserve">estimador de </w:t>
      </w:r>
      <w:proofErr w:type="spellStart"/>
      <w:r w:rsidR="00AD0A3E" w:rsidRPr="00DB2726">
        <w:rPr>
          <w:rFonts w:ascii="Times New Roman" w:hAnsi="Times New Roman" w:cs="Times New Roman"/>
        </w:rPr>
        <w:t>Hodges</w:t>
      </w:r>
      <w:proofErr w:type="spellEnd"/>
      <w:r w:rsidR="00AD0A3E" w:rsidRPr="00DB2726">
        <w:rPr>
          <w:rFonts w:ascii="Times New Roman" w:hAnsi="Times New Roman" w:cs="Times New Roman"/>
        </w:rPr>
        <w:t>-Lehmann.</w:t>
      </w:r>
    </w:p>
    <w:p w14:paraId="695B584A" w14:textId="757869A8" w:rsidR="00097306" w:rsidRPr="00097306" w:rsidRDefault="00097306" w:rsidP="00097306">
      <w:pPr>
        <w:jc w:val="both"/>
        <w:rPr>
          <w:rFonts w:ascii="Times New Roman" w:hAnsi="Times New Roman" w:cs="Times New Roman"/>
        </w:rPr>
      </w:pPr>
      <w:r w:rsidRPr="00097306">
        <w:rPr>
          <w:rFonts w:ascii="Times New Roman" w:hAnsi="Times New Roman" w:cs="Times New Roman"/>
        </w:rPr>
        <w:t>Por outro lado, nos casos em que a estenose não foi resolvida, a mediana do número de dilatações no grupo injetável foi de 19,00 [13,00 – 31,00], em comparação com 9,00 [6,00 – 15,00] no grupo oral. Esta diferença também não foi estatisticamente significativa (p=0,39) e não apresentou relevância clínica</w:t>
      </w:r>
      <w:r w:rsidR="00AD0A3E">
        <w:rPr>
          <w:rFonts w:ascii="Times New Roman" w:hAnsi="Times New Roman" w:cs="Times New Roman"/>
        </w:rPr>
        <w:t xml:space="preserve">, com diferença mediana de 10,00 (IC 95%: -13,00 – 41,00) </w:t>
      </w:r>
      <w:r w:rsidR="00AD0A3E" w:rsidRPr="00DB2726">
        <w:rPr>
          <w:rFonts w:ascii="Times New Roman" w:hAnsi="Times New Roman" w:cs="Times New Roman"/>
        </w:rPr>
        <w:t xml:space="preserve">estimador de </w:t>
      </w:r>
      <w:proofErr w:type="spellStart"/>
      <w:r w:rsidR="00AD0A3E" w:rsidRPr="00DB2726">
        <w:rPr>
          <w:rFonts w:ascii="Times New Roman" w:hAnsi="Times New Roman" w:cs="Times New Roman"/>
        </w:rPr>
        <w:t>Hodges</w:t>
      </w:r>
      <w:proofErr w:type="spellEnd"/>
      <w:r w:rsidR="00AD0A3E" w:rsidRPr="00DB2726">
        <w:rPr>
          <w:rFonts w:ascii="Times New Roman" w:hAnsi="Times New Roman" w:cs="Times New Roman"/>
        </w:rPr>
        <w:t>-Lehmann.</w:t>
      </w:r>
    </w:p>
    <w:p w14:paraId="1A34938C" w14:textId="277A4E6A" w:rsidR="001C02CB" w:rsidRDefault="00097306" w:rsidP="00097306">
      <w:pPr>
        <w:jc w:val="both"/>
        <w:rPr>
          <w:rFonts w:ascii="Times New Roman" w:hAnsi="Times New Roman" w:cs="Times New Roman"/>
        </w:rPr>
      </w:pPr>
      <w:r w:rsidRPr="00097306">
        <w:rPr>
          <w:rFonts w:ascii="Times New Roman" w:hAnsi="Times New Roman" w:cs="Times New Roman"/>
        </w:rPr>
        <w:t>No agregado, não foi observada uma diferença estatística significativa no número de dilatações entre todos os grupos (p=0,11), mas a diferença demonstrou relevância clínica</w:t>
      </w:r>
      <w:r w:rsidR="00AD0A3E">
        <w:rPr>
          <w:rFonts w:ascii="Times New Roman" w:hAnsi="Times New Roman" w:cs="Times New Roman"/>
        </w:rPr>
        <w:t>.</w:t>
      </w:r>
    </w:p>
    <w:p w14:paraId="1208EB5C" w14:textId="020A8164" w:rsidR="00CB3BF2" w:rsidRPr="00CB3BF2" w:rsidRDefault="00CB3BF2" w:rsidP="00097306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NÃO ENTENDI COMO NESSE AGREGADO NÃO TEVE DIFERENÇA SE NO ÚLTIMO PARÁGRAFO QUE SERIA UMA AVALIAÇÃO AGREGADA TEVE DIFERENÇA. O MÉTODO ESTATÍSTICO UTILIZADO É </w:t>
      </w:r>
      <w:proofErr w:type="gramStart"/>
      <w:r>
        <w:rPr>
          <w:rFonts w:ascii="Times New Roman" w:hAnsi="Times New Roman" w:cs="Times New Roman"/>
          <w:color w:val="FF0000"/>
        </w:rPr>
        <w:t>DIFERENTE ?</w:t>
      </w:r>
      <w:proofErr w:type="gramEnd"/>
    </w:p>
    <w:p w14:paraId="29D0EFE6" w14:textId="75C4CE8B" w:rsidR="00DB2726" w:rsidRPr="00DB2726" w:rsidRDefault="00DB2726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  <w:noProof/>
        </w:rPr>
        <w:drawing>
          <wp:inline distT="0" distB="0" distL="0" distR="0" wp14:anchorId="3ADABE8D" wp14:editId="1544B2F0">
            <wp:extent cx="3538511" cy="2362200"/>
            <wp:effectExtent l="0" t="0" r="5080" b="0"/>
            <wp:docPr id="141483480" name="Imagem 2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3480" name="Imagem 2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871" cy="236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1080" w14:textId="794010C9" w:rsidR="00FE5756" w:rsidRPr="00DB2726" w:rsidRDefault="00FE5756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 xml:space="preserve">O desenvolvimento do desfecho </w:t>
      </w:r>
      <w:r w:rsidR="005C5E23" w:rsidRPr="00DB2726">
        <w:rPr>
          <w:rFonts w:ascii="Times New Roman" w:hAnsi="Times New Roman" w:cs="Times New Roman"/>
        </w:rPr>
        <w:t xml:space="preserve">presença de </w:t>
      </w:r>
      <w:r w:rsidRPr="00DB2726">
        <w:rPr>
          <w:rFonts w:ascii="Times New Roman" w:hAnsi="Times New Roman" w:cs="Times New Roman"/>
        </w:rPr>
        <w:t xml:space="preserve">estenose e desfecho </w:t>
      </w:r>
      <w:r w:rsidR="00383FB2" w:rsidRPr="00DB2726">
        <w:rPr>
          <w:rFonts w:ascii="Times New Roman" w:hAnsi="Times New Roman" w:cs="Times New Roman"/>
        </w:rPr>
        <w:t xml:space="preserve">resolução da estenose </w:t>
      </w:r>
      <w:r w:rsidR="005C5E23" w:rsidRPr="00DB2726">
        <w:rPr>
          <w:rFonts w:ascii="Times New Roman" w:hAnsi="Times New Roman" w:cs="Times New Roman"/>
        </w:rPr>
        <w:t xml:space="preserve">foi </w:t>
      </w:r>
      <w:r w:rsidR="00E419A3" w:rsidRPr="00DB2726">
        <w:rPr>
          <w:rFonts w:ascii="Times New Roman" w:hAnsi="Times New Roman" w:cs="Times New Roman"/>
        </w:rPr>
        <w:t>semelhante</w:t>
      </w:r>
      <w:r w:rsidR="005C5E23" w:rsidRPr="00DB2726">
        <w:rPr>
          <w:rFonts w:ascii="Times New Roman" w:hAnsi="Times New Roman" w:cs="Times New Roman"/>
        </w:rPr>
        <w:t xml:space="preserve"> entre os grupos conforme ilustrado pelos gráficos</w:t>
      </w:r>
      <w:r w:rsidR="004E072D" w:rsidRPr="00DB2726">
        <w:rPr>
          <w:rFonts w:ascii="Times New Roman" w:hAnsi="Times New Roman" w:cs="Times New Roman"/>
        </w:rPr>
        <w:t xml:space="preserve"> aluviais</w:t>
      </w:r>
      <w:r w:rsidR="005C5E23" w:rsidRPr="00DB2726">
        <w:rPr>
          <w:rFonts w:ascii="Times New Roman" w:hAnsi="Times New Roman" w:cs="Times New Roman"/>
        </w:rPr>
        <w:t>.</w:t>
      </w:r>
    </w:p>
    <w:p w14:paraId="0219C5FC" w14:textId="78C05A76" w:rsidR="005C5E23" w:rsidRPr="00DB2726" w:rsidRDefault="005C5E23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 xml:space="preserve">Segue os gráficos </w:t>
      </w:r>
      <w:proofErr w:type="spellStart"/>
      <w:r w:rsidRPr="00DB2726">
        <w:rPr>
          <w:rFonts w:ascii="Times New Roman" w:hAnsi="Times New Roman" w:cs="Times New Roman"/>
        </w:rPr>
        <w:t>abaixos</w:t>
      </w:r>
      <w:proofErr w:type="spellEnd"/>
      <w:r w:rsidRPr="00DB2726">
        <w:rPr>
          <w:rFonts w:ascii="Times New Roman" w:hAnsi="Times New Roman" w:cs="Times New Roman"/>
        </w:rPr>
        <w:t>:</w:t>
      </w:r>
    </w:p>
    <w:p w14:paraId="7D7B1C5B" w14:textId="496D8947" w:rsidR="00C61952" w:rsidRPr="00DB2726" w:rsidRDefault="00C61952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  <w:noProof/>
        </w:rPr>
        <w:drawing>
          <wp:inline distT="0" distB="0" distL="0" distR="0" wp14:anchorId="1D1102A3" wp14:editId="08169090">
            <wp:extent cx="5181600" cy="2593313"/>
            <wp:effectExtent l="0" t="0" r="0" b="0"/>
            <wp:docPr id="1651614083" name="Imagem 5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14083" name="Imagem 5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87" cy="264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456F" w14:textId="7216FC0B" w:rsidR="00930440" w:rsidRPr="00DB2726" w:rsidRDefault="00C61952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  <w:noProof/>
        </w:rPr>
        <w:drawing>
          <wp:inline distT="0" distB="0" distL="0" distR="0" wp14:anchorId="76D01B91" wp14:editId="28BE8755">
            <wp:extent cx="4627419" cy="2313710"/>
            <wp:effectExtent l="0" t="0" r="1905" b="0"/>
            <wp:docPr id="1275382268" name="Imagem 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82268" name="Imagem 2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605" cy="231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0440" w:rsidRPr="00DB2726">
        <w:rPr>
          <w:rFonts w:ascii="Times New Roman" w:hAnsi="Times New Roman" w:cs="Times New Roman"/>
          <w:noProof/>
        </w:rPr>
        <w:drawing>
          <wp:inline distT="0" distB="0" distL="0" distR="0" wp14:anchorId="5A1D5564" wp14:editId="67537759">
            <wp:extent cx="4613564" cy="2306782"/>
            <wp:effectExtent l="0" t="0" r="0" b="0"/>
            <wp:docPr id="1155010099" name="Imagem 4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10099" name="Imagem 4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71" cy="231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2249" w14:textId="75A29D57" w:rsidR="00C61952" w:rsidRPr="00DB2726" w:rsidRDefault="005B46C3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Contrariamente às expectativas convencionais</w:t>
      </w:r>
      <w:r w:rsidR="001E2ACB">
        <w:rPr>
          <w:rFonts w:ascii="Times New Roman" w:hAnsi="Times New Roman" w:cs="Times New Roman"/>
        </w:rPr>
        <w:t xml:space="preserve"> </w:t>
      </w:r>
      <w:r w:rsidR="001E2ACB">
        <w:rPr>
          <w:rFonts w:ascii="Times New Roman" w:hAnsi="Times New Roman" w:cs="Times New Roman"/>
          <w:color w:val="FF0000"/>
        </w:rPr>
        <w:t>pelo uso de corticoide oral de forma prolongada</w:t>
      </w:r>
      <w:r w:rsidRPr="00DB2726">
        <w:rPr>
          <w:rFonts w:ascii="Times New Roman" w:hAnsi="Times New Roman" w:cs="Times New Roman"/>
        </w:rPr>
        <w:t xml:space="preserve">, observou-se uma redução nos níveis de glicemia em </w:t>
      </w:r>
      <w:r w:rsidR="001E2ACB">
        <w:rPr>
          <w:rFonts w:ascii="Times New Roman" w:hAnsi="Times New Roman" w:cs="Times New Roman"/>
          <w:color w:val="FF0000"/>
        </w:rPr>
        <w:t>inclusive</w:t>
      </w:r>
      <w:r w:rsidR="001E2ACB" w:rsidRPr="001E2ACB">
        <w:rPr>
          <w:rFonts w:ascii="Times New Roman" w:hAnsi="Times New Roman" w:cs="Times New Roman"/>
          <w:color w:val="FF0000"/>
        </w:rPr>
        <w:t xml:space="preserve"> </w:t>
      </w:r>
      <w:r w:rsidRPr="00DB2726">
        <w:rPr>
          <w:rFonts w:ascii="Times New Roman" w:hAnsi="Times New Roman" w:cs="Times New Roman"/>
        </w:rPr>
        <w:t xml:space="preserve">ambos os grupos após o tratamento. A tabela a seguir apresenta as medianas da glicemia basal e pós-tratamento para cada grupo. Valor de p do teste de Mann-Whitney para avaliar a significância estatística das diferenças medianas entre os grupos. O estimador de </w:t>
      </w:r>
      <w:proofErr w:type="spellStart"/>
      <w:r w:rsidRPr="00DB2726">
        <w:rPr>
          <w:rFonts w:ascii="Times New Roman" w:hAnsi="Times New Roman" w:cs="Times New Roman"/>
        </w:rPr>
        <w:t>Hodges</w:t>
      </w:r>
      <w:proofErr w:type="spellEnd"/>
      <w:r w:rsidRPr="00DB2726">
        <w:rPr>
          <w:rFonts w:ascii="Times New Roman" w:hAnsi="Times New Roman" w:cs="Times New Roman"/>
        </w:rPr>
        <w:t>-Lehmann foi utilizado para quantificar a tendência de variação nos níveis de glicemia após um período de tratamento de 24 semanas.</w:t>
      </w:r>
    </w:p>
    <w:tbl>
      <w:tblPr>
        <w:tblW w:w="8075" w:type="dxa"/>
        <w:tblInd w:w="-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1"/>
        <w:gridCol w:w="2174"/>
        <w:gridCol w:w="1984"/>
        <w:gridCol w:w="851"/>
        <w:gridCol w:w="2126"/>
      </w:tblGrid>
      <w:tr w:rsidR="00C61952" w:rsidRPr="00DB2726" w14:paraId="3E31D4B6" w14:textId="77777777" w:rsidTr="000441AC">
        <w:trPr>
          <w:trHeight w:val="28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FEE25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Grupo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E673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Glicemia Basal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88E90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Glicemia Pós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A69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P-valor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1F92F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Diferença </w:t>
            </w:r>
          </w:p>
          <w:p w14:paraId="13D06EA8" w14:textId="126231ED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(</w:t>
            </w:r>
            <w:proofErr w:type="spellStart"/>
            <w:r w:rsidRPr="00DB27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Hodges-Leahman</w:t>
            </w:r>
            <w:proofErr w:type="spellEnd"/>
            <w:r w:rsidRPr="00DB27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</w:tr>
      <w:tr w:rsidR="00C61952" w:rsidRPr="00DB2726" w14:paraId="3C92973C" w14:textId="77777777" w:rsidTr="000441AC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0E01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Oral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0592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122.5 [84.92 - 169.05]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A7747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95 [78.28 - 135.05]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E8BFA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0.005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CBD9B" w14:textId="6A438BA6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-25.00 (-40.50 a -9.50)</w:t>
            </w:r>
          </w:p>
        </w:tc>
      </w:tr>
      <w:tr w:rsidR="00C61952" w:rsidRPr="00DB2726" w14:paraId="159092CE" w14:textId="77777777" w:rsidTr="000441AC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0ADEA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Injetável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D109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105.5 [80.6 - 144.2]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C16BE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100 [77.17 - 126.72]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5402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0.31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0BA86" w14:textId="3EE9D320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-7.00 (-19.50 a 6.00)</w:t>
            </w:r>
          </w:p>
        </w:tc>
      </w:tr>
    </w:tbl>
    <w:p w14:paraId="2D964A77" w14:textId="77777777" w:rsidR="000441AC" w:rsidRPr="00DB2726" w:rsidRDefault="000441AC" w:rsidP="00097306">
      <w:pPr>
        <w:jc w:val="both"/>
        <w:rPr>
          <w:rFonts w:ascii="Times New Roman" w:hAnsi="Times New Roman" w:cs="Times New Roman"/>
        </w:rPr>
      </w:pPr>
    </w:p>
    <w:p w14:paraId="561D98D4" w14:textId="60BF7FCA" w:rsidR="005B46C3" w:rsidRPr="00DB2726" w:rsidRDefault="005B46C3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Contrariamente ao que se poderia esperar, ambos os grupos experimentaram uma redução nos níveis de glicemia após 24 semanas de tratamento. No grupo tratado com corticoides orais, a mediana da glicemia diminuiu significativamente de 122,5 [84,92 - 169,05] para 95 [78,28 - 135,05] (p=0,005). A diferença mediana estimada foi de -25 (IC 95%: -40,5 a -9,5). No grupo tratado com corticoides injetáveis, embora a glicemia mediana tenha diminuído de 105,5 [80,6 - 144,2] para 100 [77,17 - 126,72], essa mudança não foi estatisticamente significativa (p=0,310). A diferença mediana estimada foi de -7 (IC 95%: -19,5 a 6).</w:t>
      </w:r>
    </w:p>
    <w:p w14:paraId="6698081C" w14:textId="3328E99F" w:rsidR="004D0CFC" w:rsidRPr="00DB2726" w:rsidRDefault="004D0CFC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  <w:noProof/>
        </w:rPr>
        <w:drawing>
          <wp:inline distT="0" distB="0" distL="0" distR="0" wp14:anchorId="343F0BD8" wp14:editId="3041AE85">
            <wp:extent cx="3678382" cy="2455573"/>
            <wp:effectExtent l="0" t="0" r="0" b="1905"/>
            <wp:docPr id="224698769" name="Imagem 6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98769" name="Imagem 6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431" cy="246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F8B9" w14:textId="130AC270" w:rsidR="004D0CFC" w:rsidRPr="00DB2726" w:rsidRDefault="004D0CFC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No grupo oral apenas 6,67% (1/15) desenvolveram complicações de perfuração, enquanto 13,33% (2/13), sem diferença estatística (p=1,00)</w:t>
      </w:r>
      <w:r w:rsidR="000441AC" w:rsidRPr="00DB2726">
        <w:rPr>
          <w:rFonts w:ascii="Times New Roman" w:hAnsi="Times New Roman" w:cs="Times New Roman"/>
        </w:rPr>
        <w:t xml:space="preserve"> ou relevância clínica.</w:t>
      </w:r>
    </w:p>
    <w:p w14:paraId="1FB30AD6" w14:textId="558670A7" w:rsidR="004D0CFC" w:rsidRPr="00DB2726" w:rsidRDefault="00E419A3" w:rsidP="00097306">
      <w:pPr>
        <w:tabs>
          <w:tab w:val="center" w:pos="4702"/>
        </w:tabs>
        <w:jc w:val="both"/>
        <w:rPr>
          <w:rFonts w:ascii="Times New Roman" w:hAnsi="Times New Roman" w:cs="Times New Roman"/>
          <w:b/>
          <w:bCs/>
        </w:rPr>
      </w:pPr>
      <w:r w:rsidRPr="00DB2726">
        <w:rPr>
          <w:rFonts w:ascii="Times New Roman" w:hAnsi="Times New Roman" w:cs="Times New Roman"/>
          <w:b/>
          <w:bCs/>
        </w:rPr>
        <w:t>Análise</w:t>
      </w:r>
      <w:r w:rsidR="004D0CFC" w:rsidRPr="00DB2726">
        <w:rPr>
          <w:rFonts w:ascii="Times New Roman" w:hAnsi="Times New Roman" w:cs="Times New Roman"/>
          <w:b/>
          <w:bCs/>
        </w:rPr>
        <w:t xml:space="preserve"> da Taxa de Estenose</w:t>
      </w:r>
      <w:r w:rsidR="004D0CFC" w:rsidRPr="00DB2726">
        <w:rPr>
          <w:rFonts w:ascii="Times New Roman" w:hAnsi="Times New Roman" w:cs="Times New Roman"/>
          <w:b/>
          <w:bCs/>
        </w:rPr>
        <w:tab/>
      </w:r>
    </w:p>
    <w:p w14:paraId="536EC6FE" w14:textId="499E8518" w:rsidR="004D0CFC" w:rsidRPr="00DB2726" w:rsidRDefault="004D0CFC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A taxa geral de estenose foi de</w:t>
      </w:r>
      <w:r w:rsidR="000441AC" w:rsidRPr="00DB2726">
        <w:rPr>
          <w:rFonts w:ascii="Times New Roman" w:hAnsi="Times New Roman" w:cs="Times New Roman"/>
        </w:rPr>
        <w:t>...</w:t>
      </w:r>
    </w:p>
    <w:p w14:paraId="13E7186F" w14:textId="540BB131" w:rsidR="00E419A3" w:rsidRPr="00DB2726" w:rsidRDefault="00E419A3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Indivíduos do sexo feminino apresentaram uma taxa de estenose de 83,33% (6/5), em comparação com 45,83% (11/24) no sexo masculino. Embora essa diferença não tenha alcançado significância estatística (p=0,17), ela é clinicamente relevante, dado que a taxa no grupo feminino é quase o dobro.</w:t>
      </w:r>
    </w:p>
    <w:p w14:paraId="73CC4C74" w14:textId="16FCB305" w:rsidR="00E419A3" w:rsidRPr="001E2ACB" w:rsidRDefault="00E419A3" w:rsidP="00097306">
      <w:pPr>
        <w:jc w:val="both"/>
        <w:rPr>
          <w:rFonts w:ascii="Times New Roman" w:hAnsi="Times New Roman" w:cs="Times New Roman"/>
          <w:color w:val="FF0000"/>
        </w:rPr>
      </w:pPr>
      <w:r w:rsidRPr="00DB2726">
        <w:rPr>
          <w:rFonts w:ascii="Times New Roman" w:hAnsi="Times New Roman" w:cs="Times New Roman"/>
        </w:rPr>
        <w:t>A presença de tumor primário não mostrou associação significativa com a incidência de estenose: a taxa foi de 45,00% (11/20) em indivíduos com tumor e de 70,00% (7/10) naqueles sem tumor (p=0,26</w:t>
      </w:r>
      <w:proofErr w:type="gramStart"/>
      <w:r w:rsidRPr="00DB2726">
        <w:rPr>
          <w:rFonts w:ascii="Times New Roman" w:hAnsi="Times New Roman" w:cs="Times New Roman"/>
        </w:rPr>
        <w:t>).</w:t>
      </w:r>
      <w:r w:rsidR="001E2ACB">
        <w:rPr>
          <w:rFonts w:ascii="Times New Roman" w:hAnsi="Times New Roman" w:cs="Times New Roman"/>
          <w:color w:val="FF0000"/>
        </w:rPr>
        <w:t>EM</w:t>
      </w:r>
      <w:proofErr w:type="gramEnd"/>
      <w:r w:rsidR="001E2ACB">
        <w:rPr>
          <w:rFonts w:ascii="Times New Roman" w:hAnsi="Times New Roman" w:cs="Times New Roman"/>
          <w:color w:val="FF0000"/>
        </w:rPr>
        <w:t xml:space="preserve"> NOSSA REUNIÃO VC TINHA ME MOSTRADO QUE A PRESENÇA DE TUMOR PRIMÁRIO ERA FATOR DE RISCO, PODE CONFERIR ISSO POR FAVOR ?</w:t>
      </w:r>
    </w:p>
    <w:p w14:paraId="699B1A14" w14:textId="22754B2F" w:rsidR="00E419A3" w:rsidRPr="001E2ACB" w:rsidRDefault="00E419A3" w:rsidP="00097306">
      <w:pPr>
        <w:jc w:val="both"/>
        <w:rPr>
          <w:rFonts w:ascii="Times New Roman" w:hAnsi="Times New Roman" w:cs="Times New Roman"/>
          <w:color w:val="FF0000"/>
        </w:rPr>
      </w:pPr>
      <w:r w:rsidRPr="00DB2726">
        <w:rPr>
          <w:rFonts w:ascii="Times New Roman" w:hAnsi="Times New Roman" w:cs="Times New Roman"/>
        </w:rPr>
        <w:t xml:space="preserve">Em relação à localização do tumor, as taxas de estenose foram de 28,57% (2/7) para tumores distais, 61,11% (11/18) para médios e 60,00% (3/5) para </w:t>
      </w:r>
      <w:r w:rsidR="0011487A">
        <w:rPr>
          <w:rFonts w:ascii="Times New Roman" w:hAnsi="Times New Roman" w:cs="Times New Roman"/>
          <w:color w:val="FF0000"/>
        </w:rPr>
        <w:t>proximais</w:t>
      </w:r>
      <w:r w:rsidRPr="00DB2726">
        <w:rPr>
          <w:rFonts w:ascii="Times New Roman" w:hAnsi="Times New Roman" w:cs="Times New Roman"/>
        </w:rPr>
        <w:t>. Essas diferenças não foram estatisticamente significativas (p=0,32) nem clinicamente relevantes.</w:t>
      </w:r>
      <w:r w:rsidR="001E2ACB">
        <w:rPr>
          <w:rFonts w:ascii="Times New Roman" w:hAnsi="Times New Roman" w:cs="Times New Roman"/>
        </w:rPr>
        <w:t xml:space="preserve"> </w:t>
      </w:r>
      <w:r w:rsidR="001E2ACB">
        <w:rPr>
          <w:rFonts w:ascii="Times New Roman" w:hAnsi="Times New Roman" w:cs="Times New Roman"/>
          <w:color w:val="FF0000"/>
        </w:rPr>
        <w:t xml:space="preserve">A PRESENÇA DE LESÕES PROXIMAIS COSTUMA TER MAIS ESTENOSE LA </w:t>
      </w:r>
      <w:proofErr w:type="gramStart"/>
      <w:r w:rsidR="001E2ACB">
        <w:rPr>
          <w:rFonts w:ascii="Times New Roman" w:hAnsi="Times New Roman" w:cs="Times New Roman"/>
          <w:color w:val="FF0000"/>
        </w:rPr>
        <w:t>LITERATURA</w:t>
      </w:r>
      <w:proofErr w:type="gramEnd"/>
      <w:r w:rsidR="0011487A">
        <w:rPr>
          <w:rFonts w:ascii="Times New Roman" w:hAnsi="Times New Roman" w:cs="Times New Roman"/>
          <w:color w:val="FF0000"/>
        </w:rPr>
        <w:t xml:space="preserve"> MAS TALVEZ NOSSO N NÃO FOI SUFUCUENTE PARA MOSTRAR ISSO NESSE ESTUDO</w:t>
      </w:r>
    </w:p>
    <w:p w14:paraId="30A539F7" w14:textId="6C475AC9" w:rsidR="00E419A3" w:rsidRDefault="00E419A3" w:rsidP="00097306">
      <w:pPr>
        <w:jc w:val="both"/>
        <w:rPr>
          <w:rFonts w:ascii="Times New Roman" w:hAnsi="Times New Roman" w:cs="Times New Roman"/>
          <w:color w:val="FF0000"/>
        </w:rPr>
      </w:pPr>
      <w:r w:rsidRPr="00DB2726">
        <w:rPr>
          <w:rFonts w:ascii="Times New Roman" w:hAnsi="Times New Roman" w:cs="Times New Roman"/>
        </w:rPr>
        <w:t xml:space="preserve">Por último, a taxa de estenose foi de 51,85% (14/27) em indivíduos com margens cirúrgicas livres, em comparação com 66,67% (2/3) naqueles com margens comprometidas. Embora a taxa seja maior no grupo com margens comprometidas, a diferença não foi estatisticamente significativa (1.00), </w:t>
      </w:r>
      <w:r w:rsidRPr="0011487A">
        <w:rPr>
          <w:rFonts w:ascii="Times New Roman" w:hAnsi="Times New Roman" w:cs="Times New Roman"/>
          <w:color w:val="FF0000"/>
        </w:rPr>
        <w:t>e não há evidências que sugiram uma associação ou impacto significativo das margens comprometidas na ocorrência de estenose.</w:t>
      </w:r>
      <w:r w:rsidR="0011487A">
        <w:rPr>
          <w:rFonts w:ascii="Times New Roman" w:hAnsi="Times New Roman" w:cs="Times New Roman"/>
          <w:color w:val="FF0000"/>
        </w:rPr>
        <w:t xml:space="preserve"> NÃO PODEMOS AFIRMAR ISSO.  INCLUSIVE EM TEORIA A PRESENÇA DE MARGENS COMPROMETIDAS CONFERE UM PIOR PROGNÓSTICO GERAL AO PACIENTE, ESPECIALMENTE COM RELAÇÃO A EVOLUÇÃO DA DOENÇA TUMORAL</w:t>
      </w:r>
    </w:p>
    <w:p w14:paraId="6DD53E85" w14:textId="77777777" w:rsidR="0011487A" w:rsidRPr="0011487A" w:rsidRDefault="0011487A" w:rsidP="00097306">
      <w:pPr>
        <w:jc w:val="both"/>
        <w:rPr>
          <w:rFonts w:ascii="Times New Roman" w:hAnsi="Times New Roman" w:cs="Times New Roman"/>
          <w:color w:val="FF0000"/>
        </w:rPr>
      </w:pPr>
    </w:p>
    <w:p w14:paraId="73296284" w14:textId="433B9691" w:rsidR="008F2089" w:rsidRPr="00DB2726" w:rsidRDefault="00E419A3" w:rsidP="00097306">
      <w:pPr>
        <w:jc w:val="both"/>
        <w:rPr>
          <w:rFonts w:ascii="Times New Roman" w:hAnsi="Times New Roman" w:cs="Times New Roman"/>
          <w:b/>
          <w:bCs/>
        </w:rPr>
      </w:pPr>
      <w:r w:rsidRPr="00DB2726">
        <w:rPr>
          <w:rFonts w:ascii="Times New Roman" w:hAnsi="Times New Roman" w:cs="Times New Roman"/>
          <w:b/>
          <w:bCs/>
        </w:rPr>
        <w:t>Análise</w:t>
      </w:r>
      <w:r w:rsidR="004D0CFC" w:rsidRPr="00DB2726">
        <w:rPr>
          <w:rFonts w:ascii="Times New Roman" w:hAnsi="Times New Roman" w:cs="Times New Roman"/>
          <w:b/>
          <w:bCs/>
        </w:rPr>
        <w:t xml:space="preserve"> </w:t>
      </w:r>
      <w:r w:rsidR="005C5E23" w:rsidRPr="00DB2726">
        <w:rPr>
          <w:rFonts w:ascii="Times New Roman" w:hAnsi="Times New Roman" w:cs="Times New Roman"/>
          <w:b/>
          <w:bCs/>
        </w:rPr>
        <w:t>das Complicações</w:t>
      </w:r>
    </w:p>
    <w:p w14:paraId="60072AFE" w14:textId="6980471F" w:rsidR="00E419A3" w:rsidRPr="00DB2726" w:rsidRDefault="00E419A3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Entre os indivíduos que desenvolveram complicações de perfuração, 66,67% (2/3) tinham margens comprometidas após a ressecção, em comparação com 92,59% (25/27) daqueles sem complicações. Esta diferença não foi estatisticamente significativa (p=0,27), indicando que a presença de margens comprometidas não parece influenciar a ocorrência de complicações de perfuração.</w:t>
      </w:r>
    </w:p>
    <w:p w14:paraId="47C58486" w14:textId="1A1F0011" w:rsidR="005430A4" w:rsidRDefault="00E419A3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Da mesma forma, 33,33% (1/3) dos indivíduos com complicações de perfuração haviam passado por ressecções circunferenciais, contra 37,04% (10/27) dos que não desenvolveram complicações. A falta de diferença estatística (p=1,00) sugere que ressecções circunferenciais também não são um fator significativo para o desenvolvimento de complicações de perfuração.</w:t>
      </w:r>
    </w:p>
    <w:p w14:paraId="37F0E81B" w14:textId="2DC7EFCB" w:rsidR="0011487A" w:rsidRDefault="0011487A" w:rsidP="00097306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ESSAS SÃO ANÁLISES SECUNDÁRIAS DA TAXA DE COMPLICAÇÃO</w:t>
      </w:r>
    </w:p>
    <w:p w14:paraId="3155FDFF" w14:textId="58F3A192" w:rsidR="0011487A" w:rsidRPr="0011487A" w:rsidRDefault="0011487A" w:rsidP="00097306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HOUVE DIFERENÇA NA TAXA DE COMPLICAÇÕES COM RELAÇÃO AO GRUPO CORTICOIDE ORAL E </w:t>
      </w:r>
      <w:proofErr w:type="gramStart"/>
      <w:r>
        <w:rPr>
          <w:rFonts w:ascii="Times New Roman" w:hAnsi="Times New Roman" w:cs="Times New Roman"/>
          <w:color w:val="FF0000"/>
        </w:rPr>
        <w:t>INJETÁVEL ?</w:t>
      </w:r>
      <w:proofErr w:type="gramEnd"/>
    </w:p>
    <w:sectPr w:rsidR="0011487A" w:rsidRPr="00114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A4"/>
    <w:rsid w:val="000441AC"/>
    <w:rsid w:val="00094F9F"/>
    <w:rsid w:val="00097306"/>
    <w:rsid w:val="0011487A"/>
    <w:rsid w:val="0019491D"/>
    <w:rsid w:val="001C02CB"/>
    <w:rsid w:val="001E2ACB"/>
    <w:rsid w:val="001F3C95"/>
    <w:rsid w:val="00383FB2"/>
    <w:rsid w:val="004B7A38"/>
    <w:rsid w:val="004C1F6C"/>
    <w:rsid w:val="004C2FE9"/>
    <w:rsid w:val="004C7F63"/>
    <w:rsid w:val="004D0CFC"/>
    <w:rsid w:val="004E072D"/>
    <w:rsid w:val="00512240"/>
    <w:rsid w:val="005430A4"/>
    <w:rsid w:val="005B46C3"/>
    <w:rsid w:val="005C5E23"/>
    <w:rsid w:val="005F42F5"/>
    <w:rsid w:val="006B389B"/>
    <w:rsid w:val="007E4739"/>
    <w:rsid w:val="008D0271"/>
    <w:rsid w:val="008F2089"/>
    <w:rsid w:val="00930440"/>
    <w:rsid w:val="009C7589"/>
    <w:rsid w:val="00AD0A3E"/>
    <w:rsid w:val="00AF0F31"/>
    <w:rsid w:val="00B25B87"/>
    <w:rsid w:val="00BB0451"/>
    <w:rsid w:val="00C43CBC"/>
    <w:rsid w:val="00C47499"/>
    <w:rsid w:val="00C61952"/>
    <w:rsid w:val="00CB3BF2"/>
    <w:rsid w:val="00CE0E79"/>
    <w:rsid w:val="00D82FC0"/>
    <w:rsid w:val="00DB2726"/>
    <w:rsid w:val="00E419A3"/>
    <w:rsid w:val="00FE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2DAE"/>
  <w15:chartTrackingRefBased/>
  <w15:docId w15:val="{B469D166-BBD2-4043-AED1-7B7C7006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A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1581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dos Anjos</dc:creator>
  <cp:keywords/>
  <dc:description/>
  <cp:lastModifiedBy>Gabriel Silva dos Anjos</cp:lastModifiedBy>
  <cp:revision>8</cp:revision>
  <dcterms:created xsi:type="dcterms:W3CDTF">2023-10-28T16:17:00Z</dcterms:created>
  <dcterms:modified xsi:type="dcterms:W3CDTF">2023-10-29T18:17:00Z</dcterms:modified>
</cp:coreProperties>
</file>