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91D85" w:rsidR="00991D85" w:rsidP="00991D85" w:rsidRDefault="00991D85" w14:paraId="5B74DDE4" w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D85">
        <w:rPr>
          <w:rFonts w:ascii="Times New Roman" w:hAnsi="Times New Roman" w:cs="Times New Roman"/>
          <w:b/>
          <w:bCs/>
          <w:sz w:val="28"/>
          <w:szCs w:val="28"/>
        </w:rPr>
        <w:t>Análise Estatística / Métodos</w:t>
      </w:r>
    </w:p>
    <w:p w:rsidRPr="00520B06" w:rsidR="00520B06" w:rsidP="00520B06" w:rsidRDefault="00520B06" w14:paraId="6FB624C2" w14:textId="77777777">
      <w:pPr>
        <w:jc w:val="both"/>
        <w:rPr>
          <w:rFonts w:ascii="Times New Roman" w:hAnsi="Times New Roman" w:cs="Times New Roman"/>
        </w:rPr>
      </w:pPr>
      <w:r w:rsidRPr="00520B06">
        <w:rPr>
          <w:rFonts w:ascii="Times New Roman" w:hAnsi="Times New Roman" w:cs="Times New Roman"/>
        </w:rPr>
        <w:t>Devido ao tamanho amostral limitado, as variáveis numéricas foram descritas usando medidas de tendência central e dispersão, especificamente a mediana e os quartis (primeiro e terceiro). As variáveis categóricas foram expressas como frequências relativas, em números absolutos e porcentagens.</w:t>
      </w:r>
    </w:p>
    <w:p w:rsidR="00D0094E" w:rsidP="00991D85" w:rsidRDefault="00520B06" w14:paraId="78DD4BB6" w14:textId="3CC420C5">
      <w:pPr>
        <w:jc w:val="both"/>
        <w:rPr>
          <w:rFonts w:ascii="Times New Roman" w:hAnsi="Times New Roman" w:cs="Times New Roman"/>
        </w:rPr>
      </w:pPr>
      <w:r w:rsidRPr="00520B06">
        <w:rPr>
          <w:rFonts w:ascii="Times New Roman" w:hAnsi="Times New Roman" w:cs="Times New Roman"/>
        </w:rPr>
        <w:t xml:space="preserve">A escolha de testes estatísticos não paramétricos, como o teste de Mann-Whitney, foi feita para avaliar a associação entre variáveis numéricas e categóricas devido à sua maior robustez em amostras pequenas. Este teste é particularmente útil quando os dados não se ajustam às pressuposições da normalidade requeridas pelos testes paramétricos. Quando o cruzamento envolveu uma variável numérica e uma variável categórica com mais de dois níveis, aplicou-se o teste de </w:t>
      </w:r>
      <w:proofErr w:type="spellStart"/>
      <w:r w:rsidRPr="00520B06">
        <w:rPr>
          <w:rFonts w:ascii="Times New Roman" w:hAnsi="Times New Roman" w:cs="Times New Roman"/>
        </w:rPr>
        <w:t>Kruskal</w:t>
      </w:r>
      <w:proofErr w:type="spellEnd"/>
      <w:r w:rsidRPr="00520B06">
        <w:rPr>
          <w:rFonts w:ascii="Times New Roman" w:hAnsi="Times New Roman" w:cs="Times New Roman"/>
        </w:rPr>
        <w:t>-Wallis. Tal teste oferece uma alternativa poderosa ao ANOVA para comparações de medianas entre múltiplos grupos.</w:t>
      </w:r>
      <w:r w:rsidR="00D7716E">
        <w:rPr>
          <w:rFonts w:ascii="Times New Roman" w:hAnsi="Times New Roman" w:cs="Times New Roman"/>
        </w:rPr>
        <w:t xml:space="preserve"> </w:t>
      </w:r>
      <w:r w:rsidRPr="00302E21" w:rsidR="00302E21">
        <w:rPr>
          <w:rFonts w:ascii="Times New Roman" w:hAnsi="Times New Roman" w:cs="Times New Roman"/>
        </w:rPr>
        <w:t xml:space="preserve">O estimador de </w:t>
      </w:r>
      <w:proofErr w:type="spellStart"/>
      <w:r w:rsidRPr="00302E21" w:rsidR="00302E21">
        <w:rPr>
          <w:rFonts w:ascii="Times New Roman" w:hAnsi="Times New Roman" w:cs="Times New Roman"/>
        </w:rPr>
        <w:t>Hodges</w:t>
      </w:r>
      <w:proofErr w:type="spellEnd"/>
      <w:r w:rsidRPr="00302E21" w:rsidR="00302E21">
        <w:rPr>
          <w:rFonts w:ascii="Times New Roman" w:hAnsi="Times New Roman" w:cs="Times New Roman"/>
        </w:rPr>
        <w:t xml:space="preserve">-Lehmann foi empregado para estimar a diferença mediana entre grupos, fornecendo uma métrica de tamanho de efeito juntamente com intervalos de confiança de 95%. Esse método fornece uma estimativa pontual robusta da mediana das diferenças entre dois grupos independentes, servindo como uma alternativa não paramétrica à diferença de médias tipicamente expressa pelo d de Cohen. Ao contrário do d de Cohen, que pressupõe normalidade e igualdade de variâncias entre as populações, o estimador de </w:t>
      </w:r>
      <w:proofErr w:type="spellStart"/>
      <w:r w:rsidRPr="00302E21" w:rsidR="00302E21">
        <w:rPr>
          <w:rFonts w:ascii="Times New Roman" w:hAnsi="Times New Roman" w:cs="Times New Roman"/>
        </w:rPr>
        <w:t>Hodges</w:t>
      </w:r>
      <w:proofErr w:type="spellEnd"/>
      <w:r w:rsidRPr="00302E21" w:rsidR="00302E21">
        <w:rPr>
          <w:rFonts w:ascii="Times New Roman" w:hAnsi="Times New Roman" w:cs="Times New Roman"/>
        </w:rPr>
        <w:t>-Lehmann é adequado para dados que não atendem a esses pressupostos e é particularmente útil quando os dados são assimétricos ou contêm outliers. A utilização desse método permite uma interpretação mais intuitiva do tamanho do efeito em estudos onde as técnicas paramétricas tradicionais não são aplicáveis, contribuindo para uma análise estatística mais precisa e informativa no contexto de amostras pequenas e distribuições não normai</w:t>
      </w:r>
      <w:r w:rsidR="00302E21">
        <w:rPr>
          <w:rFonts w:ascii="Times New Roman" w:hAnsi="Times New Roman" w:cs="Times New Roman"/>
        </w:rPr>
        <w:t>s.</w:t>
      </w:r>
    </w:p>
    <w:p w:rsidRPr="00D7716E" w:rsidR="00D7716E" w:rsidP="00991D85" w:rsidRDefault="00D7716E" w14:paraId="219A7419" w14:textId="614319EE">
      <w:pPr>
        <w:jc w:val="both"/>
        <w:rPr>
          <w:rFonts w:ascii="Times New Roman" w:hAnsi="Times New Roman" w:cs="Times New Roman"/>
        </w:rPr>
      </w:pPr>
      <w:r w:rsidRPr="00520B06">
        <w:rPr>
          <w:rFonts w:ascii="Times New Roman" w:hAnsi="Times New Roman" w:cs="Times New Roman"/>
        </w:rPr>
        <w:t xml:space="preserve">Para as variáveis categóricas, utilizou-se o teste exato de Fisher para variáveis com dois níveis. Este teste é preferido em comparação ao teste do qui-quadrado em amostras pequenas devido à sua capacidade de fornecer resultados exatos, independentemente do tamanho da amostra. Em casos </w:t>
      </w:r>
      <w:proofErr w:type="gramStart"/>
      <w:r w:rsidRPr="00520B06">
        <w:rPr>
          <w:rFonts w:ascii="Times New Roman" w:hAnsi="Times New Roman" w:cs="Times New Roman"/>
        </w:rPr>
        <w:t>onde</w:t>
      </w:r>
      <w:proofErr w:type="gramEnd"/>
      <w:r w:rsidRPr="00520B06">
        <w:rPr>
          <w:rFonts w:ascii="Times New Roman" w:hAnsi="Times New Roman" w:cs="Times New Roman"/>
        </w:rPr>
        <w:t xml:space="preserve"> uma variável categórica tinha três níveis ou mais, o teste do qui-quadrado foi utilizado, que, apesar de ser menos preciso em amostras pequenas que o teste de Fisher, ainda é considerado robusto para a análise de tabelas de contingência com categorias múltiplas.</w:t>
      </w:r>
    </w:p>
    <w:p w:rsidR="00991D85" w:rsidP="00991D85" w:rsidRDefault="00611D06" w14:paraId="192F2A2F" w14:textId="06F5C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D06">
        <w:rPr>
          <w:rFonts w:ascii="Times New Roman" w:hAnsi="Times New Roman" w:cs="Times New Roman"/>
        </w:rPr>
        <w:t>É importante destacar que, mesmo quando os resultados não atingiram um valor de p &lt; 0,05, alguns foram considerados estatisticamente tendenciosos e clinicamente relevantes. Dada a limitação do tamanho amostral, os resultados deste estudo podem ser vistos como preliminares, fornecendo uma base para pesquisas subsequentes. Estudos futuros com amostras maiores podem beneficiar-se destas descobertas iniciais para explorar mais profundamente as tendências observadas e validar as relevâncias clínicas sugeridas. Assim, o presente estudo serve como um passo inicial importante, pavimentando o caminho para investigações mais extensas que podem fornecer confirmações estatísticas com maior poder e precisão.</w:t>
      </w:r>
    </w:p>
    <w:p w:rsidR="00991D85" w:rsidP="00AA7422" w:rsidRDefault="00991D85" w14:paraId="3A932CB5" w14:textId="193173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D85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:rsidR="00991D85" w:rsidP="00991D85" w:rsidRDefault="007A3C21" w14:paraId="0A2FB191" w14:textId="5BF9C1B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Em Relação Análise por grupos</w:t>
      </w:r>
    </w:p>
    <w:p w:rsidRPr="002A7468" w:rsidR="002A7468" w:rsidP="002A7468" w:rsidRDefault="002A7468" w14:paraId="7D57732F" w14:textId="2EF5F6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7468">
        <w:rPr>
          <w:rFonts w:ascii="Times New Roman" w:hAnsi="Times New Roman" w:cs="Times New Roman"/>
          <w:b/>
          <w:bCs/>
        </w:rPr>
        <w:t>Idade:</w:t>
      </w:r>
      <w:r w:rsidRPr="002A7468">
        <w:rPr>
          <w:rFonts w:ascii="Times New Roman" w:hAnsi="Times New Roman" w:cs="Times New Roman"/>
        </w:rPr>
        <w:t xml:space="preserve"> A mediana de idade para o total da amostra foi de 62 anos </w:t>
      </w:r>
      <w:r w:rsidR="00B766D0">
        <w:rPr>
          <w:rFonts w:ascii="Times New Roman" w:hAnsi="Times New Roman" w:cs="Times New Roman"/>
        </w:rPr>
        <w:t>[</w:t>
      </w:r>
      <w:r w:rsidRPr="002A7468">
        <w:rPr>
          <w:rFonts w:ascii="Times New Roman" w:hAnsi="Times New Roman" w:cs="Times New Roman"/>
        </w:rPr>
        <w:t xml:space="preserve">56,75 </w:t>
      </w:r>
      <w:r w:rsidR="00B766D0">
        <w:rPr>
          <w:rFonts w:ascii="Times New Roman" w:hAnsi="Times New Roman" w:cs="Times New Roman"/>
        </w:rPr>
        <w:t>-</w:t>
      </w:r>
      <w:r w:rsidRPr="002A7468">
        <w:rPr>
          <w:rFonts w:ascii="Times New Roman" w:hAnsi="Times New Roman" w:cs="Times New Roman"/>
        </w:rPr>
        <w:t xml:space="preserve"> 69,75</w:t>
      </w:r>
      <w:r w:rsidR="00B766D0">
        <w:rPr>
          <w:rFonts w:ascii="Times New Roman" w:hAnsi="Times New Roman" w:cs="Times New Roman"/>
        </w:rPr>
        <w:t>]</w:t>
      </w:r>
      <w:r w:rsidRPr="002A7468">
        <w:rPr>
          <w:rFonts w:ascii="Times New Roman" w:hAnsi="Times New Roman" w:cs="Times New Roman"/>
        </w:rPr>
        <w:t xml:space="preserve">. Nos grupos de tratamento, a mediana se manteve constante em 62 anos </w:t>
      </w:r>
      <w:r w:rsidR="005C13B2">
        <w:rPr>
          <w:rFonts w:ascii="Times New Roman" w:hAnsi="Times New Roman" w:cs="Times New Roman"/>
        </w:rPr>
        <w:t>[</w:t>
      </w:r>
      <w:r w:rsidRPr="002A7468">
        <w:rPr>
          <w:rFonts w:ascii="Times New Roman" w:hAnsi="Times New Roman" w:cs="Times New Roman"/>
        </w:rPr>
        <w:t xml:space="preserve">59,50 </w:t>
      </w:r>
      <w:r w:rsidR="005C13B2">
        <w:rPr>
          <w:rFonts w:ascii="Times New Roman" w:hAnsi="Times New Roman" w:cs="Times New Roman"/>
        </w:rPr>
        <w:t>-</w:t>
      </w:r>
      <w:r w:rsidRPr="002A7468">
        <w:rPr>
          <w:rFonts w:ascii="Times New Roman" w:hAnsi="Times New Roman" w:cs="Times New Roman"/>
        </w:rPr>
        <w:t xml:space="preserve"> 76,00</w:t>
      </w:r>
      <w:r w:rsidR="005C13B2">
        <w:rPr>
          <w:rFonts w:ascii="Times New Roman" w:hAnsi="Times New Roman" w:cs="Times New Roman"/>
        </w:rPr>
        <w:t>]</w:t>
      </w:r>
      <w:r w:rsidRPr="002A7468">
        <w:rPr>
          <w:rFonts w:ascii="Times New Roman" w:hAnsi="Times New Roman" w:cs="Times New Roman"/>
        </w:rPr>
        <w:t xml:space="preserve"> para o grupo oral e de </w:t>
      </w:r>
      <w:r w:rsidR="00A972F1">
        <w:rPr>
          <w:rFonts w:ascii="Times New Roman" w:hAnsi="Times New Roman" w:cs="Times New Roman"/>
        </w:rPr>
        <w:t>62 anos [</w:t>
      </w:r>
      <w:r w:rsidRPr="002A7468">
        <w:rPr>
          <w:rFonts w:ascii="Times New Roman" w:hAnsi="Times New Roman" w:cs="Times New Roman"/>
        </w:rPr>
        <w:t xml:space="preserve">55,00 </w:t>
      </w:r>
      <w:r w:rsidR="00A972F1">
        <w:rPr>
          <w:rFonts w:ascii="Times New Roman" w:hAnsi="Times New Roman" w:cs="Times New Roman"/>
        </w:rPr>
        <w:t xml:space="preserve">- </w:t>
      </w:r>
      <w:r w:rsidRPr="002A7468">
        <w:rPr>
          <w:rFonts w:ascii="Times New Roman" w:hAnsi="Times New Roman" w:cs="Times New Roman"/>
        </w:rPr>
        <w:t>63,50</w:t>
      </w:r>
      <w:r w:rsidR="00A972F1">
        <w:rPr>
          <w:rFonts w:ascii="Times New Roman" w:hAnsi="Times New Roman" w:cs="Times New Roman"/>
        </w:rPr>
        <w:t>]</w:t>
      </w:r>
      <w:r w:rsidRPr="002A7468">
        <w:rPr>
          <w:rFonts w:ascii="Times New Roman" w:hAnsi="Times New Roman" w:cs="Times New Roman"/>
        </w:rPr>
        <w:t xml:space="preserve"> para o grupo injetável, sem diferença estatística significativa (p=0,56).</w:t>
      </w:r>
    </w:p>
    <w:p w:rsidRPr="002A7468" w:rsidR="002A7468" w:rsidP="002A7468" w:rsidRDefault="002A7468" w14:paraId="1EEADAD2" w14:textId="777777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7468">
        <w:rPr>
          <w:rFonts w:ascii="Times New Roman" w:hAnsi="Times New Roman" w:cs="Times New Roman"/>
          <w:b/>
          <w:bCs/>
        </w:rPr>
        <w:t>Sexo:</w:t>
      </w:r>
      <w:r w:rsidRPr="002A7468">
        <w:rPr>
          <w:rFonts w:ascii="Times New Roman" w:hAnsi="Times New Roman" w:cs="Times New Roman"/>
        </w:rPr>
        <w:t xml:space="preserve"> No grupo total, 20% (n=6/30) dos participantes eram do sexo feminino, enquanto 80% (n=24/30) eram do sexo masculino. No grupo oral, 26,67% (n=4/15) eram do sexo feminino contra 73,33% (n=11/15) do sexo masculino. No grupo injetável, a proporção foi de 13,33% (n=2/15) para o sexo feminino e 86,67% (n=13/15) para o sexo masculino (p=0,65).</w:t>
      </w:r>
    </w:p>
    <w:p w:rsidR="002A7468" w:rsidP="002A7468" w:rsidRDefault="002A7468" w14:paraId="32D970CC" w14:textId="7B2F0F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7468">
        <w:rPr>
          <w:rFonts w:ascii="Times New Roman" w:hAnsi="Times New Roman" w:cs="Times New Roman"/>
          <w:b/>
          <w:bCs/>
        </w:rPr>
        <w:t>Estenose:</w:t>
      </w:r>
      <w:r w:rsidRPr="002A7468">
        <w:rPr>
          <w:rFonts w:ascii="Times New Roman" w:hAnsi="Times New Roman" w:cs="Times New Roman"/>
        </w:rPr>
        <w:t xml:space="preserve"> </w:t>
      </w:r>
      <w:r w:rsidR="000B3D53">
        <w:rPr>
          <w:rFonts w:ascii="Times New Roman" w:hAnsi="Times New Roman" w:cs="Times New Roman"/>
        </w:rPr>
        <w:t xml:space="preserve">A taxa de estenose geral foi de </w:t>
      </w:r>
      <w:r w:rsidR="003F17D3">
        <w:rPr>
          <w:rFonts w:ascii="Times New Roman" w:hAnsi="Times New Roman" w:cs="Times New Roman"/>
        </w:rPr>
        <w:t>53,33% (n=16</w:t>
      </w:r>
      <w:r w:rsidRPr="002A7468" w:rsidR="003F17D3">
        <w:rPr>
          <w:rFonts w:ascii="Times New Roman" w:hAnsi="Times New Roman" w:cs="Times New Roman"/>
        </w:rPr>
        <w:t>/</w:t>
      </w:r>
      <w:r w:rsidR="003F17D3">
        <w:rPr>
          <w:rFonts w:ascii="Times New Roman" w:hAnsi="Times New Roman" w:cs="Times New Roman"/>
        </w:rPr>
        <w:t xml:space="preserve">30), </w:t>
      </w:r>
      <w:r w:rsidRPr="002A7468" w:rsidR="00EF31DB">
        <w:rPr>
          <w:rFonts w:ascii="Times New Roman" w:hAnsi="Times New Roman" w:cs="Times New Roman"/>
        </w:rPr>
        <w:t>no</w:t>
      </w:r>
      <w:r w:rsidRPr="002A7468">
        <w:rPr>
          <w:rFonts w:ascii="Times New Roman" w:hAnsi="Times New Roman" w:cs="Times New Roman"/>
        </w:rPr>
        <w:t xml:space="preserve"> grupo oral, a estenose foi presente em 66,67% (n=10/15) dos casos, comparado a 40,00% (n=6/15) no grupo injetável, sem diferença estatística significativa (p=0,27).</w:t>
      </w:r>
    </w:p>
    <w:p w:rsidR="00713771" w:rsidP="00713771" w:rsidRDefault="00557512" w14:paraId="2DCCECAA" w14:textId="61A7844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Resolução de Estenose</w:t>
      </w:r>
      <w:r w:rsidR="00713771">
        <w:rPr>
          <w:rFonts w:ascii="Times New Roman" w:hAnsi="Times New Roman" w:cs="Times New Roman"/>
          <w:b/>
          <w:bCs/>
        </w:rPr>
        <w:t>:</w:t>
      </w:r>
      <w:r w:rsidR="00713771">
        <w:rPr>
          <w:rFonts w:ascii="Times New Roman" w:hAnsi="Times New Roman" w:cs="Times New Roman"/>
        </w:rPr>
        <w:t xml:space="preserve"> No geral</w:t>
      </w:r>
      <w:r w:rsidR="00DE278C">
        <w:rPr>
          <w:rFonts w:ascii="Times New Roman" w:hAnsi="Times New Roman" w:cs="Times New Roman"/>
        </w:rPr>
        <w:t xml:space="preserve"> houve uma taxa geral de resolução de estenose</w:t>
      </w:r>
      <w:r w:rsidR="00713771">
        <w:rPr>
          <w:rFonts w:ascii="Times New Roman" w:hAnsi="Times New Roman" w:cs="Times New Roman"/>
        </w:rPr>
        <w:t xml:space="preserve"> de </w:t>
      </w:r>
      <w:r w:rsidR="00B06853">
        <w:rPr>
          <w:rFonts w:ascii="Times New Roman" w:hAnsi="Times New Roman" w:cs="Times New Roman"/>
        </w:rPr>
        <w:t>46,67% (n=7</w:t>
      </w:r>
      <w:r w:rsidRPr="002A7468" w:rsidR="00B06853">
        <w:rPr>
          <w:rFonts w:ascii="Times New Roman" w:hAnsi="Times New Roman" w:cs="Times New Roman"/>
        </w:rPr>
        <w:t>/</w:t>
      </w:r>
      <w:r w:rsidR="00B06853">
        <w:rPr>
          <w:rFonts w:ascii="Times New Roman" w:hAnsi="Times New Roman" w:cs="Times New Roman"/>
        </w:rPr>
        <w:t>16), no grupo oral</w:t>
      </w:r>
      <w:r w:rsidR="00E25186">
        <w:rPr>
          <w:rFonts w:ascii="Times New Roman" w:hAnsi="Times New Roman" w:cs="Times New Roman"/>
        </w:rPr>
        <w:t xml:space="preserve"> foi de 50,00% (n=5</w:t>
      </w:r>
      <w:r w:rsidRPr="002A7468" w:rsidR="00E25186">
        <w:rPr>
          <w:rFonts w:ascii="Times New Roman" w:hAnsi="Times New Roman" w:cs="Times New Roman"/>
        </w:rPr>
        <w:t>/</w:t>
      </w:r>
      <w:r w:rsidR="00E25186">
        <w:rPr>
          <w:rFonts w:ascii="Times New Roman" w:hAnsi="Times New Roman" w:cs="Times New Roman"/>
        </w:rPr>
        <w:t>10)</w:t>
      </w:r>
      <w:r w:rsidR="000E3267">
        <w:rPr>
          <w:rFonts w:ascii="Times New Roman" w:hAnsi="Times New Roman" w:cs="Times New Roman"/>
        </w:rPr>
        <w:t>, no grupo injetável 50</w:t>
      </w:r>
      <w:r w:rsidR="00B53CC7">
        <w:rPr>
          <w:rFonts w:ascii="Times New Roman" w:hAnsi="Times New Roman" w:cs="Times New Roman"/>
        </w:rPr>
        <w:t>,00% (2</w:t>
      </w:r>
      <w:r w:rsidRPr="002A7468" w:rsidR="00B53CC7">
        <w:rPr>
          <w:rFonts w:ascii="Times New Roman" w:hAnsi="Times New Roman" w:cs="Times New Roman"/>
        </w:rPr>
        <w:t>/</w:t>
      </w:r>
      <w:r w:rsidR="00B53CC7">
        <w:rPr>
          <w:rFonts w:ascii="Times New Roman" w:hAnsi="Times New Roman" w:cs="Times New Roman"/>
        </w:rPr>
        <w:t xml:space="preserve">6), sem diferença </w:t>
      </w:r>
      <w:r w:rsidR="008C670A">
        <w:rPr>
          <w:rFonts w:ascii="Times New Roman" w:hAnsi="Times New Roman" w:cs="Times New Roman"/>
        </w:rPr>
        <w:t>estatística</w:t>
      </w:r>
      <w:r w:rsidR="00864FA7">
        <w:rPr>
          <w:rFonts w:ascii="Times New Roman" w:hAnsi="Times New Roman" w:cs="Times New Roman"/>
        </w:rPr>
        <w:t xml:space="preserve"> (p=1,00).</w:t>
      </w:r>
    </w:p>
    <w:p w:rsidR="00DF247A" w:rsidP="00DF247A" w:rsidRDefault="00EB1A5C" w14:paraId="2D95C1EF" w14:textId="067496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 xml:space="preserve">Análise por subgrupo circunferência: </w:t>
      </w:r>
      <w:r w:rsidRPr="0D57F08D" w:rsidR="0D57F08D">
        <w:rPr>
          <w:rFonts w:ascii="Times New Roman" w:hAnsi="Times New Roman" w:cs="Times New Roman"/>
        </w:rPr>
        <w:t xml:space="preserve">No subgrupo de pacientes que tiveram ressecção não circunferencial, no grupo oral houve uma taxa de presença de estenose de 44,44% (4/9), enquanto no injetável de 10,00% (1/10), sem diferença estatística (p=0,14). </w:t>
      </w:r>
      <w:r w:rsidRPr="0D57F08D" w:rsidR="0D57F08D">
        <w:rPr>
          <w:rFonts w:ascii="Times New Roman" w:hAnsi="Times New Roman" w:cs="Times New Roman"/>
          <w:highlight w:val="cyan"/>
        </w:rPr>
        <w:t>(TENDENCIOSO / CLINICAMENTE RELEVANTE)</w:t>
      </w:r>
      <w:r w:rsidRPr="0D57F08D" w:rsidR="0D57F08D">
        <w:rPr>
          <w:rFonts w:ascii="Times New Roman" w:hAnsi="Times New Roman" w:cs="Times New Roman"/>
        </w:rPr>
        <w:t xml:space="preserve"> Destes, no grupo oral, houve uma taxa de resolução de estenose de 75% (3/4) </w:t>
      </w:r>
      <w:r w:rsidRPr="0D57F08D" w:rsidR="0D57F08D">
        <w:rPr>
          <w:rFonts w:ascii="Times New Roman" w:hAnsi="Times New Roman" w:cs="Times New Roman"/>
        </w:rPr>
        <w:t>vs</w:t>
      </w:r>
      <w:r w:rsidRPr="0D57F08D" w:rsidR="0D57F08D">
        <w:rPr>
          <w:rFonts w:ascii="Times New Roman" w:hAnsi="Times New Roman" w:cs="Times New Roman"/>
        </w:rPr>
        <w:t xml:space="preserve"> 0% (0/1) grupo injetável, sem diferença estatística (p = 0.40).</w:t>
      </w:r>
    </w:p>
    <w:p w:rsidRPr="00E77B19" w:rsidR="00E77B19" w:rsidP="007C1026" w:rsidRDefault="00103D6A" w14:paraId="0D673DCE" w14:textId="38054219">
      <w:pPr>
        <w:ind w:left="1440"/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</w:rPr>
        <w:t xml:space="preserve">Em contraponto os pacientes que tiveram ressecção circunferencial, os quais obtiveram taxa de estenose de 100% nos dois tratamentos, sem diferença estatística absoluta (p=1,00). Destes, no grupo oral, houve uma taxa de resolução de estenose de 40% (4/11) </w:t>
      </w:r>
      <w:r w:rsidRPr="0D57F08D" w:rsidR="0D57F08D">
        <w:rPr>
          <w:rFonts w:ascii="Times New Roman" w:hAnsi="Times New Roman" w:cs="Times New Roman"/>
        </w:rPr>
        <w:t>vs</w:t>
      </w:r>
      <w:r w:rsidRPr="0D57F08D" w:rsidR="0D57F08D">
        <w:rPr>
          <w:rFonts w:ascii="Times New Roman" w:hAnsi="Times New Roman" w:cs="Times New Roman"/>
        </w:rPr>
        <w:t xml:space="preserve"> 33,33% (2/6) grupo injetável, sem diferença </w:t>
      </w:r>
      <w:r w:rsidRPr="0D57F08D" w:rsidR="0D57F08D">
        <w:rPr>
          <w:rFonts w:ascii="Times New Roman" w:hAnsi="Times New Roman" w:cs="Times New Roman"/>
        </w:rPr>
        <w:t>estatística</w:t>
      </w:r>
      <w:r w:rsidRPr="0D57F08D" w:rsidR="0D57F08D">
        <w:rPr>
          <w:rFonts w:ascii="Times New Roman" w:hAnsi="Times New Roman" w:cs="Times New Roman"/>
        </w:rPr>
        <w:t xml:space="preserve"> (p = 1.00). </w:t>
      </w:r>
    </w:p>
    <w:p w:rsidRPr="00DF247A" w:rsidR="008E0101" w:rsidP="0D57F08D" w:rsidRDefault="00684401" w14:paraId="5FC3449F" w14:textId="7225E00C">
      <w:pPr>
        <w:numPr>
          <w:ilvl w:val="1"/>
          <w:numId w:val="1"/>
        </w:numPr>
        <w:ind/>
        <w:rPr>
          <w:rFonts w:ascii="Times New Roman" w:hAnsi="Times New Roman" w:cs="Times New Roman"/>
          <w:highlight w:val="cyan"/>
        </w:rPr>
      </w:pPr>
      <w:r w:rsidRPr="0D57F08D" w:rsidR="0D57F08D">
        <w:rPr>
          <w:rFonts w:ascii="Times New Roman" w:hAnsi="Times New Roman" w:cs="Times New Roman"/>
          <w:highlight w:val="cyan"/>
        </w:rPr>
        <w:t>(TENDENCIOSO / CLINICAMENTE RELEVANTE</w:t>
      </w:r>
      <w:r w:rsidRPr="0D57F08D" w:rsidR="0D57F08D">
        <w:rPr>
          <w:rFonts w:ascii="Times New Roman" w:hAnsi="Times New Roman" w:cs="Times New Roman"/>
          <w:highlight w:val="cyan"/>
        </w:rPr>
        <w:t>):</w:t>
      </w:r>
      <w:r w:rsidRPr="0D57F08D" w:rsidR="0D57F08D">
        <w:rPr>
          <w:rFonts w:ascii="Times New Roman" w:hAnsi="Times New Roman" w:cs="Times New Roman"/>
          <w:highlight w:val="cyan"/>
        </w:rPr>
        <w:t xml:space="preserve"> no subgrupo não circunferencial, os pacientes submetidos a prevenção com corticoide injetável tiveram uma aparente menor taxa de estenose, apesar do p=0,14</w:t>
      </w:r>
    </w:p>
    <w:p w:rsidRPr="005E76E5" w:rsidR="002A7468" w:rsidP="002A7468" w:rsidRDefault="002A7468" w14:paraId="5AC91906" w14:textId="3211CB5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7468">
        <w:rPr>
          <w:rFonts w:ascii="Times New Roman" w:hAnsi="Times New Roman" w:cs="Times New Roman"/>
          <w:b/>
          <w:bCs/>
        </w:rPr>
        <w:t>Glicemia Basal (mg/dl):</w:t>
      </w:r>
      <w:r w:rsidRPr="002A7468">
        <w:rPr>
          <w:rFonts w:ascii="Times New Roman" w:hAnsi="Times New Roman" w:cs="Times New Roman"/>
        </w:rPr>
        <w:t xml:space="preserve"> Para a glicemia basal</w:t>
      </w:r>
      <w:r w:rsidR="009107EC">
        <w:rPr>
          <w:rFonts w:ascii="Times New Roman" w:hAnsi="Times New Roman" w:cs="Times New Roman"/>
        </w:rPr>
        <w:t xml:space="preserve"> geral teve uma mediana de </w:t>
      </w:r>
      <w:r w:rsidRPr="002A7468">
        <w:rPr>
          <w:rFonts w:ascii="Times New Roman" w:hAnsi="Times New Roman" w:cs="Times New Roman"/>
        </w:rPr>
        <w:t>113,00</w:t>
      </w:r>
      <w:r w:rsidR="007D451A">
        <w:rPr>
          <w:rFonts w:ascii="Times New Roman" w:hAnsi="Times New Roman" w:cs="Times New Roman"/>
        </w:rPr>
        <w:t xml:space="preserve"> mg</w:t>
      </w:r>
      <w:r w:rsidRPr="002A7468" w:rsidR="007D451A">
        <w:rPr>
          <w:rFonts w:ascii="Times New Roman" w:hAnsi="Times New Roman" w:cs="Times New Roman"/>
        </w:rPr>
        <w:t>/</w:t>
      </w:r>
      <w:r w:rsidR="007D451A">
        <w:rPr>
          <w:rFonts w:ascii="Times New Roman" w:hAnsi="Times New Roman" w:cs="Times New Roman"/>
        </w:rPr>
        <w:t>dl [102</w:t>
      </w:r>
      <w:r w:rsidR="00312806">
        <w:rPr>
          <w:rFonts w:ascii="Times New Roman" w:hAnsi="Times New Roman" w:cs="Times New Roman"/>
        </w:rPr>
        <w:t xml:space="preserve">,75 </w:t>
      </w:r>
      <w:r w:rsidR="00673848">
        <w:rPr>
          <w:rFonts w:ascii="Times New Roman" w:hAnsi="Times New Roman" w:cs="Times New Roman"/>
        </w:rPr>
        <w:t>–</w:t>
      </w:r>
      <w:r w:rsidR="00312806">
        <w:rPr>
          <w:rFonts w:ascii="Times New Roman" w:hAnsi="Times New Roman" w:cs="Times New Roman"/>
        </w:rPr>
        <w:t xml:space="preserve"> </w:t>
      </w:r>
      <w:r w:rsidR="00673848">
        <w:rPr>
          <w:rFonts w:ascii="Times New Roman" w:hAnsi="Times New Roman" w:cs="Times New Roman"/>
        </w:rPr>
        <w:t>126,50</w:t>
      </w:r>
      <w:r w:rsidR="007D451A">
        <w:rPr>
          <w:rFonts w:ascii="Times New Roman" w:hAnsi="Times New Roman" w:cs="Times New Roman"/>
        </w:rPr>
        <w:t>]</w:t>
      </w:r>
      <w:r w:rsidRPr="002A7468">
        <w:rPr>
          <w:rFonts w:ascii="Times New Roman" w:hAnsi="Times New Roman" w:cs="Times New Roman"/>
        </w:rPr>
        <w:t xml:space="preserve">, </w:t>
      </w:r>
      <w:r w:rsidR="009107EC">
        <w:rPr>
          <w:rFonts w:ascii="Times New Roman" w:hAnsi="Times New Roman" w:cs="Times New Roman"/>
        </w:rPr>
        <w:t>no grupo oral</w:t>
      </w:r>
      <w:r w:rsidR="00284A42">
        <w:rPr>
          <w:rFonts w:ascii="Times New Roman" w:hAnsi="Times New Roman" w:cs="Times New Roman"/>
        </w:rPr>
        <w:t xml:space="preserve"> </w:t>
      </w:r>
      <w:r w:rsidRPr="002A7468">
        <w:rPr>
          <w:rFonts w:ascii="Times New Roman" w:hAnsi="Times New Roman" w:cs="Times New Roman"/>
        </w:rPr>
        <w:t xml:space="preserve">122,50 </w:t>
      </w:r>
      <w:r w:rsidR="006B07C2">
        <w:rPr>
          <w:rFonts w:ascii="Times New Roman" w:hAnsi="Times New Roman" w:cs="Times New Roman"/>
        </w:rPr>
        <w:t>mg</w:t>
      </w:r>
      <w:r w:rsidRPr="002A7468" w:rsidR="006B07C2">
        <w:rPr>
          <w:rFonts w:ascii="Times New Roman" w:hAnsi="Times New Roman" w:cs="Times New Roman"/>
        </w:rPr>
        <w:t>/</w:t>
      </w:r>
      <w:r w:rsidR="006B07C2">
        <w:rPr>
          <w:rFonts w:ascii="Times New Roman" w:hAnsi="Times New Roman" w:cs="Times New Roman"/>
        </w:rPr>
        <w:t>dl [</w:t>
      </w:r>
      <w:r w:rsidR="00587E58">
        <w:rPr>
          <w:rFonts w:ascii="Times New Roman" w:hAnsi="Times New Roman" w:cs="Times New Roman"/>
        </w:rPr>
        <w:t>113,50 – 136,75</w:t>
      </w:r>
      <w:r w:rsidR="006B07C2">
        <w:rPr>
          <w:rFonts w:ascii="Times New Roman" w:hAnsi="Times New Roman" w:cs="Times New Roman"/>
        </w:rPr>
        <w:t>]</w:t>
      </w:r>
      <w:r w:rsidR="00F13C07">
        <w:rPr>
          <w:rFonts w:ascii="Times New Roman" w:hAnsi="Times New Roman" w:cs="Times New Roman"/>
        </w:rPr>
        <w:t xml:space="preserve">, </w:t>
      </w:r>
      <w:r w:rsidRPr="002A7468">
        <w:rPr>
          <w:rFonts w:ascii="Times New Roman" w:hAnsi="Times New Roman" w:cs="Times New Roman"/>
        </w:rPr>
        <w:t>para o grupo injetável</w:t>
      </w:r>
      <w:r w:rsidR="00F13C07">
        <w:rPr>
          <w:rFonts w:ascii="Times New Roman" w:hAnsi="Times New Roman" w:cs="Times New Roman"/>
        </w:rPr>
        <w:t xml:space="preserve"> </w:t>
      </w:r>
      <w:r w:rsidRPr="002A7468" w:rsidR="00F13C07">
        <w:rPr>
          <w:rFonts w:ascii="Times New Roman" w:hAnsi="Times New Roman" w:cs="Times New Roman"/>
        </w:rPr>
        <w:t>105,50</w:t>
      </w:r>
      <w:r w:rsidR="00F13C07">
        <w:rPr>
          <w:rFonts w:ascii="Times New Roman" w:hAnsi="Times New Roman" w:cs="Times New Roman"/>
        </w:rPr>
        <w:t xml:space="preserve"> mg</w:t>
      </w:r>
      <w:r w:rsidR="00F13C07">
        <w:rPr>
          <w:rFonts w:ascii="Times New Roman" w:hAnsi="Times New Roman" w:cs="Times New Roman"/>
          <w:kern w:val="0"/>
          <w14:ligatures w14:val="none"/>
        </w:rPr>
        <w:t>/dl [</w:t>
      </w:r>
      <w:r w:rsidR="00284A42">
        <w:rPr>
          <w:rFonts w:ascii="Times New Roman" w:hAnsi="Times New Roman" w:cs="Times New Roman"/>
          <w:kern w:val="0"/>
          <w14:ligatures w14:val="none"/>
        </w:rPr>
        <w:t>10</w:t>
      </w:r>
      <w:r w:rsidR="0044695B">
        <w:rPr>
          <w:rFonts w:ascii="Times New Roman" w:hAnsi="Times New Roman" w:cs="Times New Roman"/>
          <w:kern w:val="0"/>
          <w14:ligatures w14:val="none"/>
        </w:rPr>
        <w:t>2,25 – 113,75</w:t>
      </w:r>
      <w:r w:rsidR="00F13C07">
        <w:rPr>
          <w:rFonts w:ascii="Times New Roman" w:hAnsi="Times New Roman" w:cs="Times New Roman"/>
          <w:kern w:val="0"/>
          <w14:ligatures w14:val="none"/>
        </w:rPr>
        <w:t>]</w:t>
      </w:r>
      <w:r w:rsidRPr="002A7468">
        <w:rPr>
          <w:rFonts w:ascii="Times New Roman" w:hAnsi="Times New Roman" w:cs="Times New Roman"/>
        </w:rPr>
        <w:t>. O grupo injetável teve uma mediana mais baixa</w:t>
      </w:r>
      <w:r w:rsidR="00D85B24">
        <w:rPr>
          <w:rFonts w:ascii="Times New Roman" w:hAnsi="Times New Roman" w:cs="Times New Roman"/>
        </w:rPr>
        <w:t>,</w:t>
      </w:r>
      <w:r w:rsidRPr="002A7468">
        <w:rPr>
          <w:rFonts w:ascii="Times New Roman" w:hAnsi="Times New Roman" w:cs="Times New Roman"/>
        </w:rPr>
        <w:t xml:space="preserve"> com diferença estatística (p=0,03).</w:t>
      </w:r>
    </w:p>
    <w:p w:rsidR="005E76E5" w:rsidP="002A7468" w:rsidRDefault="005E76E5" w14:paraId="0E790464" w14:textId="6FB3D08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Glicemia Pós (mg</w:t>
      </w:r>
      <w:r w:rsidRPr="002A7468" w:rsidR="00CA42CE">
        <w:rPr>
          <w:rFonts w:ascii="Times New Roman" w:hAnsi="Times New Roman" w:cs="Times New Roman"/>
          <w:b/>
          <w:bCs/>
        </w:rPr>
        <w:t>/dl):</w:t>
      </w:r>
      <w:r w:rsidRPr="002A7468" w:rsidR="00CA42CE">
        <w:rPr>
          <w:rFonts w:ascii="Times New Roman" w:hAnsi="Times New Roman" w:cs="Times New Roman"/>
        </w:rPr>
        <w:t xml:space="preserve"> Para a glicemia </w:t>
      </w:r>
      <w:r w:rsidR="00CA42CE">
        <w:rPr>
          <w:rFonts w:ascii="Times New Roman" w:hAnsi="Times New Roman" w:cs="Times New Roman"/>
        </w:rPr>
        <w:t>pós geral teve uma mediana de 99</w:t>
      </w:r>
      <w:r w:rsidRPr="002A7468" w:rsidR="00CA42CE">
        <w:rPr>
          <w:rFonts w:ascii="Times New Roman" w:hAnsi="Times New Roman" w:cs="Times New Roman"/>
        </w:rPr>
        <w:t>,00</w:t>
      </w:r>
      <w:r w:rsidR="00CA42CE">
        <w:rPr>
          <w:rFonts w:ascii="Times New Roman" w:hAnsi="Times New Roman" w:cs="Times New Roman"/>
        </w:rPr>
        <w:t xml:space="preserve"> mg</w:t>
      </w:r>
      <w:r w:rsidRPr="002A7468" w:rsidR="00CA42CE">
        <w:rPr>
          <w:rFonts w:ascii="Times New Roman" w:hAnsi="Times New Roman" w:cs="Times New Roman"/>
        </w:rPr>
        <w:t>/</w:t>
      </w:r>
      <w:r w:rsidR="00CA42CE">
        <w:rPr>
          <w:rFonts w:ascii="Times New Roman" w:hAnsi="Times New Roman" w:cs="Times New Roman"/>
        </w:rPr>
        <w:t>dl [90,00 – 110,00]</w:t>
      </w:r>
      <w:r w:rsidRPr="002A7468" w:rsidR="00CA42CE">
        <w:rPr>
          <w:rFonts w:ascii="Times New Roman" w:hAnsi="Times New Roman" w:cs="Times New Roman"/>
        </w:rPr>
        <w:t xml:space="preserve">, </w:t>
      </w:r>
      <w:r w:rsidR="00CA42CE">
        <w:rPr>
          <w:rFonts w:ascii="Times New Roman" w:hAnsi="Times New Roman" w:cs="Times New Roman"/>
        </w:rPr>
        <w:t xml:space="preserve">no grupo oral </w:t>
      </w:r>
      <w:r w:rsidR="00173247">
        <w:rPr>
          <w:rFonts w:ascii="Times New Roman" w:hAnsi="Times New Roman" w:cs="Times New Roman"/>
        </w:rPr>
        <w:t>93,00</w:t>
      </w:r>
      <w:r w:rsidRPr="002A7468" w:rsidR="00CA42CE">
        <w:rPr>
          <w:rFonts w:ascii="Times New Roman" w:hAnsi="Times New Roman" w:cs="Times New Roman"/>
        </w:rPr>
        <w:t xml:space="preserve"> </w:t>
      </w:r>
      <w:r w:rsidR="00CA42CE">
        <w:rPr>
          <w:rFonts w:ascii="Times New Roman" w:hAnsi="Times New Roman" w:cs="Times New Roman"/>
        </w:rPr>
        <w:t>mg</w:t>
      </w:r>
      <w:r w:rsidRPr="002A7468" w:rsidR="00CA42CE">
        <w:rPr>
          <w:rFonts w:ascii="Times New Roman" w:hAnsi="Times New Roman" w:cs="Times New Roman"/>
        </w:rPr>
        <w:t>/</w:t>
      </w:r>
      <w:r w:rsidR="00CA42CE">
        <w:rPr>
          <w:rFonts w:ascii="Times New Roman" w:hAnsi="Times New Roman" w:cs="Times New Roman"/>
        </w:rPr>
        <w:t>dl [</w:t>
      </w:r>
      <w:r w:rsidR="00173247">
        <w:rPr>
          <w:rFonts w:ascii="Times New Roman" w:hAnsi="Times New Roman" w:cs="Times New Roman"/>
        </w:rPr>
        <w:t xml:space="preserve">85,00 </w:t>
      </w:r>
      <w:r w:rsidR="00CA42CE">
        <w:rPr>
          <w:rFonts w:ascii="Times New Roman" w:hAnsi="Times New Roman" w:cs="Times New Roman"/>
        </w:rPr>
        <w:t xml:space="preserve">– </w:t>
      </w:r>
      <w:r w:rsidR="00173247">
        <w:rPr>
          <w:rFonts w:ascii="Times New Roman" w:hAnsi="Times New Roman" w:cs="Times New Roman"/>
        </w:rPr>
        <w:t>107,00</w:t>
      </w:r>
      <w:r w:rsidR="00CA42CE">
        <w:rPr>
          <w:rFonts w:ascii="Times New Roman" w:hAnsi="Times New Roman" w:cs="Times New Roman"/>
        </w:rPr>
        <w:t xml:space="preserve">], </w:t>
      </w:r>
      <w:r w:rsidRPr="002A7468" w:rsidR="00CA42CE">
        <w:rPr>
          <w:rFonts w:ascii="Times New Roman" w:hAnsi="Times New Roman" w:cs="Times New Roman"/>
        </w:rPr>
        <w:t>para o grupo injetável</w:t>
      </w:r>
      <w:r w:rsidR="00CA42CE">
        <w:rPr>
          <w:rFonts w:ascii="Times New Roman" w:hAnsi="Times New Roman" w:cs="Times New Roman"/>
        </w:rPr>
        <w:t xml:space="preserve"> </w:t>
      </w:r>
      <w:r w:rsidR="00B0320A">
        <w:rPr>
          <w:rFonts w:ascii="Times New Roman" w:hAnsi="Times New Roman" w:cs="Times New Roman"/>
        </w:rPr>
        <w:t>100,00</w:t>
      </w:r>
      <w:r w:rsidR="00CA42CE">
        <w:rPr>
          <w:rFonts w:ascii="Times New Roman" w:hAnsi="Times New Roman" w:cs="Times New Roman"/>
        </w:rPr>
        <w:t xml:space="preserve"> mg</w:t>
      </w:r>
      <w:r w:rsidR="00CA42CE">
        <w:rPr>
          <w:rFonts w:ascii="Times New Roman" w:hAnsi="Times New Roman" w:cs="Times New Roman"/>
          <w:kern w:val="0"/>
          <w14:ligatures w14:val="none"/>
        </w:rPr>
        <w:t>/dl [</w:t>
      </w:r>
      <w:r w:rsidR="00B0320A">
        <w:rPr>
          <w:rFonts w:ascii="Times New Roman" w:hAnsi="Times New Roman" w:cs="Times New Roman"/>
          <w:kern w:val="0"/>
          <w14:ligatures w14:val="none"/>
        </w:rPr>
        <w:t>91,75</w:t>
      </w:r>
      <w:r w:rsidR="00CA42CE">
        <w:rPr>
          <w:rFonts w:ascii="Times New Roman" w:hAnsi="Times New Roman" w:cs="Times New Roman"/>
          <w:kern w:val="0"/>
          <w14:ligatures w14:val="none"/>
        </w:rPr>
        <w:t xml:space="preserve"> – </w:t>
      </w:r>
      <w:r w:rsidR="00B0320A">
        <w:rPr>
          <w:rFonts w:ascii="Times New Roman" w:hAnsi="Times New Roman" w:cs="Times New Roman"/>
          <w:kern w:val="0"/>
          <w14:ligatures w14:val="none"/>
        </w:rPr>
        <w:t>108,00</w:t>
      </w:r>
      <w:r w:rsidR="00CA42CE">
        <w:rPr>
          <w:rFonts w:ascii="Times New Roman" w:hAnsi="Times New Roman" w:cs="Times New Roman"/>
          <w:kern w:val="0"/>
          <w14:ligatures w14:val="none"/>
        </w:rPr>
        <w:t>]</w:t>
      </w:r>
      <w:r w:rsidRPr="002A7468" w:rsidR="00CA42CE">
        <w:rPr>
          <w:rFonts w:ascii="Times New Roman" w:hAnsi="Times New Roman" w:cs="Times New Roman"/>
        </w:rPr>
        <w:t>. O grupo injetável teve uma mediana mais baixa</w:t>
      </w:r>
      <w:r w:rsidR="00D85B24">
        <w:rPr>
          <w:rFonts w:ascii="Times New Roman" w:hAnsi="Times New Roman" w:cs="Times New Roman"/>
        </w:rPr>
        <w:t>,</w:t>
      </w:r>
      <w:r w:rsidRPr="002A7468" w:rsidR="00CA42CE">
        <w:rPr>
          <w:rFonts w:ascii="Times New Roman" w:hAnsi="Times New Roman" w:cs="Times New Roman"/>
        </w:rPr>
        <w:t xml:space="preserve"> </w:t>
      </w:r>
      <w:r w:rsidR="00C54421">
        <w:rPr>
          <w:rFonts w:ascii="Times New Roman" w:hAnsi="Times New Roman" w:cs="Times New Roman"/>
        </w:rPr>
        <w:t xml:space="preserve">sem </w:t>
      </w:r>
      <w:r w:rsidRPr="002A7468" w:rsidR="00CA42CE">
        <w:rPr>
          <w:rFonts w:ascii="Times New Roman" w:hAnsi="Times New Roman" w:cs="Times New Roman"/>
        </w:rPr>
        <w:t>diferença estatística (p=0,</w:t>
      </w:r>
      <w:r w:rsidR="00C62C00">
        <w:rPr>
          <w:rFonts w:ascii="Times New Roman" w:hAnsi="Times New Roman" w:cs="Times New Roman"/>
        </w:rPr>
        <w:t>41</w:t>
      </w:r>
      <w:r w:rsidRPr="002A7468" w:rsidR="00CA42CE">
        <w:rPr>
          <w:rFonts w:ascii="Times New Roman" w:hAnsi="Times New Roman" w:cs="Times New Roman"/>
        </w:rPr>
        <w:t>).</w:t>
      </w:r>
    </w:p>
    <w:p w:rsidR="00E673C8" w:rsidP="00E673C8" w:rsidRDefault="00E673C8" w14:paraId="491EC7CD" w14:textId="7E1DCBBF">
      <w:pPr>
        <w:ind w:left="720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581E487C" wp14:editId="1CCF9EAE">
            <wp:extent cx="3678382" cy="2455573"/>
            <wp:effectExtent l="0" t="0" r="0" b="1905"/>
            <wp:docPr id="224698769" name="Imagem 224698769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8769" name="Imagem 6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31" cy="246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A7468" w:rsidR="0065104C" w:rsidP="0065104C" w:rsidRDefault="000F2D31" w14:paraId="33F6EC1C" w14:textId="16159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Glicemia Basal (mg</w:t>
      </w:r>
      <w:r w:rsidRPr="002A7468">
        <w:rPr>
          <w:rFonts w:ascii="Times New Roman" w:hAnsi="Times New Roman" w:cs="Times New Roman"/>
          <w:b/>
          <w:bCs/>
        </w:rPr>
        <w:t>/dl)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vs</w:t>
      </w:r>
      <w:proofErr w:type="spellEnd"/>
      <w:r>
        <w:rPr>
          <w:rFonts w:ascii="Times New Roman" w:hAnsi="Times New Roman" w:cs="Times New Roman"/>
          <w:b/>
          <w:bCs/>
        </w:rPr>
        <w:t xml:space="preserve"> Glicemia Pós (mg</w:t>
      </w:r>
      <w:r w:rsidRPr="002A7468">
        <w:rPr>
          <w:rFonts w:ascii="Times New Roman" w:hAnsi="Times New Roman" w:cs="Times New Roman"/>
          <w:b/>
          <w:bCs/>
        </w:rPr>
        <w:t>/dl):</w:t>
      </w:r>
      <w:r>
        <w:rPr>
          <w:rFonts w:ascii="Times New Roman" w:hAnsi="Times New Roman" w:cs="Times New Roman"/>
          <w:b/>
          <w:bCs/>
        </w:rPr>
        <w:t xml:space="preserve"> </w:t>
      </w:r>
      <w:r w:rsidRPr="00DB2726" w:rsidR="0065104C">
        <w:rPr>
          <w:rFonts w:ascii="Times New Roman" w:hAnsi="Times New Roman" w:cs="Times New Roman"/>
        </w:rPr>
        <w:t>Contrariamente ao que se poderia esperar, ambos os grupos experimentaram uma redução nos níveis de glicemia após 24 semanas de tratamento. No grupo tratado com corticoides orais, a mediana da glicemia diminuiu significativamente de 122,5</w:t>
      </w:r>
      <w:r w:rsidRPr="001D22CB" w:rsidR="001D22CB">
        <w:rPr>
          <w:rFonts w:ascii="Times New Roman" w:hAnsi="Times New Roman" w:cs="Times New Roman"/>
        </w:rPr>
        <w:t xml:space="preserve"> </w:t>
      </w:r>
      <w:r w:rsidR="001D22CB">
        <w:rPr>
          <w:rFonts w:ascii="Times New Roman" w:hAnsi="Times New Roman" w:cs="Times New Roman"/>
        </w:rPr>
        <w:t>mg</w:t>
      </w:r>
      <w:r w:rsidR="001D22CB">
        <w:rPr>
          <w:rFonts w:ascii="Times New Roman" w:hAnsi="Times New Roman" w:cs="Times New Roman"/>
          <w:kern w:val="0"/>
          <w14:ligatures w14:val="none"/>
        </w:rPr>
        <w:t>/dl</w:t>
      </w:r>
      <w:r w:rsidRPr="00DB2726" w:rsidR="0065104C">
        <w:rPr>
          <w:rFonts w:ascii="Times New Roman" w:hAnsi="Times New Roman" w:cs="Times New Roman"/>
        </w:rPr>
        <w:t xml:space="preserve"> [84,92 - 169,05] para 95 </w:t>
      </w:r>
      <w:r w:rsidR="001D22CB">
        <w:rPr>
          <w:rFonts w:ascii="Times New Roman" w:hAnsi="Times New Roman" w:cs="Times New Roman"/>
        </w:rPr>
        <w:t>mg</w:t>
      </w:r>
      <w:r w:rsidR="001D22CB">
        <w:rPr>
          <w:rFonts w:ascii="Times New Roman" w:hAnsi="Times New Roman" w:cs="Times New Roman"/>
          <w:kern w:val="0"/>
          <w14:ligatures w14:val="none"/>
        </w:rPr>
        <w:t>/dl</w:t>
      </w:r>
      <w:r w:rsidRPr="00DB2726" w:rsidR="001D22CB">
        <w:rPr>
          <w:rFonts w:ascii="Times New Roman" w:hAnsi="Times New Roman" w:cs="Times New Roman"/>
        </w:rPr>
        <w:t xml:space="preserve"> </w:t>
      </w:r>
      <w:r w:rsidRPr="00DB2726" w:rsidR="0065104C">
        <w:rPr>
          <w:rFonts w:ascii="Times New Roman" w:hAnsi="Times New Roman" w:cs="Times New Roman"/>
        </w:rPr>
        <w:t>[78,28 - 135,05] (p=0,005). A diferença mediana estimada foi de -25</w:t>
      </w:r>
      <w:r w:rsidRPr="001D22CB" w:rsidR="001D22CB">
        <w:rPr>
          <w:rFonts w:ascii="Times New Roman" w:hAnsi="Times New Roman" w:cs="Times New Roman"/>
        </w:rPr>
        <w:t xml:space="preserve"> </w:t>
      </w:r>
      <w:r w:rsidR="001D22CB">
        <w:rPr>
          <w:rFonts w:ascii="Times New Roman" w:hAnsi="Times New Roman" w:cs="Times New Roman"/>
        </w:rPr>
        <w:t>mg</w:t>
      </w:r>
      <w:r w:rsidR="001D22CB">
        <w:rPr>
          <w:rFonts w:ascii="Times New Roman" w:hAnsi="Times New Roman" w:cs="Times New Roman"/>
          <w:kern w:val="0"/>
          <w14:ligatures w14:val="none"/>
        </w:rPr>
        <w:t>/dl</w:t>
      </w:r>
      <w:r w:rsidRPr="00DB2726" w:rsidR="0065104C">
        <w:rPr>
          <w:rFonts w:ascii="Times New Roman" w:hAnsi="Times New Roman" w:cs="Times New Roman"/>
        </w:rPr>
        <w:t xml:space="preserve"> (IC 95%: -40,5 </w:t>
      </w:r>
      <w:r w:rsidR="00C04EE6">
        <w:rPr>
          <w:rFonts w:ascii="Times New Roman" w:hAnsi="Times New Roman" w:cs="Times New Roman"/>
        </w:rPr>
        <w:t>a</w:t>
      </w:r>
      <w:r w:rsidRPr="00DB2726" w:rsidR="0065104C">
        <w:rPr>
          <w:rFonts w:ascii="Times New Roman" w:hAnsi="Times New Roman" w:cs="Times New Roman"/>
        </w:rPr>
        <w:t xml:space="preserve"> -9,5). No grupo tratado com corticoides injetáveis, embora a glicemia mediana tenha diminuído de 105,5 [80,6 - 144,2] para 100 </w:t>
      </w:r>
      <w:r w:rsidR="001D22CB">
        <w:rPr>
          <w:rFonts w:ascii="Times New Roman" w:hAnsi="Times New Roman" w:cs="Times New Roman"/>
        </w:rPr>
        <w:t>mg</w:t>
      </w:r>
      <w:r w:rsidR="001D22CB">
        <w:rPr>
          <w:rFonts w:ascii="Times New Roman" w:hAnsi="Times New Roman" w:cs="Times New Roman"/>
          <w:kern w:val="0"/>
          <w14:ligatures w14:val="none"/>
        </w:rPr>
        <w:t>/dl</w:t>
      </w:r>
      <w:r w:rsidRPr="00DB2726" w:rsidR="001D22CB">
        <w:rPr>
          <w:rFonts w:ascii="Times New Roman" w:hAnsi="Times New Roman" w:cs="Times New Roman"/>
        </w:rPr>
        <w:t xml:space="preserve"> </w:t>
      </w:r>
      <w:r w:rsidRPr="00DB2726" w:rsidR="0065104C">
        <w:rPr>
          <w:rFonts w:ascii="Times New Roman" w:hAnsi="Times New Roman" w:cs="Times New Roman"/>
        </w:rPr>
        <w:t xml:space="preserve">[77,17 - 126,72], essa mudança não foi estatisticamente significativa (p=0,310). A diferença mediana estimada foi de -7 </w:t>
      </w:r>
      <w:r w:rsidR="001D22CB">
        <w:rPr>
          <w:rFonts w:ascii="Times New Roman" w:hAnsi="Times New Roman" w:cs="Times New Roman"/>
        </w:rPr>
        <w:t>mg</w:t>
      </w:r>
      <w:r w:rsidR="001D22CB">
        <w:rPr>
          <w:rFonts w:ascii="Times New Roman" w:hAnsi="Times New Roman" w:cs="Times New Roman"/>
          <w:kern w:val="0"/>
          <w14:ligatures w14:val="none"/>
        </w:rPr>
        <w:t>/dl</w:t>
      </w:r>
      <w:r w:rsidRPr="00DB2726" w:rsidR="001D22CB">
        <w:rPr>
          <w:rFonts w:ascii="Times New Roman" w:hAnsi="Times New Roman" w:cs="Times New Roman"/>
        </w:rPr>
        <w:t xml:space="preserve"> </w:t>
      </w:r>
      <w:r w:rsidRPr="00DB2726" w:rsidR="0065104C">
        <w:rPr>
          <w:rFonts w:ascii="Times New Roman" w:hAnsi="Times New Roman" w:cs="Times New Roman"/>
        </w:rPr>
        <w:t xml:space="preserve">(IC 95%: -19,5 </w:t>
      </w:r>
      <w:r w:rsidR="00B87FED">
        <w:rPr>
          <w:rFonts w:ascii="Times New Roman" w:hAnsi="Times New Roman" w:cs="Times New Roman"/>
        </w:rPr>
        <w:t>-</w:t>
      </w:r>
      <w:r w:rsidR="00C04EE6">
        <w:rPr>
          <w:rFonts w:ascii="Times New Roman" w:hAnsi="Times New Roman" w:cs="Times New Roman"/>
        </w:rPr>
        <w:t xml:space="preserve"> </w:t>
      </w:r>
      <w:r w:rsidRPr="00DB2726" w:rsidR="0065104C">
        <w:rPr>
          <w:rFonts w:ascii="Times New Roman" w:hAnsi="Times New Roman" w:cs="Times New Roman"/>
        </w:rPr>
        <w:t>6).</w:t>
      </w:r>
    </w:p>
    <w:p w:rsidR="002A7468" w:rsidP="002A7468" w:rsidRDefault="002A7468" w14:paraId="6FD1EFFE" w14:textId="04C2D9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7468">
        <w:rPr>
          <w:rFonts w:ascii="Times New Roman" w:hAnsi="Times New Roman" w:cs="Times New Roman"/>
          <w:b/>
          <w:bCs/>
        </w:rPr>
        <w:t>Número de Dilatações (até 24 Semanas):</w:t>
      </w:r>
      <w:r w:rsidRPr="002A7468">
        <w:rPr>
          <w:rFonts w:ascii="Times New Roman" w:hAnsi="Times New Roman" w:cs="Times New Roman"/>
        </w:rPr>
        <w:t xml:space="preserve"> A mediana do número de dilatações foi de 6 [4 - 11] para o total dos grupos, 5 [3,25 - 8,25] para o grupo oral e 9,50 [6,50 - 13,25] para o grupo injetável, sem diferença estatística significativa (p=0,11).</w:t>
      </w:r>
      <w:r w:rsidR="004F7375">
        <w:rPr>
          <w:rFonts w:ascii="Times New Roman" w:hAnsi="Times New Roman" w:cs="Times New Roman"/>
        </w:rPr>
        <w:t xml:space="preserve"> Com diferença mediana de 7,</w:t>
      </w:r>
      <w:r w:rsidR="00B37C0E">
        <w:rPr>
          <w:rFonts w:ascii="Times New Roman" w:hAnsi="Times New Roman" w:cs="Times New Roman"/>
        </w:rPr>
        <w:t>75 (IC 95% 2,00 – 11,00).</w:t>
      </w:r>
    </w:p>
    <w:p w:rsidR="00D5265A" w:rsidP="00EB1A5C" w:rsidRDefault="00194176" w14:paraId="79A6FB2C" w14:textId="0738F3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Análise por subgrupo de circunferência:</w:t>
      </w:r>
      <w:r w:rsidRPr="0D57F08D" w:rsidR="0D57F08D">
        <w:rPr>
          <w:rFonts w:ascii="Times New Roman" w:hAnsi="Times New Roman" w:cs="Times New Roman"/>
        </w:rPr>
        <w:t xml:space="preserve"> No subgrupo de pacientes que tiveram ressecção não circunferencial, no grupo oral foram necessárias 5 [3,50 – 6,75] dilatações para resolver estenose, enquanto no injetável de 5 [5 – 5], sem diferença estatística absoluta (p=1,00). Em contraponto dos pacientes que tiveram ressecção circunferencial, que no grupo oral foi necessário 5 [3.25 – 9.75] dilatações para resolver estenose, no grupo injetável 11 [8 – 14], sem diferença estatística absoluta (p=0,19).</w:t>
      </w:r>
      <w:r w:rsidRPr="0D57F08D" w:rsidR="0D57F08D">
        <w:rPr>
          <w:rFonts w:ascii="Times New Roman" w:hAnsi="Times New Roman" w:cs="Times New Roman"/>
          <w:highlight w:val="cyan"/>
        </w:rPr>
        <w:t xml:space="preserve"> (TENDENCIOSO / CLINICAMENTE RELEVANTE)</w:t>
      </w:r>
    </w:p>
    <w:p w:rsidR="00B32081" w:rsidP="00B32081" w:rsidRDefault="002A7468" w14:paraId="5007CD70" w14:textId="036961B9" w14:noSpellErr="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Número de Dilatações (mais de 24 Semanas):</w:t>
      </w:r>
      <w:r w:rsidRPr="0D57F08D" w:rsidR="0D57F08D">
        <w:rPr>
          <w:rFonts w:ascii="Times New Roman" w:hAnsi="Times New Roman" w:cs="Times New Roman"/>
        </w:rPr>
        <w:t xml:space="preserve"> A mediana do número de dilatações após 24 semanas foi de 6,50 [4,00 - 16,00] para o total dos grupos, com o grupo oral apresentando uma mediana de 5 [3,25 - 8,25] e o grupo injetável uma mediana significativamente maior de 13,50 [7,25 - 19,75] </w:t>
      </w:r>
      <w:r w:rsidRPr="0D57F08D" w:rsidR="0D57F08D">
        <w:rPr>
          <w:rFonts w:ascii="Times New Roman" w:hAnsi="Times New Roman" w:cs="Times New Roman"/>
          <w:highlight w:val="cyan"/>
        </w:rPr>
        <w:t>(p=0,04)</w:t>
      </w:r>
      <w:r w:rsidRPr="0D57F08D" w:rsidR="0D57F08D">
        <w:rPr>
          <w:rFonts w:ascii="Times New Roman" w:hAnsi="Times New Roman" w:cs="Times New Roman"/>
        </w:rPr>
        <w:t>.</w:t>
      </w:r>
      <w:r w:rsidRPr="0D57F08D" w:rsidR="0D57F08D">
        <w:rPr>
          <w:rFonts w:ascii="Times New Roman" w:hAnsi="Times New Roman" w:cs="Times New Roman"/>
        </w:rPr>
        <w:t xml:space="preserve"> Com diferença mediana de </w:t>
      </w:r>
      <w:r w:rsidRPr="0D57F08D" w:rsidR="0D57F08D">
        <w:rPr>
          <w:rFonts w:ascii="Times New Roman" w:hAnsi="Times New Roman" w:cs="Times New Roman"/>
        </w:rPr>
        <w:t>18,75 (2,00 – 41,00)</w:t>
      </w:r>
      <w:r w:rsidRPr="0D57F08D" w:rsidR="0D57F08D">
        <w:rPr>
          <w:rFonts w:ascii="Times New Roman" w:hAnsi="Times New Roman" w:cs="Times New Roman"/>
        </w:rPr>
        <w:t>.</w:t>
      </w:r>
    </w:p>
    <w:p w:rsidR="0D57F08D" w:rsidP="0D57F08D" w:rsidRDefault="0D57F08D" w14:paraId="09C6B83D" w14:textId="0AF039DC">
      <w:pPr>
        <w:pStyle w:val="Normal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highlight w:val="cy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Análise por subgrupo de circunferência:</w:t>
      </w:r>
      <w:r w:rsidRPr="0D57F08D" w:rsidR="0D57F08D">
        <w:rPr>
          <w:rFonts w:ascii="Times New Roman" w:hAnsi="Times New Roman" w:cs="Times New Roman"/>
        </w:rPr>
        <w:t xml:space="preserve"> No subgrupo de pacientes que tiveram ressecção não circunferencial, no grupo oral foram necessárias 5 [3,50 – 6,75] dilatações para resolver estenose, enquanto no injetável de 5 [5 – 7], sem diferença estatística quase absoluta (p=0,80). Em contraponto dos pacientes que tiveram ressecção circunferencial, que no grupo oral foram necessárias 5 [3.25 – 12.75] dilatações para resolver estenose, no grupo injetável foram necessárias 19 [8 – 20], sem diferença estatística absoluta (p=0,11).</w:t>
      </w:r>
      <w:r w:rsidRPr="0D57F08D" w:rsidR="0D57F08D">
        <w:rPr>
          <w:rFonts w:ascii="Times New Roman" w:hAnsi="Times New Roman" w:cs="Times New Roman"/>
          <w:highlight w:val="cyan"/>
        </w:rPr>
        <w:t xml:space="preserve"> (TENDENCIOSO / CLINICAMENTE RELEVANTE)</w:t>
      </w:r>
      <w:r w:rsidRPr="0D57F08D" w:rsidR="0D57F08D">
        <w:rPr>
          <w:rFonts w:ascii="Times New Roman" w:hAnsi="Times New Roman" w:cs="Times New Roman"/>
        </w:rPr>
        <w:t xml:space="preserve"> </w:t>
      </w:r>
      <w:r w:rsidRPr="0D57F08D" w:rsidR="0D57F08D">
        <w:rPr>
          <w:rFonts w:ascii="Times New Roman" w:hAnsi="Times New Roman" w:cs="Times New Roman"/>
          <w:highlight w:val="cyan"/>
        </w:rPr>
        <w:t>aparentemente os casos de ressecção circunferencial tratados com corticoide injetável necessitaram de um maior número de dilatações para resolução da estenose</w:t>
      </w:r>
    </w:p>
    <w:p w:rsidR="00E673C8" w:rsidP="00E673C8" w:rsidRDefault="00E673C8" w14:paraId="4A7E4C65" w14:textId="0DBB9E4D">
      <w:pPr>
        <w:ind w:left="720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675F257A" wp14:editId="482DB5A0">
            <wp:extent cx="1816100" cy="2273132"/>
            <wp:effectExtent l="0" t="0" r="0" b="0"/>
            <wp:docPr id="554241813" name="Imagem 55424181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41813" name="Imagem 1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651" cy="228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726" w:rsidR="00F62DF0">
        <w:rPr>
          <w:rFonts w:ascii="Times New Roman" w:hAnsi="Times New Roman" w:cs="Times New Roman"/>
          <w:noProof/>
        </w:rPr>
        <w:drawing>
          <wp:inline distT="0" distB="0" distL="0" distR="0" wp14:anchorId="71B4A1CC" wp14:editId="39B0074C">
            <wp:extent cx="3538511" cy="2362200"/>
            <wp:effectExtent l="0" t="0" r="5080" b="0"/>
            <wp:docPr id="141483480" name="Imagem 141483480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3480" name="Imagem 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71" cy="23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A7468" w:rsidR="00F62DF0" w:rsidP="00E673C8" w:rsidRDefault="00F62DF0" w14:paraId="0A1FFBB5" w14:textId="6C6B9BCE">
      <w:pPr>
        <w:ind w:left="720"/>
        <w:rPr>
          <w:rFonts w:ascii="Times New Roman" w:hAnsi="Times New Roman" w:cs="Times New Roman"/>
        </w:rPr>
      </w:pPr>
      <w:r w:rsidRPr="000D6C7B">
        <w:rPr>
          <w:rFonts w:ascii="Times New Roman" w:hAnsi="Times New Roman" w:cs="Times New Roman"/>
          <w:highlight w:val="cyan"/>
        </w:rPr>
        <w:t xml:space="preserve">Em geral o </w:t>
      </w:r>
      <w:r w:rsidRPr="000D6C7B" w:rsidR="000D6C7B">
        <w:rPr>
          <w:rFonts w:ascii="Times New Roman" w:hAnsi="Times New Roman" w:cs="Times New Roman"/>
          <w:highlight w:val="cyan"/>
        </w:rPr>
        <w:t>número</w:t>
      </w:r>
      <w:r w:rsidRPr="000D6C7B">
        <w:rPr>
          <w:rFonts w:ascii="Times New Roman" w:hAnsi="Times New Roman" w:cs="Times New Roman"/>
          <w:highlight w:val="cyan"/>
        </w:rPr>
        <w:t xml:space="preserve"> de dilatação foi ma</w:t>
      </w:r>
      <w:r w:rsidR="00A941FC">
        <w:rPr>
          <w:rFonts w:ascii="Times New Roman" w:hAnsi="Times New Roman" w:cs="Times New Roman"/>
          <w:highlight w:val="cyan"/>
        </w:rPr>
        <w:t>ior</w:t>
      </w:r>
      <w:r w:rsidRPr="000D6C7B">
        <w:rPr>
          <w:rFonts w:ascii="Times New Roman" w:hAnsi="Times New Roman" w:cs="Times New Roman"/>
          <w:highlight w:val="cyan"/>
        </w:rPr>
        <w:t xml:space="preserve"> </w:t>
      </w:r>
      <w:r w:rsidRPr="000D6C7B" w:rsidR="00FB3EC9">
        <w:rPr>
          <w:rFonts w:ascii="Times New Roman" w:hAnsi="Times New Roman" w:cs="Times New Roman"/>
          <w:highlight w:val="cyan"/>
        </w:rPr>
        <w:t>para o</w:t>
      </w:r>
      <w:r w:rsidRPr="000D6C7B">
        <w:rPr>
          <w:rFonts w:ascii="Times New Roman" w:hAnsi="Times New Roman" w:cs="Times New Roman"/>
          <w:highlight w:val="cyan"/>
        </w:rPr>
        <w:t xml:space="preserve"> grupo injetável, tanto na perspectiva geral, quando nos casos daqueles que </w:t>
      </w:r>
      <w:r w:rsidRPr="000D6C7B" w:rsidR="000D6C7B">
        <w:rPr>
          <w:rFonts w:ascii="Times New Roman" w:hAnsi="Times New Roman" w:cs="Times New Roman"/>
          <w:highlight w:val="cyan"/>
        </w:rPr>
        <w:t>resolveram e não resolveram estenose.</w:t>
      </w:r>
    </w:p>
    <w:p w:rsidRPr="00E17493" w:rsidR="003468CB" w:rsidP="00E17493" w:rsidRDefault="002A7468" w14:paraId="0C66321C" w14:textId="2C7AA66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A7468">
        <w:rPr>
          <w:rFonts w:ascii="Times New Roman" w:hAnsi="Times New Roman" w:cs="Times New Roman"/>
          <w:b/>
          <w:bCs/>
        </w:rPr>
        <w:t>Complicações:</w:t>
      </w:r>
      <w:r w:rsidRPr="002A7468">
        <w:rPr>
          <w:rFonts w:ascii="Times New Roman" w:hAnsi="Times New Roman" w:cs="Times New Roman"/>
        </w:rPr>
        <w:t xml:space="preserve"> A taxa de complicações foi de 10% (n=3/30) no geral, 6,67% (n=1/15) no grupo oral e 13,33% (n=2/15) no grupo injetável, sem diferença estatística (p=1,00).</w:t>
      </w:r>
    </w:p>
    <w:p w:rsidR="00B65E08" w:rsidP="00991D85" w:rsidRDefault="00667BEB" w14:paraId="780A4974" w14:textId="6735FE9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Taxa de Estenose</w:t>
      </w:r>
      <w:r w:rsidR="0039032A">
        <w:rPr>
          <w:b/>
          <w:bCs/>
          <w:i/>
          <w:iCs/>
          <w:sz w:val="28"/>
          <w:szCs w:val="28"/>
        </w:rPr>
        <w:t xml:space="preserve"> por grupo</w:t>
      </w:r>
    </w:p>
    <w:p w:rsidR="0039032A" w:rsidP="00991D85" w:rsidRDefault="0039032A" w14:paraId="06D7B0FC" w14:textId="5699E1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cyan"/>
        </w:rPr>
        <w:t xml:space="preserve">Essa análise é interessante para verificar se alguma característica ou tratamento está associada a mais a presença de estenose </w:t>
      </w:r>
    </w:p>
    <w:p w:rsidR="00DA2488" w:rsidP="00991D85" w:rsidRDefault="00DA2488" w14:paraId="0C534F66" w14:textId="52318408">
      <w:pPr>
        <w:rPr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highlight w:val="cyan"/>
        </w:rPr>
        <w:t>(</w:t>
      </w:r>
      <w:proofErr w:type="spellStart"/>
      <w:r>
        <w:rPr>
          <w:rFonts w:ascii="Times New Roman" w:hAnsi="Times New Roman" w:cs="Times New Roman"/>
          <w:highlight w:val="cyan"/>
        </w:rPr>
        <w:t>obs</w:t>
      </w:r>
      <w:proofErr w:type="spellEnd"/>
      <w:r>
        <w:rPr>
          <w:rFonts w:ascii="Times New Roman" w:hAnsi="Times New Roman" w:cs="Times New Roman"/>
          <w:highlight w:val="cyan"/>
        </w:rPr>
        <w:t xml:space="preserve">: nas sub </w:t>
      </w:r>
      <w:r w:rsidR="00F71A01">
        <w:rPr>
          <w:rFonts w:ascii="Times New Roman" w:hAnsi="Times New Roman" w:cs="Times New Roman"/>
          <w:highlight w:val="cyan"/>
        </w:rPr>
        <w:t>análises</w:t>
      </w:r>
      <w:r>
        <w:rPr>
          <w:rFonts w:ascii="Times New Roman" w:hAnsi="Times New Roman" w:cs="Times New Roman"/>
          <w:highlight w:val="cyan"/>
        </w:rPr>
        <w:t xml:space="preserve"> por </w:t>
      </w:r>
      <w:r w:rsidR="006D237E">
        <w:rPr>
          <w:rFonts w:ascii="Times New Roman" w:hAnsi="Times New Roman" w:cs="Times New Roman"/>
          <w:highlight w:val="cyan"/>
        </w:rPr>
        <w:t>circunferência, dos pacientes que tiveram ressecção circunferencial todos tiveram estenose)</w:t>
      </w:r>
    </w:p>
    <w:p w:rsidRPr="00B65E08" w:rsidR="00B65E08" w:rsidP="00B65E08" w:rsidRDefault="00B65E08" w14:paraId="6ED4A63C" w14:textId="5201EE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taxa geral de estenose foi de 53,3% (16/30).</w:t>
      </w:r>
    </w:p>
    <w:p w:rsidRPr="00AA4638" w:rsidR="00AA4638" w:rsidP="00AA4638" w:rsidRDefault="00AA4638" w14:paraId="24F7142C" w14:textId="4F13BE3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4638">
        <w:rPr>
          <w:rFonts w:ascii="Times New Roman" w:hAnsi="Times New Roman" w:cs="Times New Roman"/>
          <w:b/>
          <w:bCs/>
        </w:rPr>
        <w:t>Idade:</w:t>
      </w:r>
      <w:r w:rsidRPr="00AA4638">
        <w:rPr>
          <w:rFonts w:ascii="Times New Roman" w:hAnsi="Times New Roman" w:cs="Times New Roman"/>
        </w:rPr>
        <w:t xml:space="preserve"> A mediana geral da idade foi de 62 anos</w:t>
      </w:r>
      <w:r w:rsidR="006C5ABD">
        <w:rPr>
          <w:rFonts w:ascii="Times New Roman" w:hAnsi="Times New Roman" w:cs="Times New Roman"/>
        </w:rPr>
        <w:t xml:space="preserve"> [</w:t>
      </w:r>
      <w:r w:rsidRPr="00AA4638">
        <w:rPr>
          <w:rFonts w:ascii="Times New Roman" w:hAnsi="Times New Roman" w:cs="Times New Roman"/>
        </w:rPr>
        <w:t xml:space="preserve">56,75 </w:t>
      </w:r>
      <w:r w:rsidR="006C5ABD">
        <w:rPr>
          <w:rFonts w:ascii="Times New Roman" w:hAnsi="Times New Roman" w:cs="Times New Roman"/>
        </w:rPr>
        <w:t>-</w:t>
      </w:r>
      <w:r w:rsidRPr="00AA4638">
        <w:rPr>
          <w:rFonts w:ascii="Times New Roman" w:hAnsi="Times New Roman" w:cs="Times New Roman"/>
        </w:rPr>
        <w:t xml:space="preserve"> 69,75</w:t>
      </w:r>
      <w:r w:rsidR="006C5ABD">
        <w:rPr>
          <w:rFonts w:ascii="Times New Roman" w:hAnsi="Times New Roman" w:cs="Times New Roman"/>
        </w:rPr>
        <w:t>]</w:t>
      </w:r>
      <w:r w:rsidRPr="00AA4638">
        <w:rPr>
          <w:rFonts w:ascii="Times New Roman" w:hAnsi="Times New Roman" w:cs="Times New Roman"/>
        </w:rPr>
        <w:t xml:space="preserve">. Entre os que não desenvolveram estenose, a mediana de idade foi idêntica a 62 anos </w:t>
      </w:r>
      <w:r w:rsidR="002A6626">
        <w:rPr>
          <w:rFonts w:ascii="Times New Roman" w:hAnsi="Times New Roman" w:cs="Times New Roman"/>
        </w:rPr>
        <w:t>[</w:t>
      </w:r>
      <w:r w:rsidRPr="00AA4638">
        <w:rPr>
          <w:rFonts w:ascii="Times New Roman" w:hAnsi="Times New Roman" w:cs="Times New Roman"/>
        </w:rPr>
        <w:t xml:space="preserve">54,50 </w:t>
      </w:r>
      <w:r w:rsidR="002A6626">
        <w:rPr>
          <w:rFonts w:ascii="Times New Roman" w:hAnsi="Times New Roman" w:cs="Times New Roman"/>
        </w:rPr>
        <w:t>-</w:t>
      </w:r>
      <w:r w:rsidRPr="00AA4638">
        <w:rPr>
          <w:rFonts w:ascii="Times New Roman" w:hAnsi="Times New Roman" w:cs="Times New Roman"/>
        </w:rPr>
        <w:t xml:space="preserve"> 63,75</w:t>
      </w:r>
      <w:r w:rsidR="002A6626">
        <w:rPr>
          <w:rFonts w:ascii="Times New Roman" w:hAnsi="Times New Roman" w:cs="Times New Roman"/>
        </w:rPr>
        <w:t>]</w:t>
      </w:r>
      <w:r w:rsidRPr="00AA4638">
        <w:rPr>
          <w:rFonts w:ascii="Times New Roman" w:hAnsi="Times New Roman" w:cs="Times New Roman"/>
        </w:rPr>
        <w:t xml:space="preserve">, enquanto para aqueles que desenvolveram estenose, a mediana foi ligeiramente menor, de 61,5 anos </w:t>
      </w:r>
      <w:r w:rsidR="002A6626">
        <w:rPr>
          <w:rFonts w:ascii="Times New Roman" w:hAnsi="Times New Roman" w:cs="Times New Roman"/>
        </w:rPr>
        <w:t>[</w:t>
      </w:r>
      <w:r w:rsidRPr="00AA4638">
        <w:rPr>
          <w:rFonts w:ascii="Times New Roman" w:hAnsi="Times New Roman" w:cs="Times New Roman"/>
        </w:rPr>
        <w:t xml:space="preserve">59,75 </w:t>
      </w:r>
      <w:r w:rsidR="002A6626">
        <w:rPr>
          <w:rFonts w:ascii="Times New Roman" w:hAnsi="Times New Roman" w:cs="Times New Roman"/>
        </w:rPr>
        <w:t xml:space="preserve">- </w:t>
      </w:r>
      <w:r w:rsidRPr="00AA4638">
        <w:rPr>
          <w:rFonts w:ascii="Times New Roman" w:hAnsi="Times New Roman" w:cs="Times New Roman"/>
        </w:rPr>
        <w:t>70,50</w:t>
      </w:r>
      <w:r w:rsidR="002A6626">
        <w:rPr>
          <w:rFonts w:ascii="Times New Roman" w:hAnsi="Times New Roman" w:cs="Times New Roman"/>
        </w:rPr>
        <w:t>]</w:t>
      </w:r>
      <w:r w:rsidRPr="00AA4638">
        <w:rPr>
          <w:rFonts w:ascii="Times New Roman" w:hAnsi="Times New Roman" w:cs="Times New Roman"/>
        </w:rPr>
        <w:t>. Não houve diferença estatística significativa na idade relativa ao desenvolvimento de estenose (p=0.66).</w:t>
      </w:r>
    </w:p>
    <w:p w:rsidRPr="00AA4638" w:rsidR="00AA4638" w:rsidP="00AA4638" w:rsidRDefault="00AA4638" w14:paraId="35CDAFE8" w14:textId="667183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Sexo:</w:t>
      </w:r>
      <w:r w:rsidRPr="0D57F08D" w:rsidR="0D57F08D">
        <w:rPr>
          <w:rFonts w:ascii="Times New Roman" w:hAnsi="Times New Roman" w:cs="Times New Roman"/>
        </w:rPr>
        <w:t xml:space="preserve"> Do total de participantes, 20% (6/30) eram mulheres e 80% (24/30) eram homens. Entre os que não desenvolveram estenose, 7,14% (1/14) eram mulheres, comparado a 31,25% (5/16) das mulheres no grupo que desenvolveu estenose. Esta diferença não foi estatisticamente significativa (p=0.17), apesar da representação desproporcional de mulheres entre aqueles que desenvolveram </w:t>
      </w:r>
      <w:r w:rsidRPr="0D57F08D" w:rsidR="0D57F08D">
        <w:rPr>
          <w:rFonts w:ascii="Times New Roman" w:hAnsi="Times New Roman" w:cs="Times New Roman"/>
        </w:rPr>
        <w:t>estenose.</w:t>
      </w:r>
      <w:r w:rsidRPr="0D57F08D" w:rsidR="0D57F08D">
        <w:rPr>
          <w:rFonts w:ascii="Times New Roman" w:hAnsi="Times New Roman" w:cs="Times New Roman"/>
          <w:highlight w:val="cyan"/>
        </w:rPr>
        <w:t>S</w:t>
      </w:r>
      <w:r w:rsidRPr="0D57F08D" w:rsidR="0D57F08D">
        <w:rPr>
          <w:rFonts w:ascii="Times New Roman" w:hAnsi="Times New Roman" w:cs="Times New Roman"/>
          <w:highlight w:val="cyan"/>
        </w:rPr>
        <w:t>erá</w:t>
      </w:r>
      <w:r w:rsidRPr="0D57F08D" w:rsidR="0D57F08D">
        <w:rPr>
          <w:rFonts w:ascii="Times New Roman" w:hAnsi="Times New Roman" w:cs="Times New Roman"/>
          <w:highlight w:val="cyan"/>
        </w:rPr>
        <w:t xml:space="preserve"> que as mulheres </w:t>
      </w:r>
      <w:r w:rsidRPr="0D57F08D" w:rsidR="0D57F08D">
        <w:rPr>
          <w:rFonts w:ascii="Times New Roman" w:hAnsi="Times New Roman" w:cs="Times New Roman"/>
          <w:highlight w:val="cyan"/>
        </w:rPr>
        <w:t>tem</w:t>
      </w:r>
      <w:r w:rsidRPr="0D57F08D" w:rsidR="0D57F08D">
        <w:rPr>
          <w:rFonts w:ascii="Times New Roman" w:hAnsi="Times New Roman" w:cs="Times New Roman"/>
          <w:highlight w:val="cyan"/>
        </w:rPr>
        <w:t xml:space="preserve"> um risco maior de </w:t>
      </w:r>
      <w:r w:rsidRPr="0D57F08D" w:rsidR="0D57F08D">
        <w:rPr>
          <w:rFonts w:ascii="Times New Roman" w:hAnsi="Times New Roman" w:cs="Times New Roman"/>
          <w:highlight w:val="cyan"/>
        </w:rPr>
        <w:t>estenose ?</w:t>
      </w:r>
    </w:p>
    <w:p w:rsidR="00AA4638" w:rsidP="0D57F08D" w:rsidRDefault="00AA4638" w14:paraId="2EE21B8B" w14:textId="5BEB0C50">
      <w:pPr>
        <w:numPr>
          <w:ilvl w:val="0"/>
          <w:numId w:val="3"/>
        </w:numPr>
        <w:rPr>
          <w:rFonts w:ascii="Times New Roman" w:hAnsi="Times New Roman" w:cs="Times New Roman"/>
          <w:highlight w:val="cy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Tumor Primário:</w:t>
      </w:r>
      <w:r w:rsidRPr="0D57F08D" w:rsidR="0D57F08D">
        <w:rPr>
          <w:rFonts w:ascii="Times New Roman" w:hAnsi="Times New Roman" w:cs="Times New Roman"/>
        </w:rPr>
        <w:t xml:space="preserve"> A taxa de estenose naqueles que tinham tumor foi de 45,00 (9/20), enquanto nos que não tinham foi de 70,00% (7/10), mas essa diferença não foi estatisticamente significativa (p=0,26). </w:t>
      </w:r>
    </w:p>
    <w:p w:rsidRPr="00AA4638" w:rsidR="000746BA" w:rsidP="000746BA" w:rsidRDefault="004B1232" w14:paraId="638AE942" w14:textId="2E58F04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Análise por subgrupo de circunferência:</w:t>
      </w:r>
      <w:r w:rsidRPr="0D57F08D" w:rsidR="0D57F08D">
        <w:rPr>
          <w:rFonts w:ascii="Times New Roman" w:hAnsi="Times New Roman" w:cs="Times New Roman"/>
        </w:rPr>
        <w:t xml:space="preserve"> no subgrupo não circunferencial os pacientes com tumor primário, tiveram uma taxa de estenose de 8.33 (1/12), enquanto nos que não tinham tumor foi de 57.14% (4/7), com diferença estatística </w:t>
      </w:r>
      <w:r w:rsidRPr="0D57F08D" w:rsidR="0D57F08D">
        <w:rPr>
          <w:rFonts w:ascii="Times New Roman" w:hAnsi="Times New Roman" w:cs="Times New Roman"/>
          <w:highlight w:val="cyan"/>
        </w:rPr>
        <w:t>(p=0,03).</w:t>
      </w:r>
    </w:p>
    <w:p w:rsidR="00AA4638" w:rsidP="00DC4981" w:rsidRDefault="00AA4638" w14:paraId="3347692E" w14:textId="107EAE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4638">
        <w:rPr>
          <w:rFonts w:ascii="Times New Roman" w:hAnsi="Times New Roman" w:cs="Times New Roman"/>
          <w:b/>
          <w:bCs/>
        </w:rPr>
        <w:t>Localização do Tumor:</w:t>
      </w:r>
      <w:r w:rsidRPr="00AA4638">
        <w:rPr>
          <w:rFonts w:ascii="Times New Roman" w:hAnsi="Times New Roman" w:cs="Times New Roman"/>
        </w:rPr>
        <w:t xml:space="preserve"> A localização do tumor foi dividida entre distal, médio e proximal, com a maior prevalência de estenose ocorrendo nos tumores localizados na região média</w:t>
      </w:r>
      <w:r w:rsidR="00C063DD">
        <w:rPr>
          <w:rFonts w:ascii="Times New Roman" w:hAnsi="Times New Roman" w:cs="Times New Roman"/>
        </w:rPr>
        <w:t xml:space="preserve"> e proximal, respectivamente </w:t>
      </w:r>
      <w:r w:rsidR="00545839">
        <w:rPr>
          <w:rFonts w:ascii="Times New Roman" w:hAnsi="Times New Roman" w:cs="Times New Roman"/>
        </w:rPr>
        <w:t xml:space="preserve">61,11% (n=11/18) e </w:t>
      </w:r>
      <w:r w:rsidR="0021044A">
        <w:rPr>
          <w:rFonts w:ascii="Times New Roman" w:hAnsi="Times New Roman" w:cs="Times New Roman"/>
        </w:rPr>
        <w:t>60,00% (n=3/5)</w:t>
      </w:r>
      <w:r w:rsidRPr="00AA4638">
        <w:rPr>
          <w:rFonts w:ascii="Times New Roman" w:hAnsi="Times New Roman" w:cs="Times New Roman"/>
        </w:rPr>
        <w:t>. Ainda assim, a localização não se mostrou um fator estatisticamente significativo para o desenvolvimento de estenose (p=0.32).</w:t>
      </w:r>
      <w:r w:rsidRPr="00DC14FC" w:rsidR="00DC4981">
        <w:rPr>
          <w:rFonts w:ascii="Times New Roman" w:hAnsi="Times New Roman" w:cs="Times New Roman"/>
          <w:highlight w:val="cyan"/>
        </w:rPr>
        <w:t xml:space="preserve"> </w:t>
      </w:r>
      <w:r w:rsidR="00DC4981">
        <w:rPr>
          <w:rFonts w:ascii="Times New Roman" w:hAnsi="Times New Roman" w:cs="Times New Roman"/>
          <w:highlight w:val="cyan"/>
        </w:rPr>
        <w:t>a localização do tumor não estava associada a estenose</w:t>
      </w:r>
    </w:p>
    <w:p w:rsidRPr="00496339" w:rsidR="00223285" w:rsidP="00496339" w:rsidRDefault="00102C32" w14:paraId="3E5A653A" w14:textId="63AF331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Análise por subgrupo de circunferência:</w:t>
      </w:r>
      <w:r w:rsidRPr="0D57F08D" w:rsidR="0D57F08D">
        <w:rPr>
          <w:rFonts w:ascii="Times New Roman" w:hAnsi="Times New Roman" w:cs="Times New Roman"/>
        </w:rPr>
        <w:t xml:space="preserve"> Dos pacientes de ressecção não circunferencial, houve estenose apenas nos que tinham localização média 41,67% (5/12), enquanto de localização distal e proximal foi de 0%, respectivamente, (0/5) e (0/2), porém sem significância estatística p=0,13. Já nos pacientes que fizeram ressecção circunferencial houve prevalência absoluta de estenose em todos os grupos de localização de tumor, distal (n=2), média (n=6) e proximal (n=3).</w:t>
      </w:r>
    </w:p>
    <w:p w:rsidRPr="00AA4638" w:rsidR="00AA4638" w:rsidP="00AA4638" w:rsidRDefault="00AA4638" w14:paraId="559AE0B4" w14:textId="32F6C9A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4638">
        <w:rPr>
          <w:rFonts w:ascii="Times New Roman" w:hAnsi="Times New Roman" w:cs="Times New Roman"/>
          <w:b/>
          <w:bCs/>
        </w:rPr>
        <w:t>Tamanho do Tumor:</w:t>
      </w:r>
      <w:r w:rsidRPr="00AA4638">
        <w:rPr>
          <w:rFonts w:ascii="Times New Roman" w:hAnsi="Times New Roman" w:cs="Times New Roman"/>
        </w:rPr>
        <w:t xml:space="preserve"> O tamanho mediano do tumor foi de 6 [5,00 - 7,00] tanto para o grupo geral quanto para aqueles que não desenvolveram ou desenvolveram estenose, indicando que o tamanho do tumor não está associado ao desenvolvimento de estenose (p=0.26).</w:t>
      </w:r>
      <w:r w:rsidRPr="00C06BC3" w:rsidR="00C06BC3">
        <w:rPr>
          <w:rFonts w:ascii="Times New Roman" w:hAnsi="Times New Roman" w:cs="Times New Roman"/>
          <w:color w:val="FF0000"/>
        </w:rPr>
        <w:t xml:space="preserve"> </w:t>
      </w:r>
    </w:p>
    <w:p w:rsidRPr="00AA4638" w:rsidR="00AA4638" w:rsidP="00AA4638" w:rsidRDefault="00AA4638" w14:paraId="31AB2ECF" w14:textId="777777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4638">
        <w:rPr>
          <w:rFonts w:ascii="Times New Roman" w:hAnsi="Times New Roman" w:cs="Times New Roman"/>
          <w:b/>
          <w:bCs/>
        </w:rPr>
        <w:t>Margens:</w:t>
      </w:r>
      <w:r w:rsidRPr="00AA4638">
        <w:rPr>
          <w:rFonts w:ascii="Times New Roman" w:hAnsi="Times New Roman" w:cs="Times New Roman"/>
        </w:rPr>
        <w:t xml:space="preserve"> A taxa de comprometimento das margens foi de 10% (3/30) no geral, com uma distribuição similar entre os que desenvolveram e não desenvolveram estenose (p=1.00).</w:t>
      </w:r>
    </w:p>
    <w:p w:rsidRPr="00AA4638" w:rsidR="00AA4638" w:rsidP="00AA4638" w:rsidRDefault="00AA4638" w14:paraId="0F2F97BD" w14:textId="62B1E51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Circunferência do Tumor:</w:t>
      </w:r>
      <w:r w:rsidRPr="0D57F08D" w:rsidR="0D57F08D">
        <w:rPr>
          <w:rFonts w:ascii="Times New Roman" w:hAnsi="Times New Roman" w:cs="Times New Roman"/>
        </w:rPr>
        <w:t xml:space="preserve"> A circunferência foi associada significativamente ao desenvolvimento de estenose. Todos os 11 casos com circunferência desenvolveram estenose, comparados a 26,32% (5/19) dos não circunferenciais, indicando uma forte associação </w:t>
      </w:r>
      <w:r w:rsidRPr="0D57F08D" w:rsidR="0D57F08D">
        <w:rPr>
          <w:rFonts w:ascii="Times New Roman" w:hAnsi="Times New Roman" w:cs="Times New Roman"/>
          <w:highlight w:val="cyan"/>
        </w:rPr>
        <w:t>(p&lt;0.001).</w:t>
      </w:r>
    </w:p>
    <w:p w:rsidRPr="00AA4638" w:rsidR="00AA4638" w:rsidP="00AA4638" w:rsidRDefault="00AA4638" w14:paraId="711B9160" w14:textId="7EECDD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Grupo de Tratamento:</w:t>
      </w:r>
      <w:r w:rsidRPr="0D57F08D" w:rsidR="0D57F08D">
        <w:rPr>
          <w:rFonts w:ascii="Times New Roman" w:hAnsi="Times New Roman" w:cs="Times New Roman"/>
        </w:rPr>
        <w:t xml:space="preserve"> Entre os grupos de tratamento oral e injetável, a distribuição dos que desenvolveram estenose foi de 66,67% (10/15) e 40% (6/15), respectivamente, sem diferenças estatísticas significativas (p=0.27). </w:t>
      </w:r>
    </w:p>
    <w:p w:rsidRPr="00AA4638" w:rsidR="00AA4638" w:rsidP="00AA4638" w:rsidRDefault="00AA4638" w14:paraId="4995D7CA" w14:textId="545061C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Glicemia Basal e Pós:</w:t>
      </w:r>
      <w:r w:rsidRPr="0D57F08D" w:rsidR="0D57F08D">
        <w:rPr>
          <w:rFonts w:ascii="Times New Roman" w:hAnsi="Times New Roman" w:cs="Times New Roman"/>
        </w:rPr>
        <w:t xml:space="preserve"> Não houve diferenças estatísticas na glicemia basal e pós entre os que desenvolveram e não desenvolveram estenose, com medianas dentro de faixas similares entre os dois grupos (p=0.24 e p=0.36, respectivamente).</w:t>
      </w:r>
    </w:p>
    <w:p w:rsidRPr="00AA4638" w:rsidR="00AA4638" w:rsidP="00AA4638" w:rsidRDefault="00AA4638" w14:paraId="14843C19" w14:textId="777777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4638">
        <w:rPr>
          <w:rFonts w:ascii="Times New Roman" w:hAnsi="Times New Roman" w:cs="Times New Roman"/>
          <w:b/>
          <w:bCs/>
        </w:rPr>
        <w:t>Complicações:</w:t>
      </w:r>
      <w:r w:rsidRPr="00AA4638">
        <w:rPr>
          <w:rFonts w:ascii="Times New Roman" w:hAnsi="Times New Roman" w:cs="Times New Roman"/>
        </w:rPr>
        <w:t xml:space="preserve"> A incidência de complicações foi baixa e não mostrou diferença estatística entre aqueles que desenvolveram estenose (100% das complicações estavam neste grupo) e aqueles que não desenvolveram (p=0.22).</w:t>
      </w:r>
    </w:p>
    <w:p w:rsidRPr="00AA4638" w:rsidR="00AA4638" w:rsidP="0D57F08D" w:rsidRDefault="00AA4638" w14:paraId="51AF3C21" w14:textId="082B44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</w:rPr>
        <w:t>Esses resultados destacam que, embora a maior parte das características estudadas não apresente diferenças estatísticas significativas entre os que desenvolvem ou não estenose, a ressecção circunferencial emergiu como um fator significativo, sugerindo que esses pacientes estão mais predispostos a desenvolver estenose.</w:t>
      </w:r>
    </w:p>
    <w:p w:rsidR="0D57F08D" w:rsidP="0D57F08D" w:rsidRDefault="0D57F08D" w14:paraId="6DD1BBAC" w14:textId="3AA0DE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</w:rPr>
      </w:pPr>
    </w:p>
    <w:p w:rsidR="003468CB" w:rsidP="00991D85" w:rsidRDefault="00546414" w14:paraId="0403B723" w14:textId="772AA26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Resolução de </w:t>
      </w:r>
      <w:r w:rsidR="00667BEB">
        <w:rPr>
          <w:b/>
          <w:bCs/>
          <w:i/>
          <w:iCs/>
          <w:sz w:val="28"/>
          <w:szCs w:val="28"/>
        </w:rPr>
        <w:t>E</w:t>
      </w:r>
      <w:r>
        <w:rPr>
          <w:b/>
          <w:bCs/>
          <w:i/>
          <w:iCs/>
          <w:sz w:val="28"/>
          <w:szCs w:val="28"/>
        </w:rPr>
        <w:t>stenose</w:t>
      </w:r>
    </w:p>
    <w:p w:rsidR="002659E9" w:rsidP="00991D85" w:rsidRDefault="000C02AC" w14:paraId="555627B3" w14:textId="5D84AA87">
      <w:pPr>
        <w:rPr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highlight w:val="cyan"/>
        </w:rPr>
        <w:t>Análise</w:t>
      </w:r>
      <w:r w:rsidR="002659E9">
        <w:rPr>
          <w:rFonts w:ascii="Times New Roman" w:hAnsi="Times New Roman" w:cs="Times New Roman"/>
          <w:highlight w:val="cyan"/>
        </w:rPr>
        <w:t xml:space="preserve"> da taxa de resolução apenas nos pacientes que desenvolveram esteno</w:t>
      </w:r>
      <w:r w:rsidR="008E6958">
        <w:rPr>
          <w:rFonts w:ascii="Times New Roman" w:hAnsi="Times New Roman" w:cs="Times New Roman"/>
          <w:highlight w:val="cyan"/>
        </w:rPr>
        <w:t>se para verificar quais fatores estavam associados a resolução da estenos</w:t>
      </w:r>
      <w:r>
        <w:rPr>
          <w:rFonts w:ascii="Times New Roman" w:hAnsi="Times New Roman" w:cs="Times New Roman"/>
          <w:highlight w:val="cyan"/>
        </w:rPr>
        <w:t xml:space="preserve">e. Apenas o cruzamento com tumor primário e número de dilatações foi interessante. </w:t>
      </w:r>
    </w:p>
    <w:p w:rsidRPr="00A4026B" w:rsidR="00A4026B" w:rsidP="00A4026B" w:rsidRDefault="00A4026B" w14:paraId="5CFEDF0D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name="_Hlk150525122" w:id="0"/>
      <w:r w:rsidRPr="00A4026B">
        <w:rPr>
          <w:rFonts w:ascii="Times New Roman" w:hAnsi="Times New Roman" w:cs="Times New Roman"/>
          <w:b/>
          <w:bCs/>
        </w:rPr>
        <w:t>Idade:</w:t>
      </w:r>
      <w:r w:rsidRPr="00A4026B">
        <w:rPr>
          <w:rFonts w:ascii="Times New Roman" w:hAnsi="Times New Roman" w:cs="Times New Roman"/>
        </w:rPr>
        <w:t xml:space="preserve"> A mediana </w:t>
      </w:r>
      <w:bookmarkEnd w:id="0"/>
      <w:r w:rsidRPr="00A4026B">
        <w:rPr>
          <w:rFonts w:ascii="Times New Roman" w:hAnsi="Times New Roman" w:cs="Times New Roman"/>
        </w:rPr>
        <w:t>de idade dos indivíduos com estenose foi de 62 anos [59,50 - 71,00]. Entre os que não resolveram a estenose, a mediana de idade foi de 60,5 anos [57,25 - 62,25], e para aqueles que resolveram, a mediana subiu para 70 anos [64,50 - 75,00], indicando uma tendência de resolução de estenose em pacientes mais velhos, apesar da diferença não ser estatisticamente significativa (p=0.24).</w:t>
      </w:r>
    </w:p>
    <w:p w:rsidRPr="00A4026B" w:rsidR="00A4026B" w:rsidP="00A4026B" w:rsidRDefault="00A4026B" w14:paraId="38BFE2AB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026B">
        <w:rPr>
          <w:rFonts w:ascii="Times New Roman" w:hAnsi="Times New Roman" w:cs="Times New Roman"/>
          <w:b/>
          <w:bCs/>
        </w:rPr>
        <w:t>Sexo:</w:t>
      </w:r>
      <w:r w:rsidRPr="00A4026B">
        <w:rPr>
          <w:rFonts w:ascii="Times New Roman" w:hAnsi="Times New Roman" w:cs="Times New Roman"/>
        </w:rPr>
        <w:t xml:space="preserve"> No total, 33,33% (5/15) eram do sexo feminino e 66,67% (10/15) do sexo masculino. Entre os que não resolveram a estenose, a proporção foi de 25% (2/8) para mulheres e 75% (6/8) para homens. Em contraste, no grupo que resolveu a estenose, as mulheres representaram 42,86% (3/7), enquanto os homens representaram 57,14% (4/7), sem diferença estatística significativa pelo sexo (p=0.60).</w:t>
      </w:r>
    </w:p>
    <w:p w:rsidRPr="00257FB3" w:rsidR="00257FB3" w:rsidP="0D57F08D" w:rsidRDefault="00A4026B" w14:paraId="0D71D554" w14:textId="47103BC1">
      <w:pPr>
        <w:numPr>
          <w:ilvl w:val="0"/>
          <w:numId w:val="2"/>
        </w:numPr>
        <w:jc w:val="both"/>
        <w:rPr>
          <w:rFonts w:ascii="Times New Roman" w:hAnsi="Times New Roman" w:cs="Times New Roman"/>
          <w:highlight w:val="cy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Tumor Primário:</w:t>
      </w:r>
      <w:r w:rsidRPr="0D57F08D" w:rsidR="0D57F08D">
        <w:rPr>
          <w:rFonts w:ascii="Times New Roman" w:hAnsi="Times New Roman" w:cs="Times New Roman"/>
        </w:rPr>
        <w:t xml:space="preserve"> A presença de tumor primário foi relatada em 60% (9/15) dos casos de estenose. Uma diferença significativa foi encontrada entre os que não resolveram 87,50% (7/8) e os que resolveram a estenose 28,57% (n=2/7), com um valor de </w:t>
      </w:r>
      <w:r w:rsidRPr="0D57F08D" w:rsidR="0D57F08D">
        <w:rPr>
          <w:rFonts w:ascii="Times New Roman" w:hAnsi="Times New Roman" w:cs="Times New Roman"/>
          <w:highlight w:val="cyan"/>
        </w:rPr>
        <w:t>p=0.04</w:t>
      </w:r>
      <w:r w:rsidRPr="0D57F08D" w:rsidR="0D57F08D">
        <w:rPr>
          <w:rFonts w:ascii="Times New Roman" w:hAnsi="Times New Roman" w:cs="Times New Roman"/>
        </w:rPr>
        <w:t>, sugerindo que a presença de tumor primário pode estar associada à persistência da estenose.</w:t>
      </w:r>
    </w:p>
    <w:p w:rsidRPr="00A4026B" w:rsidR="00A4026B" w:rsidP="00A4026B" w:rsidRDefault="00A4026B" w14:paraId="053F4F0F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026B">
        <w:rPr>
          <w:rFonts w:ascii="Times New Roman" w:hAnsi="Times New Roman" w:cs="Times New Roman"/>
          <w:b/>
          <w:bCs/>
        </w:rPr>
        <w:t>Localização do Tumor:</w:t>
      </w:r>
      <w:r w:rsidRPr="00A4026B">
        <w:rPr>
          <w:rFonts w:ascii="Times New Roman" w:hAnsi="Times New Roman" w:cs="Times New Roman"/>
        </w:rPr>
        <w:t xml:space="preserve"> A distribuição por localização foi semelhante entre os que resolveram e não resolveram estenose, com a maior frequência sendo de tumores localizados na região média em ambos os grupos (62,50% e 71,43%, respectivamente), indicando que a localização do tumor não teve impacto significativo na resolução da estenose (p=0.87).</w:t>
      </w:r>
    </w:p>
    <w:p w:rsidRPr="00A4026B" w:rsidR="00A4026B" w:rsidP="00A4026B" w:rsidRDefault="00A4026B" w14:paraId="68C8AD1E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026B">
        <w:rPr>
          <w:rFonts w:ascii="Times New Roman" w:hAnsi="Times New Roman" w:cs="Times New Roman"/>
          <w:b/>
          <w:bCs/>
        </w:rPr>
        <w:t>Tamanho do Tumor:</w:t>
      </w:r>
      <w:r w:rsidRPr="00A4026B">
        <w:rPr>
          <w:rFonts w:ascii="Times New Roman" w:hAnsi="Times New Roman" w:cs="Times New Roman"/>
        </w:rPr>
        <w:t xml:space="preserve"> O tamanho mediano do tumor foi similar entre os que não resolveram e resolveram estenose, com uma mediana de 6 [5,75 - 6,00] e 7 [5,50 - 7,00], respectivamente (p=0.46).</w:t>
      </w:r>
    </w:p>
    <w:p w:rsidRPr="00A4026B" w:rsidR="00A4026B" w:rsidP="00A4026B" w:rsidRDefault="00A4026B" w14:paraId="75A63A5A" w14:textId="49C61F6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Circunferência do Tumor:</w:t>
      </w:r>
      <w:r w:rsidRPr="0D57F08D" w:rsidR="0D57F08D">
        <w:rPr>
          <w:rFonts w:ascii="Times New Roman" w:hAnsi="Times New Roman" w:cs="Times New Roman"/>
        </w:rPr>
        <w:t xml:space="preserve"> Não foram encontradas diferenças significativas na circunferência do tumor entre os grupos (p=0.60).</w:t>
      </w:r>
    </w:p>
    <w:p w:rsidRPr="00A4026B" w:rsidR="00A4026B" w:rsidP="00A4026B" w:rsidRDefault="00A4026B" w14:paraId="05198277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026B">
        <w:rPr>
          <w:rFonts w:ascii="Times New Roman" w:hAnsi="Times New Roman" w:cs="Times New Roman"/>
          <w:b/>
          <w:bCs/>
        </w:rPr>
        <w:t>Grupo de Tratamento:</w:t>
      </w:r>
      <w:r w:rsidRPr="00A4026B">
        <w:rPr>
          <w:rFonts w:ascii="Times New Roman" w:hAnsi="Times New Roman" w:cs="Times New Roman"/>
        </w:rPr>
        <w:t xml:space="preserve"> A divisão entre o tratamento oral e injetável entre aqueles que resolveram e não resolveram estenose foi equilibrada e sem diferença estatística (p=1.00).</w:t>
      </w:r>
    </w:p>
    <w:p w:rsidR="00A4026B" w:rsidP="00A4026B" w:rsidRDefault="00A4026B" w14:paraId="3EAEB4C5" w14:textId="082235C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026B">
        <w:rPr>
          <w:rFonts w:ascii="Times New Roman" w:hAnsi="Times New Roman" w:cs="Times New Roman"/>
          <w:b/>
          <w:bCs/>
        </w:rPr>
        <w:t>Progressão da Estenose ao longo do Tempo:</w:t>
      </w:r>
      <w:r w:rsidRPr="00A4026B">
        <w:rPr>
          <w:rFonts w:ascii="Times New Roman" w:hAnsi="Times New Roman" w:cs="Times New Roman"/>
        </w:rPr>
        <w:t xml:space="preserve"> Observou-se que a estenose permaneceu em 100% dos que não resolveram até a 12ª semana, enquanto reduziu para 50% entre os que resolveram. A diferença tornou-se estatisticamente significativa na 20ª semana (p=0.02) e na 24ª semana (p&lt;0.001), sugerindo um padrão temporal na resolução de estenose.</w:t>
      </w:r>
      <w:r w:rsidR="00765891">
        <w:rPr>
          <w:rFonts w:ascii="Times New Roman" w:hAnsi="Times New Roman" w:cs="Times New Roman"/>
        </w:rPr>
        <w:t xml:space="preserve"> Segue abaixo um gráfico de aluviais para melhor visualização.</w:t>
      </w:r>
    </w:p>
    <w:p w:rsidRPr="00A4026B" w:rsidR="00765891" w:rsidP="00765891" w:rsidRDefault="00765891" w14:paraId="7A3E9500" w14:textId="539D7986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2E3897" wp14:editId="241CD5F7">
            <wp:extent cx="5259103" cy="2632104"/>
            <wp:effectExtent l="0" t="0" r="0" b="0"/>
            <wp:docPr id="466310993" name="Imagem 466310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32" cy="26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4026B" w:rsidR="00A4026B" w:rsidP="00A4026B" w:rsidRDefault="00A4026B" w14:paraId="4F59C37B" w14:textId="55A4059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026B">
        <w:rPr>
          <w:rFonts w:ascii="Times New Roman" w:hAnsi="Times New Roman" w:cs="Times New Roman"/>
          <w:b/>
          <w:bCs/>
        </w:rPr>
        <w:t>Glicemia:</w:t>
      </w:r>
      <w:r w:rsidRPr="00A4026B">
        <w:rPr>
          <w:rFonts w:ascii="Times New Roman" w:hAnsi="Times New Roman" w:cs="Times New Roman"/>
        </w:rPr>
        <w:t xml:space="preserve"> Não foram encontradas diferenças estatísticas significativas nas medições de glicemia basal e pós entre os dois grupos.</w:t>
      </w:r>
    </w:p>
    <w:p w:rsidRPr="00A4026B" w:rsidR="00A4026B" w:rsidP="00A4026B" w:rsidRDefault="00A4026B" w14:paraId="41AD1E53" w14:textId="749AEC2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026B">
        <w:rPr>
          <w:rFonts w:ascii="Times New Roman" w:hAnsi="Times New Roman" w:cs="Times New Roman"/>
          <w:b/>
          <w:bCs/>
        </w:rPr>
        <w:t>Número de Dilatações:</w:t>
      </w:r>
      <w:r w:rsidRPr="00A4026B">
        <w:rPr>
          <w:rFonts w:ascii="Times New Roman" w:hAnsi="Times New Roman" w:cs="Times New Roman"/>
        </w:rPr>
        <w:t xml:space="preserve"> Observou-se uma diferença na mediana do número de dilatações realizadas até e após 24 semanas, com aqueles que não resolveram estenose tendo um número maior de dilatações, mas esta diferença não alcançou significância estatística (p=0.18 e p=0.09, respectivamente).</w:t>
      </w:r>
      <w:r w:rsidR="00E925E5">
        <w:rPr>
          <w:rFonts w:ascii="Times New Roman" w:hAnsi="Times New Roman" w:cs="Times New Roman"/>
        </w:rPr>
        <w:t xml:space="preserve"> </w:t>
      </w:r>
      <w:r w:rsidR="000C30BB">
        <w:rPr>
          <w:rFonts w:ascii="Times New Roman" w:hAnsi="Times New Roman" w:cs="Times New Roman"/>
          <w:highlight w:val="cyan"/>
        </w:rPr>
        <w:t xml:space="preserve">Pode se dizer que os pacientes que não melhoraram da estenose eram paciente mais graves, necessitaram de mais dilatações, </w:t>
      </w:r>
      <w:r w:rsidR="00AD4C61">
        <w:rPr>
          <w:rFonts w:ascii="Times New Roman" w:hAnsi="Times New Roman" w:cs="Times New Roman"/>
          <w:highlight w:val="cyan"/>
        </w:rPr>
        <w:t>porém</w:t>
      </w:r>
      <w:r w:rsidR="000C30BB">
        <w:rPr>
          <w:rFonts w:ascii="Times New Roman" w:hAnsi="Times New Roman" w:cs="Times New Roman"/>
          <w:highlight w:val="cyan"/>
        </w:rPr>
        <w:t xml:space="preserve"> mesmo assim não apresentaram melhora</w:t>
      </w:r>
    </w:p>
    <w:p w:rsidR="001216AE" w:rsidP="001216AE" w:rsidRDefault="00A4026B" w14:paraId="6AFD6956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4026B">
        <w:rPr>
          <w:rFonts w:ascii="Times New Roman" w:hAnsi="Times New Roman" w:cs="Times New Roman"/>
          <w:b/>
          <w:bCs/>
        </w:rPr>
        <w:t>Complicações:</w:t>
      </w:r>
      <w:r w:rsidRPr="00A4026B">
        <w:rPr>
          <w:rFonts w:ascii="Times New Roman" w:hAnsi="Times New Roman" w:cs="Times New Roman"/>
        </w:rPr>
        <w:t xml:space="preserve"> A incidência de complicações foi de 20% (3/15), sendo ligeiramente maior entre os que não resolveram estenose (25% ou 2/8) em comparação com aqueles que resolveram (14,29% ou 1/7), mas essa diferença não foi estatisticamente significativa (p=1.00).</w:t>
      </w:r>
    </w:p>
    <w:p w:rsidRPr="001216AE" w:rsidR="00A4026B" w:rsidP="001216AE" w:rsidRDefault="001216AE" w14:paraId="080F2D34" w14:textId="0092980D">
      <w:pPr>
        <w:jc w:val="both"/>
        <w:rPr>
          <w:rFonts w:ascii="Times New Roman" w:hAnsi="Times New Roman" w:cs="Times New Roman"/>
        </w:rPr>
      </w:pPr>
      <w:r>
        <w:rPr>
          <w:b/>
          <w:bCs/>
          <w:i/>
          <w:iCs/>
          <w:sz w:val="28"/>
          <w:szCs w:val="28"/>
        </w:rPr>
        <w:t>Tumor Prim</w:t>
      </w:r>
      <w:r w:rsidR="00212EBF">
        <w:rPr>
          <w:b/>
          <w:bCs/>
          <w:i/>
          <w:iCs/>
          <w:sz w:val="28"/>
          <w:szCs w:val="28"/>
        </w:rPr>
        <w:t>á</w:t>
      </w:r>
      <w:r>
        <w:rPr>
          <w:b/>
          <w:bCs/>
          <w:i/>
          <w:iCs/>
          <w:sz w:val="28"/>
          <w:szCs w:val="28"/>
        </w:rPr>
        <w:t>rio</w:t>
      </w:r>
    </w:p>
    <w:p w:rsidRPr="003F7B72" w:rsidR="001216AE" w:rsidP="003F7B72" w:rsidRDefault="001216AE" w14:paraId="6130E519" w14:textId="3B5EEA2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Idade:</w:t>
      </w:r>
      <w:r w:rsidRPr="001216AE">
        <w:rPr>
          <w:rFonts w:ascii="Times New Roman" w:hAnsi="Times New Roman" w:cs="Times New Roman"/>
        </w:rPr>
        <w:t xml:space="preserve"> A mediana geral de idade dos pacientes foi de 62 anos </w:t>
      </w:r>
      <w:r w:rsidR="00635182">
        <w:rPr>
          <w:rFonts w:ascii="Times New Roman" w:hAnsi="Times New Roman" w:cs="Times New Roman"/>
        </w:rPr>
        <w:t>[</w:t>
      </w:r>
      <w:r w:rsidRPr="001216AE">
        <w:rPr>
          <w:rFonts w:ascii="Times New Roman" w:hAnsi="Times New Roman" w:cs="Times New Roman"/>
        </w:rPr>
        <w:t xml:space="preserve">56,75 </w:t>
      </w:r>
      <w:r w:rsidR="00635182">
        <w:rPr>
          <w:rFonts w:ascii="Times New Roman" w:hAnsi="Times New Roman" w:cs="Times New Roman"/>
        </w:rPr>
        <w:t>-</w:t>
      </w:r>
      <w:r w:rsidRPr="001216AE">
        <w:rPr>
          <w:rFonts w:ascii="Times New Roman" w:hAnsi="Times New Roman" w:cs="Times New Roman"/>
        </w:rPr>
        <w:t xml:space="preserve"> 69,75</w:t>
      </w:r>
      <w:r w:rsidR="00635182">
        <w:rPr>
          <w:rFonts w:ascii="Times New Roman" w:hAnsi="Times New Roman" w:cs="Times New Roman"/>
        </w:rPr>
        <w:t>]</w:t>
      </w:r>
      <w:r w:rsidRPr="001216AE">
        <w:rPr>
          <w:rFonts w:ascii="Times New Roman" w:hAnsi="Times New Roman" w:cs="Times New Roman"/>
        </w:rPr>
        <w:t xml:space="preserve">. Aqueles sem presença de tumor primário tinham uma mediana de idade significativamente maior de 70,5 anos </w:t>
      </w:r>
      <w:r w:rsidR="00635182">
        <w:rPr>
          <w:rFonts w:ascii="Times New Roman" w:hAnsi="Times New Roman" w:cs="Times New Roman"/>
        </w:rPr>
        <w:t>[</w:t>
      </w:r>
      <w:r w:rsidRPr="001216AE">
        <w:rPr>
          <w:rFonts w:ascii="Times New Roman" w:hAnsi="Times New Roman" w:cs="Times New Roman"/>
        </w:rPr>
        <w:t xml:space="preserve">61,75 </w:t>
      </w:r>
      <w:r w:rsidR="00635182">
        <w:rPr>
          <w:rFonts w:ascii="Times New Roman" w:hAnsi="Times New Roman" w:cs="Times New Roman"/>
        </w:rPr>
        <w:t>-</w:t>
      </w:r>
      <w:r w:rsidRPr="001216AE">
        <w:rPr>
          <w:rFonts w:ascii="Times New Roman" w:hAnsi="Times New Roman" w:cs="Times New Roman"/>
        </w:rPr>
        <w:t xml:space="preserve"> 77,00</w:t>
      </w:r>
      <w:r w:rsidR="00635182">
        <w:rPr>
          <w:rFonts w:ascii="Times New Roman" w:hAnsi="Times New Roman" w:cs="Times New Roman"/>
        </w:rPr>
        <w:t>]</w:t>
      </w:r>
      <w:r w:rsidRPr="001216AE">
        <w:rPr>
          <w:rFonts w:ascii="Times New Roman" w:hAnsi="Times New Roman" w:cs="Times New Roman"/>
        </w:rPr>
        <w:t xml:space="preserve"> em comparação com aqueles com tumor primário, cuja mediana de idade foi de 60,5 anos </w:t>
      </w:r>
      <w:r w:rsidR="00635182">
        <w:rPr>
          <w:rFonts w:ascii="Times New Roman" w:hAnsi="Times New Roman" w:cs="Times New Roman"/>
        </w:rPr>
        <w:t>[</w:t>
      </w:r>
      <w:r w:rsidRPr="001216AE">
        <w:rPr>
          <w:rFonts w:ascii="Times New Roman" w:hAnsi="Times New Roman" w:cs="Times New Roman"/>
        </w:rPr>
        <w:t xml:space="preserve">52,75 </w:t>
      </w:r>
      <w:r w:rsidR="00635182">
        <w:rPr>
          <w:rFonts w:ascii="Times New Roman" w:hAnsi="Times New Roman" w:cs="Times New Roman"/>
        </w:rPr>
        <w:t>-</w:t>
      </w:r>
      <w:r w:rsidRPr="001216AE">
        <w:rPr>
          <w:rFonts w:ascii="Times New Roman" w:hAnsi="Times New Roman" w:cs="Times New Roman"/>
        </w:rPr>
        <w:t xml:space="preserve"> 63,00</w:t>
      </w:r>
      <w:r w:rsidR="00635182">
        <w:rPr>
          <w:rFonts w:ascii="Times New Roman" w:hAnsi="Times New Roman" w:cs="Times New Roman"/>
        </w:rPr>
        <w:t>]</w:t>
      </w:r>
      <w:r w:rsidRPr="001216AE">
        <w:rPr>
          <w:rFonts w:ascii="Times New Roman" w:hAnsi="Times New Roman" w:cs="Times New Roman"/>
        </w:rPr>
        <w:t>, apresentando diferença estatística significativa (p=0.009)</w:t>
      </w:r>
      <w:r w:rsidR="003F7B72">
        <w:rPr>
          <w:rFonts w:ascii="Times New Roman" w:hAnsi="Times New Roman" w:cs="Times New Roman"/>
        </w:rPr>
        <w:t xml:space="preserve">, </w:t>
      </w:r>
      <w:r w:rsidR="000D7974">
        <w:rPr>
          <w:rFonts w:ascii="Times New Roman" w:hAnsi="Times New Roman" w:cs="Times New Roman"/>
        </w:rPr>
        <w:t xml:space="preserve">com </w:t>
      </w:r>
      <w:r w:rsidR="003F7B72">
        <w:rPr>
          <w:rFonts w:ascii="Times New Roman" w:hAnsi="Times New Roman" w:cs="Times New Roman"/>
        </w:rPr>
        <w:t xml:space="preserve">diferença mediana estimada de </w:t>
      </w:r>
      <w:r w:rsidRPr="003F7B72" w:rsidR="003F7B72">
        <w:rPr>
          <w:rFonts w:ascii="Times New Roman" w:hAnsi="Times New Roman" w:cs="Times New Roman"/>
        </w:rPr>
        <w:t xml:space="preserve">-11.00 </w:t>
      </w:r>
      <w:r w:rsidR="00612B7C">
        <w:rPr>
          <w:rFonts w:ascii="Times New Roman" w:hAnsi="Times New Roman" w:cs="Times New Roman"/>
        </w:rPr>
        <w:t xml:space="preserve">anos </w:t>
      </w:r>
      <w:r w:rsidR="003F7B72">
        <w:rPr>
          <w:rFonts w:ascii="Times New Roman" w:hAnsi="Times New Roman" w:cs="Times New Roman"/>
        </w:rPr>
        <w:t>[</w:t>
      </w:r>
      <w:r w:rsidRPr="003F7B72" w:rsidR="003F7B72">
        <w:rPr>
          <w:rFonts w:ascii="Times New Roman" w:hAnsi="Times New Roman" w:cs="Times New Roman"/>
        </w:rPr>
        <w:t xml:space="preserve">-19.00 </w:t>
      </w:r>
      <w:r w:rsidR="003F7B72">
        <w:rPr>
          <w:rFonts w:ascii="Times New Roman" w:hAnsi="Times New Roman" w:cs="Times New Roman"/>
        </w:rPr>
        <w:t>a</w:t>
      </w:r>
      <w:r w:rsidRPr="003F7B72" w:rsidR="003F7B72">
        <w:rPr>
          <w:rFonts w:ascii="Times New Roman" w:hAnsi="Times New Roman" w:cs="Times New Roman"/>
        </w:rPr>
        <w:t xml:space="preserve"> -3.00</w:t>
      </w:r>
      <w:r w:rsidR="003F7B72">
        <w:rPr>
          <w:rFonts w:ascii="Times New Roman" w:hAnsi="Times New Roman" w:cs="Times New Roman"/>
        </w:rPr>
        <w:t>]</w:t>
      </w:r>
      <w:r w:rsidR="00824CA6">
        <w:rPr>
          <w:rFonts w:ascii="Times New Roman" w:hAnsi="Times New Roman" w:cs="Times New Roman"/>
        </w:rPr>
        <w:t>.</w:t>
      </w:r>
    </w:p>
    <w:p w:rsidRPr="001216AE" w:rsidR="001216AE" w:rsidP="001216AE" w:rsidRDefault="001216AE" w14:paraId="2BD1C9FF" w14:textId="69770A8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Sexo:</w:t>
      </w:r>
      <w:r w:rsidRPr="001216AE">
        <w:rPr>
          <w:rFonts w:ascii="Times New Roman" w:hAnsi="Times New Roman" w:cs="Times New Roman"/>
        </w:rPr>
        <w:t xml:space="preserve"> No geral, 20% dos pacientes (6/30) eram do sexo feminino e 80% (24/30) do masculino. Entre os pacientes sem tumor primário, havia uma igualdade de gênero, com 50% feminino (5/10) e 50% masculino (5/10). No grupo com tumor primário, 5% (1/20) eram femininos e 95% (19/20) masculinos, com uma diferença estatística significativa observada (p=0.008).</w:t>
      </w:r>
      <w:r w:rsidR="00076080">
        <w:rPr>
          <w:rFonts w:ascii="Times New Roman" w:hAnsi="Times New Roman" w:cs="Times New Roman"/>
        </w:rPr>
        <w:t xml:space="preserve"> </w:t>
      </w:r>
      <w:r w:rsidR="009D2BCB">
        <w:rPr>
          <w:rFonts w:ascii="Times New Roman" w:hAnsi="Times New Roman" w:cs="Times New Roman"/>
          <w:highlight w:val="cyan"/>
        </w:rPr>
        <w:t xml:space="preserve">fortalecendo </w:t>
      </w:r>
      <w:r w:rsidR="00CD6C58">
        <w:rPr>
          <w:rFonts w:ascii="Times New Roman" w:hAnsi="Times New Roman" w:cs="Times New Roman"/>
          <w:highlight w:val="cyan"/>
        </w:rPr>
        <w:t xml:space="preserve">a ideia que </w:t>
      </w:r>
      <w:r w:rsidR="00CC195B">
        <w:rPr>
          <w:rFonts w:ascii="Times New Roman" w:hAnsi="Times New Roman" w:cs="Times New Roman"/>
          <w:highlight w:val="cyan"/>
        </w:rPr>
        <w:t>é uma doença típica do sexo masculino</w:t>
      </w:r>
      <w:r w:rsidR="00D21B34">
        <w:rPr>
          <w:rFonts w:ascii="Times New Roman" w:hAnsi="Times New Roman" w:cs="Times New Roman"/>
          <w:highlight w:val="cyan"/>
        </w:rPr>
        <w:t>.</w:t>
      </w:r>
    </w:p>
    <w:p w:rsidRPr="001216AE" w:rsidR="001216AE" w:rsidP="001216AE" w:rsidRDefault="001216AE" w14:paraId="2A3F1447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Localização:</w:t>
      </w:r>
      <w:r w:rsidRPr="001216AE">
        <w:rPr>
          <w:rFonts w:ascii="Times New Roman" w:hAnsi="Times New Roman" w:cs="Times New Roman"/>
        </w:rPr>
        <w:t xml:space="preserve"> A localização do tumor mostrou uma distribuição de 23,33% distal, 60% médio e 16,67% proximal no geral. A análise detalhada por presença de tumor primário não revelou diferenças estatísticas significativas (p=0.21).</w:t>
      </w:r>
    </w:p>
    <w:p w:rsidRPr="001216AE" w:rsidR="001216AE" w:rsidP="001216AE" w:rsidRDefault="001216AE" w14:paraId="50F9BD10" w14:textId="1C074C62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Tamanho:</w:t>
      </w:r>
      <w:r w:rsidRPr="001216AE">
        <w:rPr>
          <w:rFonts w:ascii="Times New Roman" w:hAnsi="Times New Roman" w:cs="Times New Roman"/>
        </w:rPr>
        <w:t xml:space="preserve"> O tamanho do tumor apresentou uma mediana geral de 6 </w:t>
      </w:r>
      <w:r w:rsidR="00D21B34">
        <w:rPr>
          <w:rFonts w:ascii="Times New Roman" w:hAnsi="Times New Roman" w:cs="Times New Roman"/>
        </w:rPr>
        <w:t>[</w:t>
      </w:r>
      <w:r w:rsidRPr="001216AE">
        <w:rPr>
          <w:rFonts w:ascii="Times New Roman" w:hAnsi="Times New Roman" w:cs="Times New Roman"/>
        </w:rPr>
        <w:t xml:space="preserve">5 </w:t>
      </w:r>
      <w:r w:rsidR="00D21B34">
        <w:rPr>
          <w:rFonts w:ascii="Times New Roman" w:hAnsi="Times New Roman" w:cs="Times New Roman"/>
        </w:rPr>
        <w:t>–</w:t>
      </w:r>
      <w:r w:rsidRPr="001216AE">
        <w:rPr>
          <w:rFonts w:ascii="Times New Roman" w:hAnsi="Times New Roman" w:cs="Times New Roman"/>
        </w:rPr>
        <w:t xml:space="preserve"> 7</w:t>
      </w:r>
      <w:r w:rsidR="00D21B34">
        <w:rPr>
          <w:rFonts w:ascii="Times New Roman" w:hAnsi="Times New Roman" w:cs="Times New Roman"/>
        </w:rPr>
        <w:t>]</w:t>
      </w:r>
      <w:r w:rsidRPr="001216AE">
        <w:rPr>
          <w:rFonts w:ascii="Times New Roman" w:hAnsi="Times New Roman" w:cs="Times New Roman"/>
        </w:rPr>
        <w:t xml:space="preserve">. O grupo sem tumor primário teve uma mediana maior de 7 </w:t>
      </w:r>
      <w:r w:rsidR="00D21B34">
        <w:rPr>
          <w:rFonts w:ascii="Times New Roman" w:hAnsi="Times New Roman" w:cs="Times New Roman"/>
        </w:rPr>
        <w:t>[</w:t>
      </w:r>
      <w:r w:rsidRPr="001216AE">
        <w:rPr>
          <w:rFonts w:ascii="Times New Roman" w:hAnsi="Times New Roman" w:cs="Times New Roman"/>
        </w:rPr>
        <w:t>5,25 - 9,38</w:t>
      </w:r>
      <w:r w:rsidR="00D21B34">
        <w:rPr>
          <w:rFonts w:ascii="Times New Roman" w:hAnsi="Times New Roman" w:cs="Times New Roman"/>
        </w:rPr>
        <w:t>]</w:t>
      </w:r>
      <w:r w:rsidRPr="001216AE">
        <w:rPr>
          <w:rFonts w:ascii="Times New Roman" w:hAnsi="Times New Roman" w:cs="Times New Roman"/>
        </w:rPr>
        <w:t xml:space="preserve">, </w:t>
      </w:r>
      <w:r w:rsidRPr="001216AE" w:rsidR="00D21B34">
        <w:rPr>
          <w:rFonts w:ascii="Times New Roman" w:hAnsi="Times New Roman" w:cs="Times New Roman"/>
        </w:rPr>
        <w:t>enquanto</w:t>
      </w:r>
      <w:r w:rsidRPr="001216AE">
        <w:rPr>
          <w:rFonts w:ascii="Times New Roman" w:hAnsi="Times New Roman" w:cs="Times New Roman"/>
        </w:rPr>
        <w:t xml:space="preserve"> no grupo com tumor primário a mediana foi de 6 </w:t>
      </w:r>
      <w:r w:rsidR="00D21B34">
        <w:rPr>
          <w:rFonts w:ascii="Times New Roman" w:hAnsi="Times New Roman" w:cs="Times New Roman"/>
        </w:rPr>
        <w:t>[</w:t>
      </w:r>
      <w:r w:rsidRPr="001216AE">
        <w:rPr>
          <w:rFonts w:ascii="Times New Roman" w:hAnsi="Times New Roman" w:cs="Times New Roman"/>
        </w:rPr>
        <w:t xml:space="preserve">5 </w:t>
      </w:r>
      <w:r w:rsidR="00D21B34">
        <w:rPr>
          <w:rFonts w:ascii="Times New Roman" w:hAnsi="Times New Roman" w:cs="Times New Roman"/>
        </w:rPr>
        <w:t>–</w:t>
      </w:r>
      <w:r w:rsidRPr="001216AE">
        <w:rPr>
          <w:rFonts w:ascii="Times New Roman" w:hAnsi="Times New Roman" w:cs="Times New Roman"/>
        </w:rPr>
        <w:t xml:space="preserve"> 6</w:t>
      </w:r>
      <w:r w:rsidR="00D21B34">
        <w:rPr>
          <w:rFonts w:ascii="Times New Roman" w:hAnsi="Times New Roman" w:cs="Times New Roman"/>
        </w:rPr>
        <w:t>]</w:t>
      </w:r>
      <w:r w:rsidRPr="001216AE">
        <w:rPr>
          <w:rFonts w:ascii="Times New Roman" w:hAnsi="Times New Roman" w:cs="Times New Roman"/>
        </w:rPr>
        <w:t>, sem diferenças estatísticas significativas (p=0.11).</w:t>
      </w:r>
    </w:p>
    <w:p w:rsidRPr="001216AE" w:rsidR="001216AE" w:rsidP="001216AE" w:rsidRDefault="001216AE" w14:paraId="17D6DD6A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Margens:</w:t>
      </w:r>
      <w:r w:rsidRPr="001216AE">
        <w:rPr>
          <w:rFonts w:ascii="Times New Roman" w:hAnsi="Times New Roman" w:cs="Times New Roman"/>
        </w:rPr>
        <w:t xml:space="preserve"> A comparação das margens comprometidas versus livres não mostrou diferenças estatísticas significativas entre pacientes com e sem tumor primário (p=0.25).</w:t>
      </w:r>
    </w:p>
    <w:p w:rsidRPr="001216AE" w:rsidR="001216AE" w:rsidP="001216AE" w:rsidRDefault="001216AE" w14:paraId="28F8F3BE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Circunferência:</w:t>
      </w:r>
      <w:r w:rsidRPr="001216AE">
        <w:rPr>
          <w:rFonts w:ascii="Times New Roman" w:hAnsi="Times New Roman" w:cs="Times New Roman"/>
        </w:rPr>
        <w:t xml:space="preserve"> Não houve diferença significativa na circunferência entre os grupos (p=0.70).</w:t>
      </w:r>
    </w:p>
    <w:p w:rsidRPr="001216AE" w:rsidR="001216AE" w:rsidP="001216AE" w:rsidRDefault="001216AE" w14:paraId="71AB7765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Grupos de Tratamento:</w:t>
      </w:r>
      <w:r w:rsidRPr="001216AE">
        <w:rPr>
          <w:rFonts w:ascii="Times New Roman" w:hAnsi="Times New Roman" w:cs="Times New Roman"/>
        </w:rPr>
        <w:t xml:space="preserve"> A distribuição do grupo de tratamento não mostrou diferenças estatísticas entre os pacientes com e sem tumor primário (p=0.69).</w:t>
      </w:r>
    </w:p>
    <w:p w:rsidRPr="001216AE" w:rsidR="001216AE" w:rsidP="001216AE" w:rsidRDefault="001216AE" w14:paraId="5A104072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Estenose:</w:t>
      </w:r>
      <w:r w:rsidRPr="001216AE">
        <w:rPr>
          <w:rFonts w:ascii="Times New Roman" w:hAnsi="Times New Roman" w:cs="Times New Roman"/>
        </w:rPr>
        <w:t xml:space="preserve"> A prevalência e resolução da estenose ao longo das semanas não mostrou diferenças estatísticas marcantes, exceto na estenose na 20ª semana e na presença geral de estenose, onde o grupo sem tumor primário apresentou maior resolução (p=0.04 para resolução de estenose).</w:t>
      </w:r>
    </w:p>
    <w:p w:rsidRPr="001216AE" w:rsidR="001216AE" w:rsidP="001216AE" w:rsidRDefault="001216AE" w14:paraId="3C853ED7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Glicemia Basal e Pós:</w:t>
      </w:r>
      <w:r w:rsidRPr="001216AE">
        <w:rPr>
          <w:rFonts w:ascii="Times New Roman" w:hAnsi="Times New Roman" w:cs="Times New Roman"/>
        </w:rPr>
        <w:t xml:space="preserve"> Não houve diferenças estatísticas entre os grupos na glicemia basal e pós-prandial (p=0.52 e p=0.55, respectivamente).</w:t>
      </w:r>
    </w:p>
    <w:p w:rsidRPr="001216AE" w:rsidR="001216AE" w:rsidP="001216AE" w:rsidRDefault="001216AE" w14:paraId="5EC88762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Número de Dilatações:</w:t>
      </w:r>
      <w:r w:rsidRPr="001216AE">
        <w:rPr>
          <w:rFonts w:ascii="Times New Roman" w:hAnsi="Times New Roman" w:cs="Times New Roman"/>
        </w:rPr>
        <w:t xml:space="preserve"> Não se observou diferença estatística no número de dilatações realizadas até ou após 24 semanas entre os pacientes com e sem tumor primário (p=0.95 e p=0.70, respectivamente).</w:t>
      </w:r>
    </w:p>
    <w:p w:rsidRPr="001216AE" w:rsidR="001216AE" w:rsidP="001216AE" w:rsidRDefault="001216AE" w14:paraId="4DFEAD2B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216AE">
        <w:rPr>
          <w:rFonts w:ascii="Times New Roman" w:hAnsi="Times New Roman" w:cs="Times New Roman"/>
          <w:b/>
          <w:bCs/>
        </w:rPr>
        <w:t>Complicações:</w:t>
      </w:r>
      <w:r w:rsidRPr="001216AE">
        <w:rPr>
          <w:rFonts w:ascii="Times New Roman" w:hAnsi="Times New Roman" w:cs="Times New Roman"/>
        </w:rPr>
        <w:t xml:space="preserve"> A taxa de complicações foi similar entre os grupos, com 10% tanto para pacientes com quanto sem tumor primário (p=1.00).</w:t>
      </w:r>
    </w:p>
    <w:p w:rsidR="001216AE" w:rsidP="001216AE" w:rsidRDefault="001216AE" w14:paraId="3E461A0C" w14:textId="77777777">
      <w:pPr>
        <w:jc w:val="both"/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</w:rPr>
        <w:t>Essas informações fornecem uma visão clara do perfil dos pacientes e das associações entre a presença de tumor primário e outras variáveis clínicas e demográficas na amostra estudada.</w:t>
      </w:r>
    </w:p>
    <w:p w:rsidR="0D57F08D" w:rsidP="0D57F08D" w:rsidRDefault="0D57F08D" w14:paraId="1013F29B" w14:textId="2AAED0FF">
      <w:pPr>
        <w:pStyle w:val="Normal"/>
        <w:jc w:val="both"/>
        <w:rPr>
          <w:rFonts w:ascii="Times New Roman" w:hAnsi="Times New Roman" w:cs="Times New Roman"/>
        </w:rPr>
      </w:pPr>
    </w:p>
    <w:p w:rsidR="001216AE" w:rsidP="00991D85" w:rsidRDefault="00212EBF" w14:paraId="11E0CDC1" w14:textId="5AA5305F">
      <w:pPr>
        <w:jc w:val="both"/>
        <w:rPr>
          <w:rFonts w:ascii="Times New Roman" w:hAnsi="Times New Roman" w:cs="Times New Roman"/>
        </w:rPr>
      </w:pPr>
      <w:r>
        <w:rPr>
          <w:b/>
          <w:bCs/>
          <w:i/>
          <w:iCs/>
          <w:sz w:val="28"/>
          <w:szCs w:val="28"/>
        </w:rPr>
        <w:t>Complicaç</w:t>
      </w:r>
      <w:r w:rsidR="00134046">
        <w:rPr>
          <w:b/>
          <w:bCs/>
          <w:i/>
          <w:iCs/>
          <w:sz w:val="28"/>
          <w:szCs w:val="28"/>
        </w:rPr>
        <w:t>ões</w:t>
      </w:r>
    </w:p>
    <w:p w:rsidRPr="00AF088F" w:rsidR="00AF088F" w:rsidP="00AF088F" w:rsidRDefault="00AF088F" w14:paraId="4B4F230D" w14:textId="6550634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Idade:</w:t>
      </w:r>
      <w:r w:rsidRPr="00AF088F">
        <w:rPr>
          <w:rFonts w:ascii="Times New Roman" w:hAnsi="Times New Roman" w:cs="Times New Roman"/>
        </w:rPr>
        <w:t xml:space="preserve"> A mediana geral da idade foi de 62 anos </w:t>
      </w:r>
      <w:r w:rsidR="00C26525">
        <w:rPr>
          <w:rFonts w:ascii="Times New Roman" w:hAnsi="Times New Roman" w:cs="Times New Roman"/>
        </w:rPr>
        <w:t>[</w:t>
      </w:r>
      <w:r w:rsidRPr="00AF088F">
        <w:rPr>
          <w:rFonts w:ascii="Times New Roman" w:hAnsi="Times New Roman" w:cs="Times New Roman"/>
        </w:rPr>
        <w:t>56,75</w:t>
      </w:r>
      <w:r w:rsidR="00C26525">
        <w:rPr>
          <w:rFonts w:ascii="Times New Roman" w:hAnsi="Times New Roman" w:cs="Times New Roman"/>
        </w:rPr>
        <w:t xml:space="preserve"> -</w:t>
      </w:r>
      <w:r w:rsidRPr="00AF088F">
        <w:rPr>
          <w:rFonts w:ascii="Times New Roman" w:hAnsi="Times New Roman" w:cs="Times New Roman"/>
        </w:rPr>
        <w:t xml:space="preserve"> 69,75</w:t>
      </w:r>
      <w:r w:rsidR="00C26525">
        <w:rPr>
          <w:rFonts w:ascii="Times New Roman" w:hAnsi="Times New Roman" w:cs="Times New Roman"/>
        </w:rPr>
        <w:t>]</w:t>
      </w:r>
      <w:r w:rsidRPr="00AF088F">
        <w:rPr>
          <w:rFonts w:ascii="Times New Roman" w:hAnsi="Times New Roman" w:cs="Times New Roman"/>
        </w:rPr>
        <w:t xml:space="preserve">. Entre os que não tiveram complicações, a mediana da idade foi a mesma de 62 anos </w:t>
      </w:r>
      <w:r w:rsidR="00F87EC2">
        <w:rPr>
          <w:rFonts w:ascii="Times New Roman" w:hAnsi="Times New Roman" w:cs="Times New Roman"/>
        </w:rPr>
        <w:t>[</w:t>
      </w:r>
      <w:r w:rsidRPr="00AF088F">
        <w:rPr>
          <w:rFonts w:ascii="Times New Roman" w:hAnsi="Times New Roman" w:cs="Times New Roman"/>
        </w:rPr>
        <w:t xml:space="preserve">57,50 </w:t>
      </w:r>
      <w:r w:rsidR="00F87EC2">
        <w:rPr>
          <w:rFonts w:ascii="Times New Roman" w:hAnsi="Times New Roman" w:cs="Times New Roman"/>
        </w:rPr>
        <w:t>-</w:t>
      </w:r>
      <w:r w:rsidRPr="00AF088F">
        <w:rPr>
          <w:rFonts w:ascii="Times New Roman" w:hAnsi="Times New Roman" w:cs="Times New Roman"/>
        </w:rPr>
        <w:t xml:space="preserve"> 69,50</w:t>
      </w:r>
      <w:r w:rsidR="00F87EC2">
        <w:rPr>
          <w:rFonts w:ascii="Times New Roman" w:hAnsi="Times New Roman" w:cs="Times New Roman"/>
        </w:rPr>
        <w:t>]</w:t>
      </w:r>
      <w:r w:rsidRPr="00AF088F">
        <w:rPr>
          <w:rFonts w:ascii="Times New Roman" w:hAnsi="Times New Roman" w:cs="Times New Roman"/>
        </w:rPr>
        <w:t xml:space="preserve">, e para aqueles que tiveram complicações, a mediana foi ligeiramente maior, com 63 anos </w:t>
      </w:r>
      <w:r w:rsidR="00F87EC2">
        <w:rPr>
          <w:rFonts w:ascii="Times New Roman" w:hAnsi="Times New Roman" w:cs="Times New Roman"/>
        </w:rPr>
        <w:t>[</w:t>
      </w:r>
      <w:r w:rsidRPr="00AF088F">
        <w:rPr>
          <w:rFonts w:ascii="Times New Roman" w:hAnsi="Times New Roman" w:cs="Times New Roman"/>
        </w:rPr>
        <w:t xml:space="preserve">57,50 </w:t>
      </w:r>
      <w:r w:rsidR="00F87EC2">
        <w:rPr>
          <w:rFonts w:ascii="Times New Roman" w:hAnsi="Times New Roman" w:cs="Times New Roman"/>
        </w:rPr>
        <w:t xml:space="preserve">- </w:t>
      </w:r>
      <w:r w:rsidRPr="00AF088F">
        <w:rPr>
          <w:rFonts w:ascii="Times New Roman" w:hAnsi="Times New Roman" w:cs="Times New Roman"/>
        </w:rPr>
        <w:t>70,50</w:t>
      </w:r>
      <w:r w:rsidR="00F87EC2">
        <w:rPr>
          <w:rFonts w:ascii="Times New Roman" w:hAnsi="Times New Roman" w:cs="Times New Roman"/>
        </w:rPr>
        <w:t>]</w:t>
      </w:r>
      <w:r w:rsidRPr="00AF088F">
        <w:rPr>
          <w:rFonts w:ascii="Times New Roman" w:hAnsi="Times New Roman" w:cs="Times New Roman"/>
        </w:rPr>
        <w:t>. Não houve diferença estatística significativa entre os dois grupos (p=0.78).</w:t>
      </w:r>
    </w:p>
    <w:p w:rsidRPr="00AF088F" w:rsidR="00AF088F" w:rsidP="00AF088F" w:rsidRDefault="00AF088F" w14:paraId="360085F6" w14:textId="777777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Sexo:</w:t>
      </w:r>
      <w:r w:rsidRPr="00AF088F">
        <w:rPr>
          <w:rFonts w:ascii="Times New Roman" w:hAnsi="Times New Roman" w:cs="Times New Roman"/>
        </w:rPr>
        <w:t xml:space="preserve"> No total da amostra, 20% dos participantes eram do sexo feminino e 80% do masculino. Todos os que tiveram complicações eram do sexo masculino, o que não foi estatisticamente significativo em comparação com a distribuição no grupo sem complicações (p=1.00).</w:t>
      </w:r>
    </w:p>
    <w:p w:rsidRPr="00AF088F" w:rsidR="00AF088F" w:rsidP="00AF088F" w:rsidRDefault="00AF088F" w14:paraId="4D1FF8D8" w14:textId="777777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Tumor Primário:</w:t>
      </w:r>
      <w:r w:rsidRPr="00AF088F">
        <w:rPr>
          <w:rFonts w:ascii="Times New Roman" w:hAnsi="Times New Roman" w:cs="Times New Roman"/>
        </w:rPr>
        <w:t xml:space="preserve"> A presença de tumor primário foi idêntica em ambos os grupos, com 66,67% tendo um tumor primário tanto no grupo sem complicações quanto no grupo com complicações, não mostrando diferenças estatísticas (p=1.00).</w:t>
      </w:r>
    </w:p>
    <w:p w:rsidRPr="00AF088F" w:rsidR="00AF088F" w:rsidP="00AF088F" w:rsidRDefault="00AF088F" w14:paraId="5E9A6570" w14:textId="777777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Localização:</w:t>
      </w:r>
      <w:r w:rsidRPr="00AF088F">
        <w:rPr>
          <w:rFonts w:ascii="Times New Roman" w:hAnsi="Times New Roman" w:cs="Times New Roman"/>
        </w:rPr>
        <w:t xml:space="preserve"> A localização do tumor foi distribuída entre distal (23,33% geral), médio (60% geral) e proximal (16,67% geral). No grupo sem complicações, as proporções foram respectivamente 22,22%, 59,26% e 18,52%, e no grupo com complicações, 33,33%, 66,67% e 0% para cada localização. Não houve diferenças estatísticas significativas (p=0.69).</w:t>
      </w:r>
    </w:p>
    <w:p w:rsidRPr="00AF088F" w:rsidR="00AF088F" w:rsidP="00AF088F" w:rsidRDefault="00AF088F" w14:paraId="643253E6" w14:textId="0D7E801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Tamanho:</w:t>
      </w:r>
      <w:r w:rsidRPr="00AF088F">
        <w:rPr>
          <w:rFonts w:ascii="Times New Roman" w:hAnsi="Times New Roman" w:cs="Times New Roman"/>
        </w:rPr>
        <w:t xml:space="preserve"> O tamanho do tumor apresentou uma mediana geral de 6 </w:t>
      </w:r>
      <w:r w:rsidR="00C26525">
        <w:rPr>
          <w:rFonts w:ascii="Times New Roman" w:hAnsi="Times New Roman" w:cs="Times New Roman"/>
        </w:rPr>
        <w:t>[</w:t>
      </w:r>
      <w:r w:rsidRPr="00AF088F">
        <w:rPr>
          <w:rFonts w:ascii="Times New Roman" w:hAnsi="Times New Roman" w:cs="Times New Roman"/>
        </w:rPr>
        <w:t xml:space="preserve">5 </w:t>
      </w:r>
      <w:r w:rsidR="00C26525">
        <w:rPr>
          <w:rFonts w:ascii="Times New Roman" w:hAnsi="Times New Roman" w:cs="Times New Roman"/>
        </w:rPr>
        <w:t>–</w:t>
      </w:r>
      <w:r w:rsidRPr="00AF088F">
        <w:rPr>
          <w:rFonts w:ascii="Times New Roman" w:hAnsi="Times New Roman" w:cs="Times New Roman"/>
        </w:rPr>
        <w:t xml:space="preserve"> 7</w:t>
      </w:r>
      <w:r w:rsidR="00C26525">
        <w:rPr>
          <w:rFonts w:ascii="Times New Roman" w:hAnsi="Times New Roman" w:cs="Times New Roman"/>
        </w:rPr>
        <w:t>]</w:t>
      </w:r>
      <w:r w:rsidRPr="00AF088F">
        <w:rPr>
          <w:rFonts w:ascii="Times New Roman" w:hAnsi="Times New Roman" w:cs="Times New Roman"/>
        </w:rPr>
        <w:t xml:space="preserve">, semelhante entre os grupos sem </w:t>
      </w:r>
      <w:r w:rsidR="004A5813">
        <w:rPr>
          <w:rFonts w:ascii="Times New Roman" w:hAnsi="Times New Roman" w:cs="Times New Roman"/>
        </w:rPr>
        <w:t>6 [</w:t>
      </w:r>
      <w:r w:rsidRPr="00AF088F">
        <w:rPr>
          <w:rFonts w:ascii="Times New Roman" w:hAnsi="Times New Roman" w:cs="Times New Roman"/>
        </w:rPr>
        <w:t xml:space="preserve">5 </w:t>
      </w:r>
      <w:r w:rsidR="004A5813">
        <w:rPr>
          <w:rFonts w:ascii="Times New Roman" w:hAnsi="Times New Roman" w:cs="Times New Roman"/>
        </w:rPr>
        <w:t>–</w:t>
      </w:r>
      <w:r w:rsidRPr="00AF088F">
        <w:rPr>
          <w:rFonts w:ascii="Times New Roman" w:hAnsi="Times New Roman" w:cs="Times New Roman"/>
        </w:rPr>
        <w:t xml:space="preserve"> 7</w:t>
      </w:r>
      <w:r w:rsidR="004A5813">
        <w:rPr>
          <w:rFonts w:ascii="Times New Roman" w:hAnsi="Times New Roman" w:cs="Times New Roman"/>
        </w:rPr>
        <w:t>]</w:t>
      </w:r>
      <w:r w:rsidRPr="00AF088F">
        <w:rPr>
          <w:rFonts w:ascii="Times New Roman" w:hAnsi="Times New Roman" w:cs="Times New Roman"/>
        </w:rPr>
        <w:t xml:space="preserve"> e com complicações </w:t>
      </w:r>
      <w:r w:rsidR="004A5813">
        <w:rPr>
          <w:rFonts w:ascii="Times New Roman" w:hAnsi="Times New Roman" w:cs="Times New Roman"/>
        </w:rPr>
        <w:t xml:space="preserve">6 </w:t>
      </w:r>
      <w:r w:rsidR="00C26525">
        <w:rPr>
          <w:rFonts w:ascii="Times New Roman" w:hAnsi="Times New Roman" w:cs="Times New Roman"/>
        </w:rPr>
        <w:t>[</w:t>
      </w:r>
      <w:r w:rsidRPr="00AF088F">
        <w:rPr>
          <w:rFonts w:ascii="Times New Roman" w:hAnsi="Times New Roman" w:cs="Times New Roman"/>
        </w:rPr>
        <w:t>5,50 - 6,50</w:t>
      </w:r>
      <w:r w:rsidR="00C26525">
        <w:rPr>
          <w:rFonts w:ascii="Times New Roman" w:hAnsi="Times New Roman" w:cs="Times New Roman"/>
        </w:rPr>
        <w:t>]</w:t>
      </w:r>
      <w:r w:rsidRPr="00AF088F">
        <w:rPr>
          <w:rFonts w:ascii="Times New Roman" w:hAnsi="Times New Roman" w:cs="Times New Roman"/>
        </w:rPr>
        <w:t>, e sem diferença estatística (p=0.94).</w:t>
      </w:r>
    </w:p>
    <w:p w:rsidRPr="00AF088F" w:rsidR="00AF088F" w:rsidP="00AF088F" w:rsidRDefault="00AF088F" w14:paraId="79C99311" w14:textId="777777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Margens:</w:t>
      </w:r>
      <w:r w:rsidRPr="00AF088F">
        <w:rPr>
          <w:rFonts w:ascii="Times New Roman" w:hAnsi="Times New Roman" w:cs="Times New Roman"/>
        </w:rPr>
        <w:t xml:space="preserve"> Observou-se que 10% dos pacientes tinham margens comprometidas no total da amostra. No grupo sem complicações, 7,41% tinham margens comprometidas comparado a 33,33% no grupo com complicações, mas essa diferença não foi estatisticamente significativa (p=0.27).</w:t>
      </w:r>
    </w:p>
    <w:p w:rsidRPr="00AF088F" w:rsidR="00AF088F" w:rsidP="00AF088F" w:rsidRDefault="00AF088F" w14:paraId="451BDE53" w14:textId="6CA684E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D57F08D" w:rsidR="0D57F08D">
        <w:rPr>
          <w:rFonts w:ascii="Times New Roman" w:hAnsi="Times New Roman" w:cs="Times New Roman"/>
          <w:b w:val="1"/>
          <w:bCs w:val="1"/>
        </w:rPr>
        <w:t>Circunferência:</w:t>
      </w:r>
      <w:r w:rsidRPr="0D57F08D" w:rsidR="0D57F08D">
        <w:rPr>
          <w:rFonts w:ascii="Times New Roman" w:hAnsi="Times New Roman" w:cs="Times New Roman"/>
        </w:rPr>
        <w:t xml:space="preserve"> A taxa de ressecção circunferencial foi de 37,04% dos casos no grupo sem complicações e em 33,33% dos casos do grupo com complicações, sem diferença estatística (p=1.00).</w:t>
      </w:r>
    </w:p>
    <w:p w:rsidRPr="00AF088F" w:rsidR="00AF088F" w:rsidP="00AF088F" w:rsidRDefault="00AF088F" w14:paraId="592CE666" w14:textId="777777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Grupo de Tratamento:</w:t>
      </w:r>
      <w:r w:rsidRPr="00AF088F">
        <w:rPr>
          <w:rFonts w:ascii="Times New Roman" w:hAnsi="Times New Roman" w:cs="Times New Roman"/>
        </w:rPr>
        <w:t xml:space="preserve"> Não houve diferença significativa na distribuição entre o grupo oral e injetável quando comparados os que tiveram e os que não tiveram complicações (p=1.00).</w:t>
      </w:r>
    </w:p>
    <w:p w:rsidRPr="00AF088F" w:rsidR="00AF088F" w:rsidP="00AF088F" w:rsidRDefault="00AF088F" w14:paraId="2A8FC580" w14:textId="777777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Estenose ao Longo das Semanas:</w:t>
      </w:r>
      <w:r w:rsidRPr="00AF088F">
        <w:rPr>
          <w:rFonts w:ascii="Times New Roman" w:hAnsi="Times New Roman" w:cs="Times New Roman"/>
        </w:rPr>
        <w:t xml:space="preserve"> Não foram encontradas diferenças estatísticas significativas na presença de estenose nas semanas 4, 8, 12 e 24 entre os grupos. Entretanto, na 16ª e 20ª semanas, aqueles com complicações tinham uma prevalência de 100% de estenose, o que foi estatisticamente significativo em comparação com aqueles sem complicações (p=0.03 e p=0.04, respectivamente).</w:t>
      </w:r>
    </w:p>
    <w:p w:rsidRPr="00AF088F" w:rsidR="00AF088F" w:rsidP="00AF088F" w:rsidRDefault="00AF088F" w14:paraId="68988F4C" w14:textId="5400DA8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Glicemia Basal e Pós:</w:t>
      </w:r>
      <w:r w:rsidRPr="00AF088F">
        <w:rPr>
          <w:rFonts w:ascii="Times New Roman" w:hAnsi="Times New Roman" w:cs="Times New Roman"/>
        </w:rPr>
        <w:t xml:space="preserve"> Não houve diferença estatística entre os grupos na glicemia basal e pós (p=0.29 e p=0.36, respectivamente).</w:t>
      </w:r>
    </w:p>
    <w:p w:rsidRPr="00361BD6" w:rsidR="00991D85" w:rsidP="00361BD6" w:rsidRDefault="00AF088F" w14:paraId="39514DBF" w14:textId="2666D36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F088F">
        <w:rPr>
          <w:rFonts w:ascii="Times New Roman" w:hAnsi="Times New Roman" w:cs="Times New Roman"/>
          <w:b/>
          <w:bCs/>
        </w:rPr>
        <w:t>Número de Dilatações:</w:t>
      </w:r>
      <w:r w:rsidRPr="00AF088F">
        <w:rPr>
          <w:rFonts w:ascii="Times New Roman" w:hAnsi="Times New Roman" w:cs="Times New Roman"/>
        </w:rPr>
        <w:t xml:space="preserve"> A mediana do número de dilatações realizadas até ou após 24 semanas foi de 6 </w:t>
      </w:r>
      <w:r w:rsidR="00134046">
        <w:rPr>
          <w:rFonts w:ascii="Times New Roman" w:hAnsi="Times New Roman" w:cs="Times New Roman"/>
        </w:rPr>
        <w:t>[</w:t>
      </w:r>
      <w:r w:rsidRPr="00AF088F">
        <w:rPr>
          <w:rFonts w:ascii="Times New Roman" w:hAnsi="Times New Roman" w:cs="Times New Roman"/>
        </w:rPr>
        <w:t xml:space="preserve">4 </w:t>
      </w:r>
      <w:r w:rsidR="00134046">
        <w:rPr>
          <w:rFonts w:ascii="Times New Roman" w:hAnsi="Times New Roman" w:cs="Times New Roman"/>
        </w:rPr>
        <w:t>–</w:t>
      </w:r>
      <w:r w:rsidRPr="00AF088F">
        <w:rPr>
          <w:rFonts w:ascii="Times New Roman" w:hAnsi="Times New Roman" w:cs="Times New Roman"/>
        </w:rPr>
        <w:t xml:space="preserve"> 11</w:t>
      </w:r>
      <w:r w:rsidR="00134046">
        <w:rPr>
          <w:rFonts w:ascii="Times New Roman" w:hAnsi="Times New Roman" w:cs="Times New Roman"/>
        </w:rPr>
        <w:t>]</w:t>
      </w:r>
      <w:r w:rsidRPr="00AF088F">
        <w:rPr>
          <w:rFonts w:ascii="Times New Roman" w:hAnsi="Times New Roman" w:cs="Times New Roman"/>
        </w:rPr>
        <w:t xml:space="preserve"> e 6,50 </w:t>
      </w:r>
      <w:r w:rsidR="00134046">
        <w:rPr>
          <w:rFonts w:ascii="Times New Roman" w:hAnsi="Times New Roman" w:cs="Times New Roman"/>
        </w:rPr>
        <w:t>[</w:t>
      </w:r>
      <w:r w:rsidRPr="00AF088F">
        <w:rPr>
          <w:rFonts w:ascii="Times New Roman" w:hAnsi="Times New Roman" w:cs="Times New Roman"/>
        </w:rPr>
        <w:t xml:space="preserve">4 </w:t>
      </w:r>
      <w:r w:rsidR="00134046">
        <w:rPr>
          <w:rFonts w:ascii="Times New Roman" w:hAnsi="Times New Roman" w:cs="Times New Roman"/>
        </w:rPr>
        <w:t>–</w:t>
      </w:r>
      <w:r w:rsidRPr="00AF088F">
        <w:rPr>
          <w:rFonts w:ascii="Times New Roman" w:hAnsi="Times New Roman" w:cs="Times New Roman"/>
        </w:rPr>
        <w:t xml:space="preserve"> 16</w:t>
      </w:r>
      <w:r w:rsidR="00134046">
        <w:rPr>
          <w:rFonts w:ascii="Times New Roman" w:hAnsi="Times New Roman" w:cs="Times New Roman"/>
        </w:rPr>
        <w:t>]</w:t>
      </w:r>
      <w:r w:rsidRPr="00AF088F">
        <w:rPr>
          <w:rFonts w:ascii="Times New Roman" w:hAnsi="Times New Roman" w:cs="Times New Roman"/>
        </w:rPr>
        <w:t>, respectivamente, para o total de grupos. Não houve diferença estatística entre aqueles sem e com complicações (p=0.94 e p=0.41, respectivamente).</w:t>
      </w:r>
    </w:p>
    <w:p w:rsidR="00991D85" w:rsidP="0D57F08D" w:rsidRDefault="00991D85" w14:paraId="631AE868" w14:textId="13F52EC8">
      <w:pPr>
        <w:rPr>
          <w:b w:val="1"/>
          <w:bCs w:val="1"/>
          <w:i w:val="1"/>
          <w:iCs w:val="1"/>
          <w:sz w:val="28"/>
          <w:szCs w:val="28"/>
        </w:rPr>
      </w:pPr>
      <w:r w:rsidRPr="0D57F08D" w:rsidR="0D57F08D">
        <w:rPr>
          <w:b w:val="1"/>
          <w:bCs w:val="1"/>
          <w:i w:val="1"/>
          <w:iCs w:val="1"/>
          <w:sz w:val="28"/>
          <w:szCs w:val="28"/>
        </w:rPr>
        <w:t>Referências da parte estatística:</w:t>
      </w:r>
    </w:p>
    <w:p w:rsidRPr="00D34761" w:rsidR="00991D85" w:rsidP="00991D85" w:rsidRDefault="00991D85" w14:paraId="6A99FBCE" w14:textId="77777777">
      <w:pPr>
        <w:rPr>
          <w:b/>
          <w:bCs/>
        </w:rPr>
      </w:pPr>
      <w:proofErr w:type="spellStart"/>
      <w:r w:rsidRPr="00D34761">
        <w:rPr>
          <w:b/>
          <w:bCs/>
        </w:rPr>
        <w:t>Hodges</w:t>
      </w:r>
      <w:proofErr w:type="spellEnd"/>
      <w:r w:rsidRPr="00D34761">
        <w:rPr>
          <w:b/>
          <w:bCs/>
        </w:rPr>
        <w:t>-Lehman=========================================</w:t>
      </w:r>
    </w:p>
    <w:p w:rsidR="00991D85" w:rsidP="00991D85" w:rsidRDefault="008F2416" w14:paraId="305DF3E4" w14:textId="77777777">
      <w:hyperlink w:history="1" r:id="rId9">
        <w:r w:rsidR="00991D85">
          <w:rPr>
            <w:rStyle w:val="Hyperlink"/>
          </w:rPr>
          <w:t xml:space="preserve">Em Bioestatística e Ensaios Clínicos: Estimador </w:t>
        </w:r>
        <w:proofErr w:type="spellStart"/>
        <w:r w:rsidR="00991D85">
          <w:rPr>
            <w:rStyle w:val="Hyperlink"/>
          </w:rPr>
          <w:t>Hodges</w:t>
        </w:r>
        <w:proofErr w:type="spellEnd"/>
        <w:r w:rsidR="00991D85">
          <w:rPr>
            <w:rStyle w:val="Hyperlink"/>
          </w:rPr>
          <w:t>-Lehmann de mudança de localização: Mediana de Diferenças versus Diferença em Medianas ou Diferença de Mediana (onbiostatistics.blogspot.com)</w:t>
        </w:r>
      </w:hyperlink>
    </w:p>
    <w:p w:rsidR="0003736B" w:rsidP="00991D85" w:rsidRDefault="0003736B" w14:paraId="4E518246" w14:textId="17AF398C">
      <w:proofErr w:type="spellStart"/>
      <w:r w:rsidRPr="0003736B">
        <w:t>Rosenkranz</w:t>
      </w:r>
      <w:proofErr w:type="spellEnd"/>
      <w:r w:rsidRPr="0003736B">
        <w:t xml:space="preserve"> GK. A note </w:t>
      </w:r>
      <w:proofErr w:type="spellStart"/>
      <w:r w:rsidRPr="0003736B">
        <w:t>on</w:t>
      </w:r>
      <w:proofErr w:type="spellEnd"/>
      <w:r w:rsidRPr="0003736B">
        <w:t xml:space="preserve"> </w:t>
      </w:r>
      <w:proofErr w:type="spellStart"/>
      <w:r w:rsidRPr="0003736B">
        <w:t>the</w:t>
      </w:r>
      <w:proofErr w:type="spellEnd"/>
      <w:r w:rsidRPr="0003736B">
        <w:t xml:space="preserve"> </w:t>
      </w:r>
      <w:proofErr w:type="spellStart"/>
      <w:r w:rsidRPr="0003736B">
        <w:t>Hodges</w:t>
      </w:r>
      <w:proofErr w:type="spellEnd"/>
      <w:r w:rsidRPr="0003736B">
        <w:t xml:space="preserve">-Lehmann </w:t>
      </w:r>
      <w:proofErr w:type="spellStart"/>
      <w:r w:rsidRPr="0003736B">
        <w:t>estimator</w:t>
      </w:r>
      <w:proofErr w:type="spellEnd"/>
      <w:r w:rsidRPr="0003736B">
        <w:t xml:space="preserve">. </w:t>
      </w:r>
      <w:proofErr w:type="spellStart"/>
      <w:r w:rsidRPr="0003736B">
        <w:t>Pharm</w:t>
      </w:r>
      <w:proofErr w:type="spellEnd"/>
      <w:r w:rsidRPr="0003736B">
        <w:t xml:space="preserve"> </w:t>
      </w:r>
      <w:proofErr w:type="spellStart"/>
      <w:r w:rsidRPr="0003736B">
        <w:t>Stat</w:t>
      </w:r>
      <w:proofErr w:type="spellEnd"/>
      <w:r w:rsidRPr="0003736B">
        <w:t>. 2010 Apr-Jun;9(2):162-7. doi: 10.1002/pst.387. PMID: 19718773.</w:t>
      </w:r>
    </w:p>
    <w:p w:rsidR="00991D85" w:rsidP="00991D85" w:rsidRDefault="008F2416" w14:paraId="1F623471" w14:textId="0826A9EC">
      <w:hyperlink w:history="1" r:id="rId10">
        <w:r w:rsidR="00991D85">
          <w:rPr>
            <w:rStyle w:val="Hyperlink"/>
          </w:rPr>
          <w:t xml:space="preserve">Nota sobre o estimador de </w:t>
        </w:r>
        <w:proofErr w:type="spellStart"/>
        <w:r w:rsidR="00991D85">
          <w:rPr>
            <w:rStyle w:val="Hyperlink"/>
          </w:rPr>
          <w:t>Hodges</w:t>
        </w:r>
        <w:proofErr w:type="spellEnd"/>
        <w:r w:rsidR="00991D85">
          <w:rPr>
            <w:rStyle w:val="Hyperlink"/>
          </w:rPr>
          <w:t xml:space="preserve">-Lehmann - </w:t>
        </w:r>
        <w:proofErr w:type="spellStart"/>
        <w:r w:rsidR="00991D85">
          <w:rPr>
            <w:rStyle w:val="Hyperlink"/>
          </w:rPr>
          <w:t>PubMed</w:t>
        </w:r>
        <w:proofErr w:type="spellEnd"/>
        <w:r w:rsidR="00991D85">
          <w:rPr>
            <w:rStyle w:val="Hyperlink"/>
          </w:rPr>
          <w:t xml:space="preserve"> (nih.gov)</w:t>
        </w:r>
      </w:hyperlink>
      <w:r w:rsidR="00991D85">
        <w:t xml:space="preserve"> =&gt; falar sobre a robustez e maior adequação em lidar com dados sem simetria normal.</w:t>
      </w:r>
    </w:p>
    <w:p w:rsidRPr="00D34761" w:rsidR="00991D85" w:rsidP="00991D85" w:rsidRDefault="00991D85" w14:paraId="158298E3" w14:textId="77777777">
      <w:pPr>
        <w:rPr>
          <w:b/>
          <w:bCs/>
        </w:rPr>
      </w:pPr>
      <w:r w:rsidRPr="00D34761">
        <w:rPr>
          <w:b/>
          <w:bCs/>
        </w:rPr>
        <w:t>Mann-Whitney=========================================</w:t>
      </w:r>
    </w:p>
    <w:p w:rsidRPr="00D34761" w:rsidR="00991D85" w:rsidP="00991D85" w:rsidRDefault="008F2416" w14:paraId="4E2FFB08" w14:textId="77777777">
      <w:hyperlink w:history="1" r:id="rId11">
        <w:r w:rsidR="00991D85">
          <w:rPr>
            <w:rStyle w:val="Hyperlink"/>
          </w:rPr>
          <w:t xml:space="preserve">Quem tem medo de dados não normais? Escolha entre testes paramétricos e não paramétricos - </w:t>
        </w:r>
        <w:proofErr w:type="spellStart"/>
        <w:r w:rsidR="00991D85">
          <w:rPr>
            <w:rStyle w:val="Hyperlink"/>
          </w:rPr>
          <w:t>PubMed</w:t>
        </w:r>
        <w:proofErr w:type="spellEnd"/>
        <w:r w:rsidR="00991D85">
          <w:rPr>
            <w:rStyle w:val="Hyperlink"/>
          </w:rPr>
          <w:t xml:space="preserve"> (nih.gov)</w:t>
        </w:r>
      </w:hyperlink>
    </w:p>
    <w:p w:rsidR="00991D85" w:rsidP="00991D85" w:rsidRDefault="00991D85" w14:paraId="21BE2F16" w14:textId="77777777">
      <w:pPr>
        <w:rPr>
          <w:b/>
          <w:bCs/>
        </w:rPr>
      </w:pPr>
      <w:r>
        <w:rPr>
          <w:b/>
          <w:bCs/>
        </w:rPr>
        <w:t>Fisher</w:t>
      </w:r>
      <w:r>
        <w:t>=========================================</w:t>
      </w:r>
    </w:p>
    <w:p w:rsidR="00991D85" w:rsidP="00991D85" w:rsidRDefault="008F2416" w14:paraId="182115EB" w14:textId="77777777">
      <w:hyperlink w:history="1" r:id="rId12">
        <w:r w:rsidR="00991D85">
          <w:rPr>
            <w:rStyle w:val="Hyperlink"/>
          </w:rPr>
          <w:t xml:space="preserve">Testando diferenças nas proporções - </w:t>
        </w:r>
        <w:proofErr w:type="spellStart"/>
        <w:r w:rsidR="00991D85">
          <w:rPr>
            <w:rStyle w:val="Hyperlink"/>
          </w:rPr>
          <w:t>PubMed</w:t>
        </w:r>
        <w:proofErr w:type="spellEnd"/>
        <w:r w:rsidR="00991D85">
          <w:rPr>
            <w:rStyle w:val="Hyperlink"/>
          </w:rPr>
          <w:t xml:space="preserve"> (nih.gov)</w:t>
        </w:r>
      </w:hyperlink>
    </w:p>
    <w:p w:rsidR="00991D85" w:rsidP="00991D85" w:rsidRDefault="00991D85" w14:paraId="48529151" w14:textId="77777777">
      <w:pPr>
        <w:rPr>
          <w:b/>
          <w:bCs/>
        </w:rPr>
      </w:pPr>
      <w:r>
        <w:rPr>
          <w:b/>
          <w:bCs/>
        </w:rPr>
        <w:t>Problemas de trabalhar com amostras pequenas</w:t>
      </w:r>
      <w:r>
        <w:t>==========================</w:t>
      </w:r>
    </w:p>
    <w:p w:rsidRPr="00EA57A1" w:rsidR="00991D85" w:rsidP="00991D85" w:rsidRDefault="008F2416" w14:paraId="229DAC11" w14:textId="77777777">
      <w:pPr>
        <w:rPr>
          <w:b/>
          <w:bCs/>
        </w:rPr>
      </w:pPr>
      <w:hyperlink w:history="1" r:id="rId13">
        <w:r w:rsidR="00991D85">
          <w:rPr>
            <w:rStyle w:val="Hyperlink"/>
          </w:rPr>
          <w:t>Como o tamanho da amostra influencia os resultados da pesquisa - PMC (nih.gov)</w:t>
        </w:r>
      </w:hyperlink>
    </w:p>
    <w:p w:rsidRPr="00991D85" w:rsidR="00991D85" w:rsidP="00991D85" w:rsidRDefault="00991D85" w14:paraId="19B4CAA1" w14:textId="77777777">
      <w:pPr>
        <w:rPr>
          <w:b/>
          <w:bCs/>
          <w:i/>
          <w:iCs/>
          <w:sz w:val="28"/>
          <w:szCs w:val="28"/>
        </w:rPr>
      </w:pPr>
    </w:p>
    <w:sectPr w:rsidRPr="00991D85" w:rsidR="00991D8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42057"/>
    <w:multiLevelType w:val="multilevel"/>
    <w:tmpl w:val="A066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8C2756A"/>
    <w:multiLevelType w:val="hybridMultilevel"/>
    <w:tmpl w:val="6B16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74C404F"/>
    <w:multiLevelType w:val="multilevel"/>
    <w:tmpl w:val="9F4A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5541787"/>
    <w:multiLevelType w:val="multilevel"/>
    <w:tmpl w:val="834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5967121"/>
    <w:multiLevelType w:val="multilevel"/>
    <w:tmpl w:val="BE3E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36531843">
    <w:abstractNumId w:val="1"/>
  </w:num>
  <w:num w:numId="2" w16cid:durableId="1940676368">
    <w:abstractNumId w:val="0"/>
  </w:num>
  <w:num w:numId="3" w16cid:durableId="509226226">
    <w:abstractNumId w:val="2"/>
  </w:num>
  <w:num w:numId="4" w16cid:durableId="633221249">
    <w:abstractNumId w:val="4"/>
  </w:num>
  <w:num w:numId="5" w16cid:durableId="1407261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85"/>
    <w:rsid w:val="00011A40"/>
    <w:rsid w:val="000337F1"/>
    <w:rsid w:val="0003736B"/>
    <w:rsid w:val="000414F4"/>
    <w:rsid w:val="000746BA"/>
    <w:rsid w:val="00076080"/>
    <w:rsid w:val="000B23AD"/>
    <w:rsid w:val="000B3D53"/>
    <w:rsid w:val="000B537A"/>
    <w:rsid w:val="000C02AC"/>
    <w:rsid w:val="000C30BB"/>
    <w:rsid w:val="000C3427"/>
    <w:rsid w:val="000D6C7B"/>
    <w:rsid w:val="000D7974"/>
    <w:rsid w:val="000E3267"/>
    <w:rsid w:val="000E7104"/>
    <w:rsid w:val="000E7B13"/>
    <w:rsid w:val="000F2D31"/>
    <w:rsid w:val="00102797"/>
    <w:rsid w:val="00102C32"/>
    <w:rsid w:val="00103D6A"/>
    <w:rsid w:val="001216AE"/>
    <w:rsid w:val="00122F08"/>
    <w:rsid w:val="00134046"/>
    <w:rsid w:val="001470CF"/>
    <w:rsid w:val="001731E5"/>
    <w:rsid w:val="00173247"/>
    <w:rsid w:val="00194176"/>
    <w:rsid w:val="00194FD6"/>
    <w:rsid w:val="00195686"/>
    <w:rsid w:val="00197F81"/>
    <w:rsid w:val="001D22CB"/>
    <w:rsid w:val="001D2817"/>
    <w:rsid w:val="001F73B2"/>
    <w:rsid w:val="00202B5A"/>
    <w:rsid w:val="0020324F"/>
    <w:rsid w:val="00206991"/>
    <w:rsid w:val="0021044A"/>
    <w:rsid w:val="00212EBF"/>
    <w:rsid w:val="00223285"/>
    <w:rsid w:val="002401EB"/>
    <w:rsid w:val="00246D0F"/>
    <w:rsid w:val="00255A50"/>
    <w:rsid w:val="00257FB3"/>
    <w:rsid w:val="002659E9"/>
    <w:rsid w:val="0026685E"/>
    <w:rsid w:val="00284A42"/>
    <w:rsid w:val="00297ADC"/>
    <w:rsid w:val="00297DE9"/>
    <w:rsid w:val="002A6626"/>
    <w:rsid w:val="002A7468"/>
    <w:rsid w:val="002B4F2C"/>
    <w:rsid w:val="002C08D7"/>
    <w:rsid w:val="002F5A4D"/>
    <w:rsid w:val="00302E21"/>
    <w:rsid w:val="00312806"/>
    <w:rsid w:val="0033304A"/>
    <w:rsid w:val="003468CB"/>
    <w:rsid w:val="0035502D"/>
    <w:rsid w:val="00361BD6"/>
    <w:rsid w:val="0039032A"/>
    <w:rsid w:val="0039739C"/>
    <w:rsid w:val="003B0544"/>
    <w:rsid w:val="003B7C2F"/>
    <w:rsid w:val="003C05EA"/>
    <w:rsid w:val="003E3FE9"/>
    <w:rsid w:val="003E5ADC"/>
    <w:rsid w:val="003F0825"/>
    <w:rsid w:val="003F17D3"/>
    <w:rsid w:val="003F7B72"/>
    <w:rsid w:val="0041301B"/>
    <w:rsid w:val="0044695B"/>
    <w:rsid w:val="00483799"/>
    <w:rsid w:val="00496339"/>
    <w:rsid w:val="004A5813"/>
    <w:rsid w:val="004B1232"/>
    <w:rsid w:val="004B3469"/>
    <w:rsid w:val="004B647E"/>
    <w:rsid w:val="004C5238"/>
    <w:rsid w:val="004C5D6F"/>
    <w:rsid w:val="004D76CC"/>
    <w:rsid w:val="004F7375"/>
    <w:rsid w:val="00500B46"/>
    <w:rsid w:val="00502696"/>
    <w:rsid w:val="005073CB"/>
    <w:rsid w:val="00520B06"/>
    <w:rsid w:val="005232A6"/>
    <w:rsid w:val="00531694"/>
    <w:rsid w:val="00542B1D"/>
    <w:rsid w:val="00545839"/>
    <w:rsid w:val="00546368"/>
    <w:rsid w:val="00546414"/>
    <w:rsid w:val="00555889"/>
    <w:rsid w:val="00557134"/>
    <w:rsid w:val="00557512"/>
    <w:rsid w:val="00557544"/>
    <w:rsid w:val="00562B49"/>
    <w:rsid w:val="005652AC"/>
    <w:rsid w:val="00587E58"/>
    <w:rsid w:val="005977DD"/>
    <w:rsid w:val="005B1604"/>
    <w:rsid w:val="005B529F"/>
    <w:rsid w:val="005B5A69"/>
    <w:rsid w:val="005C0054"/>
    <w:rsid w:val="005C13B2"/>
    <w:rsid w:val="005D574E"/>
    <w:rsid w:val="005E76E5"/>
    <w:rsid w:val="005F2912"/>
    <w:rsid w:val="005F5164"/>
    <w:rsid w:val="006066F7"/>
    <w:rsid w:val="00610980"/>
    <w:rsid w:val="00611105"/>
    <w:rsid w:val="00611D06"/>
    <w:rsid w:val="00612B7C"/>
    <w:rsid w:val="00627EC6"/>
    <w:rsid w:val="00635182"/>
    <w:rsid w:val="0064228C"/>
    <w:rsid w:val="006423DA"/>
    <w:rsid w:val="00647344"/>
    <w:rsid w:val="0065104C"/>
    <w:rsid w:val="00667BEB"/>
    <w:rsid w:val="00673848"/>
    <w:rsid w:val="00675370"/>
    <w:rsid w:val="00681E4E"/>
    <w:rsid w:val="00684401"/>
    <w:rsid w:val="00691543"/>
    <w:rsid w:val="006A56C8"/>
    <w:rsid w:val="006B07C2"/>
    <w:rsid w:val="006C5ABD"/>
    <w:rsid w:val="006D237E"/>
    <w:rsid w:val="006F4CB1"/>
    <w:rsid w:val="0070451E"/>
    <w:rsid w:val="00713771"/>
    <w:rsid w:val="00723791"/>
    <w:rsid w:val="007254FF"/>
    <w:rsid w:val="0074426E"/>
    <w:rsid w:val="00755A57"/>
    <w:rsid w:val="00765891"/>
    <w:rsid w:val="0078284E"/>
    <w:rsid w:val="00796C01"/>
    <w:rsid w:val="007A3C21"/>
    <w:rsid w:val="007C0660"/>
    <w:rsid w:val="007C1026"/>
    <w:rsid w:val="007D451A"/>
    <w:rsid w:val="00812E81"/>
    <w:rsid w:val="00822717"/>
    <w:rsid w:val="00824CA6"/>
    <w:rsid w:val="00851E5A"/>
    <w:rsid w:val="00853BE5"/>
    <w:rsid w:val="00860D6A"/>
    <w:rsid w:val="00864FA7"/>
    <w:rsid w:val="008657DA"/>
    <w:rsid w:val="008933D5"/>
    <w:rsid w:val="008A1538"/>
    <w:rsid w:val="008A2ED1"/>
    <w:rsid w:val="008B7B15"/>
    <w:rsid w:val="008C670A"/>
    <w:rsid w:val="008E0101"/>
    <w:rsid w:val="008E08D0"/>
    <w:rsid w:val="008E6958"/>
    <w:rsid w:val="008F2416"/>
    <w:rsid w:val="009107EC"/>
    <w:rsid w:val="009129EA"/>
    <w:rsid w:val="0091417E"/>
    <w:rsid w:val="00917853"/>
    <w:rsid w:val="00976D33"/>
    <w:rsid w:val="00982CF7"/>
    <w:rsid w:val="00991D85"/>
    <w:rsid w:val="00994A3E"/>
    <w:rsid w:val="0099603D"/>
    <w:rsid w:val="009A7777"/>
    <w:rsid w:val="009D0B53"/>
    <w:rsid w:val="009D2BCB"/>
    <w:rsid w:val="009D3ACC"/>
    <w:rsid w:val="009F3E35"/>
    <w:rsid w:val="00A029AE"/>
    <w:rsid w:val="00A02F71"/>
    <w:rsid w:val="00A343FD"/>
    <w:rsid w:val="00A355AE"/>
    <w:rsid w:val="00A4026B"/>
    <w:rsid w:val="00A941FC"/>
    <w:rsid w:val="00A972F1"/>
    <w:rsid w:val="00AA4638"/>
    <w:rsid w:val="00AA7422"/>
    <w:rsid w:val="00AB00F8"/>
    <w:rsid w:val="00AD4C61"/>
    <w:rsid w:val="00AF088F"/>
    <w:rsid w:val="00AF4F5D"/>
    <w:rsid w:val="00AF5658"/>
    <w:rsid w:val="00B0320A"/>
    <w:rsid w:val="00B06853"/>
    <w:rsid w:val="00B072E6"/>
    <w:rsid w:val="00B32081"/>
    <w:rsid w:val="00B37C0E"/>
    <w:rsid w:val="00B447C4"/>
    <w:rsid w:val="00B53CC7"/>
    <w:rsid w:val="00B65E08"/>
    <w:rsid w:val="00B7324C"/>
    <w:rsid w:val="00B766D0"/>
    <w:rsid w:val="00B80893"/>
    <w:rsid w:val="00B87FED"/>
    <w:rsid w:val="00BD33B4"/>
    <w:rsid w:val="00BF008F"/>
    <w:rsid w:val="00C02FFC"/>
    <w:rsid w:val="00C04EE6"/>
    <w:rsid w:val="00C063DD"/>
    <w:rsid w:val="00C06BC3"/>
    <w:rsid w:val="00C06F28"/>
    <w:rsid w:val="00C21B19"/>
    <w:rsid w:val="00C254DA"/>
    <w:rsid w:val="00C26525"/>
    <w:rsid w:val="00C26ED0"/>
    <w:rsid w:val="00C331DB"/>
    <w:rsid w:val="00C33DF8"/>
    <w:rsid w:val="00C52975"/>
    <w:rsid w:val="00C54421"/>
    <w:rsid w:val="00C55092"/>
    <w:rsid w:val="00C6197C"/>
    <w:rsid w:val="00C62C00"/>
    <w:rsid w:val="00C65096"/>
    <w:rsid w:val="00C769C7"/>
    <w:rsid w:val="00C96A53"/>
    <w:rsid w:val="00CA42CE"/>
    <w:rsid w:val="00CA4AD2"/>
    <w:rsid w:val="00CC195B"/>
    <w:rsid w:val="00CD6C58"/>
    <w:rsid w:val="00CE26FD"/>
    <w:rsid w:val="00D0094E"/>
    <w:rsid w:val="00D04466"/>
    <w:rsid w:val="00D04BFA"/>
    <w:rsid w:val="00D05392"/>
    <w:rsid w:val="00D21B34"/>
    <w:rsid w:val="00D454A8"/>
    <w:rsid w:val="00D4627A"/>
    <w:rsid w:val="00D5265A"/>
    <w:rsid w:val="00D76B84"/>
    <w:rsid w:val="00D7716E"/>
    <w:rsid w:val="00D84C2D"/>
    <w:rsid w:val="00D85B24"/>
    <w:rsid w:val="00DA2488"/>
    <w:rsid w:val="00DC14FC"/>
    <w:rsid w:val="00DC4981"/>
    <w:rsid w:val="00DD1F2D"/>
    <w:rsid w:val="00DD58C1"/>
    <w:rsid w:val="00DE278C"/>
    <w:rsid w:val="00DF247A"/>
    <w:rsid w:val="00E17493"/>
    <w:rsid w:val="00E25186"/>
    <w:rsid w:val="00E57873"/>
    <w:rsid w:val="00E608A5"/>
    <w:rsid w:val="00E673C8"/>
    <w:rsid w:val="00E77B19"/>
    <w:rsid w:val="00E925E5"/>
    <w:rsid w:val="00EA6F4B"/>
    <w:rsid w:val="00EB1A5C"/>
    <w:rsid w:val="00EC0FA8"/>
    <w:rsid w:val="00EC746B"/>
    <w:rsid w:val="00EF26B2"/>
    <w:rsid w:val="00EF31DB"/>
    <w:rsid w:val="00F13C07"/>
    <w:rsid w:val="00F203F2"/>
    <w:rsid w:val="00F61986"/>
    <w:rsid w:val="00F62D17"/>
    <w:rsid w:val="00F62DF0"/>
    <w:rsid w:val="00F71A01"/>
    <w:rsid w:val="00F72A2A"/>
    <w:rsid w:val="00F81928"/>
    <w:rsid w:val="00F87EC2"/>
    <w:rsid w:val="00F942D4"/>
    <w:rsid w:val="00FA4B49"/>
    <w:rsid w:val="00FA6E2A"/>
    <w:rsid w:val="00FB3EC9"/>
    <w:rsid w:val="00FD33A0"/>
    <w:rsid w:val="00FF0DA7"/>
    <w:rsid w:val="00FF2A0A"/>
    <w:rsid w:val="00FF582C"/>
    <w:rsid w:val="0D57F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04F8"/>
  <w15:chartTrackingRefBased/>
  <w15:docId w15:val="{08242CA4-28E5-416F-93C4-13917998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192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D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9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1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B72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F7B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hyperlink" Target="https://www.ncbi.nlm.nih.gov/pmc/articles/PMC4296634/" TargetMode="Externa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hyperlink" Target="https://pubmed.ncbi.nlm.nih.gov/21536451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pubmed.ncbi.nlm.nih.gov/31910149/" TargetMode="External" Id="rId11" /><Relationship Type="http://schemas.openxmlformats.org/officeDocument/2006/relationships/image" Target="media/image1.png" Id="rId5" /><Relationship Type="http://schemas.openxmlformats.org/officeDocument/2006/relationships/theme" Target="theme/theme1.xml" Id="rId15" /><Relationship Type="http://schemas.openxmlformats.org/officeDocument/2006/relationships/hyperlink" Target="https://pubmed.ncbi.nlm.nih.gov/19718773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onbiostatistics.blogspot.com/2019/04/hodges-lehmann-estimator-of-location.html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Silva dos Anjos</dc:creator>
  <keywords/>
  <dc:description/>
  <lastModifiedBy>Joel Fernandez de Oliveira</lastModifiedBy>
  <revision>270</revision>
  <dcterms:created xsi:type="dcterms:W3CDTF">2023-11-05T11:13:00.0000000Z</dcterms:created>
  <dcterms:modified xsi:type="dcterms:W3CDTF">2023-11-25T15:34:11.2277146Z</dcterms:modified>
</coreProperties>
</file>