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5FEE" w14:textId="5BC4F757" w:rsidR="00DA6112" w:rsidRPr="001E525D" w:rsidRDefault="00DA6112" w:rsidP="00D23FC4">
      <w:pPr>
        <w:jc w:val="center"/>
        <w:rPr>
          <w:b/>
          <w:sz w:val="32"/>
          <w:lang w:val="en-US"/>
        </w:rPr>
      </w:pPr>
      <w:r w:rsidRPr="00DA6112">
        <w:rPr>
          <w:b/>
          <w:bCs/>
          <w:sz w:val="32"/>
          <w:lang w:val="en-US"/>
        </w:rPr>
        <w:t>E</w:t>
      </w:r>
      <w:r w:rsidRPr="001E525D">
        <w:rPr>
          <w:b/>
          <w:bCs/>
          <w:sz w:val="32"/>
          <w:lang w:val="en-US"/>
        </w:rPr>
        <w:t xml:space="preserve">studo </w:t>
      </w:r>
      <w:proofErr w:type="spellStart"/>
      <w:r w:rsidRPr="001E525D">
        <w:rPr>
          <w:b/>
          <w:bCs/>
          <w:sz w:val="32"/>
          <w:lang w:val="en-US"/>
        </w:rPr>
        <w:t>comparativo</w:t>
      </w:r>
      <w:proofErr w:type="spellEnd"/>
      <w:r w:rsidRPr="001E525D">
        <w:rPr>
          <w:b/>
          <w:bCs/>
          <w:sz w:val="32"/>
          <w:lang w:val="en-US"/>
        </w:rPr>
        <w:t xml:space="preserve"> entre o </w:t>
      </w:r>
      <w:proofErr w:type="spellStart"/>
      <w:r w:rsidRPr="001E525D">
        <w:rPr>
          <w:b/>
          <w:bCs/>
          <w:sz w:val="32"/>
          <w:lang w:val="en-US"/>
        </w:rPr>
        <w:t>corticoide</w:t>
      </w:r>
      <w:proofErr w:type="spellEnd"/>
      <w:r w:rsidRPr="001E525D">
        <w:rPr>
          <w:b/>
          <w:bCs/>
          <w:sz w:val="32"/>
          <w:lang w:val="en-US"/>
        </w:rPr>
        <w:t xml:space="preserve"> intralesional e </w:t>
      </w:r>
      <w:proofErr w:type="spellStart"/>
      <w:r w:rsidRPr="001E525D">
        <w:rPr>
          <w:b/>
          <w:bCs/>
          <w:sz w:val="32"/>
          <w:lang w:val="en-US"/>
        </w:rPr>
        <w:t>corticoide</w:t>
      </w:r>
      <w:proofErr w:type="spellEnd"/>
      <w:r w:rsidRPr="001E525D">
        <w:rPr>
          <w:b/>
          <w:bCs/>
          <w:sz w:val="32"/>
          <w:lang w:val="en-US"/>
        </w:rPr>
        <w:t xml:space="preserve"> via oral na prevenção de estenose de esôfago pós dissecção endoscópica submucosa</w:t>
      </w:r>
    </w:p>
    <w:p w14:paraId="5F567A5B" w14:textId="2E51A231" w:rsidR="00D23FC4" w:rsidRPr="001E525D" w:rsidRDefault="00BD6EAA" w:rsidP="00D23FC4">
      <w:pPr>
        <w:jc w:val="center"/>
        <w:rPr>
          <w:b/>
          <w:sz w:val="32"/>
          <w:lang w:val="en-US"/>
        </w:rPr>
      </w:pPr>
      <w:r w:rsidRPr="001E525D">
        <w:rPr>
          <w:b/>
          <w:sz w:val="32"/>
          <w:lang w:val="en-US"/>
        </w:rPr>
        <w:t xml:space="preserve">Prospective, randomized trial of </w:t>
      </w:r>
      <w:r w:rsidR="00D23FC4" w:rsidRPr="001E525D">
        <w:rPr>
          <w:b/>
          <w:sz w:val="32"/>
          <w:lang w:val="en-US"/>
        </w:rPr>
        <w:t>intralesional steroid injection</w:t>
      </w:r>
      <w:r w:rsidRPr="001E525D">
        <w:rPr>
          <w:b/>
          <w:sz w:val="32"/>
          <w:lang w:val="en-US"/>
        </w:rPr>
        <w:t xml:space="preserve"> versus </w:t>
      </w:r>
      <w:r w:rsidR="00D23FC4" w:rsidRPr="001E525D">
        <w:rPr>
          <w:b/>
          <w:sz w:val="32"/>
          <w:lang w:val="en-US"/>
        </w:rPr>
        <w:t>oral</w:t>
      </w:r>
      <w:r w:rsidRPr="001E525D">
        <w:rPr>
          <w:b/>
          <w:sz w:val="32"/>
          <w:lang w:val="en-US"/>
        </w:rPr>
        <w:t xml:space="preserve"> </w:t>
      </w:r>
      <w:r w:rsidR="00D23FC4" w:rsidRPr="001E525D">
        <w:rPr>
          <w:b/>
          <w:sz w:val="32"/>
          <w:lang w:val="en-US"/>
        </w:rPr>
        <w:t>prednisolone</w:t>
      </w:r>
      <w:r w:rsidRPr="001E525D">
        <w:rPr>
          <w:b/>
          <w:sz w:val="32"/>
          <w:lang w:val="en-US"/>
        </w:rPr>
        <w:t xml:space="preserve"> in </w:t>
      </w:r>
      <w:r w:rsidR="00D23FC4" w:rsidRPr="001E525D">
        <w:rPr>
          <w:b/>
          <w:sz w:val="32"/>
          <w:lang w:val="en-US"/>
        </w:rPr>
        <w:t>prevention of esophageal stricture after endoscopic submucosal dissection</w:t>
      </w:r>
    </w:p>
    <w:p w14:paraId="13A0E72D" w14:textId="77777777" w:rsidR="00111BE3" w:rsidRPr="001E525D" w:rsidRDefault="00BD6EAA" w:rsidP="00D23FC4">
      <w:pPr>
        <w:jc w:val="center"/>
        <w:rPr>
          <w:sz w:val="24"/>
          <w:lang w:val="en-US"/>
        </w:rPr>
      </w:pPr>
      <w:r w:rsidRPr="001E525D">
        <w:rPr>
          <w:sz w:val="24"/>
          <w:lang w:val="en-US"/>
        </w:rPr>
        <w:t xml:space="preserve">Keywords: </w:t>
      </w:r>
      <w:r w:rsidR="000E178F" w:rsidRPr="001E525D">
        <w:rPr>
          <w:sz w:val="24"/>
          <w:lang w:val="en-US"/>
        </w:rPr>
        <w:t>endoscopy submucosal dissection; ESD; esophageal stenosis; esophageal stricture, steroid injection; oral prednisolone</w:t>
      </w:r>
    </w:p>
    <w:p w14:paraId="1ED17554" w14:textId="77777777" w:rsidR="00D37D2A" w:rsidRPr="001E525D" w:rsidRDefault="00D37D2A">
      <w:pPr>
        <w:rPr>
          <w:sz w:val="24"/>
        </w:rPr>
      </w:pPr>
      <w:r w:rsidRPr="001E525D">
        <w:rPr>
          <w:sz w:val="24"/>
        </w:rPr>
        <w:t xml:space="preserve">Palavras-chave: </w:t>
      </w:r>
      <w:r w:rsidR="002625F4" w:rsidRPr="001E525D">
        <w:rPr>
          <w:sz w:val="24"/>
        </w:rPr>
        <w:t>dissecção endoscópica</w:t>
      </w:r>
      <w:r w:rsidR="000E178F" w:rsidRPr="001E525D">
        <w:rPr>
          <w:sz w:val="24"/>
        </w:rPr>
        <w:t xml:space="preserve"> submucosa; E</w:t>
      </w:r>
      <w:r w:rsidR="002625F4" w:rsidRPr="001E525D">
        <w:rPr>
          <w:sz w:val="24"/>
        </w:rPr>
        <w:t>SD</w:t>
      </w:r>
      <w:r w:rsidR="000E178F" w:rsidRPr="001E525D">
        <w:rPr>
          <w:sz w:val="24"/>
        </w:rPr>
        <w:t xml:space="preserve">; estenose de esôfago, injeção corticoide, </w:t>
      </w:r>
      <w:proofErr w:type="spellStart"/>
      <w:r w:rsidR="000E178F" w:rsidRPr="001E525D">
        <w:rPr>
          <w:sz w:val="24"/>
        </w:rPr>
        <w:t>prednisolona</w:t>
      </w:r>
      <w:proofErr w:type="spellEnd"/>
      <w:r w:rsidR="000E178F" w:rsidRPr="001E525D">
        <w:rPr>
          <w:sz w:val="24"/>
        </w:rPr>
        <w:t xml:space="preserve"> oral</w:t>
      </w:r>
    </w:p>
    <w:p w14:paraId="648ED208" w14:textId="55CDE1E3" w:rsidR="00D37D2A" w:rsidRPr="001E525D" w:rsidRDefault="009E47F6">
      <w:pPr>
        <w:rPr>
          <w:sz w:val="24"/>
        </w:rPr>
      </w:pPr>
      <w:r w:rsidRPr="001E525D">
        <w:rPr>
          <w:sz w:val="24"/>
        </w:rPr>
        <w:t>Pesquisador Executante: Joel</w:t>
      </w:r>
      <w:r w:rsidR="00C614CB" w:rsidRPr="001E525D">
        <w:rPr>
          <w:sz w:val="24"/>
        </w:rPr>
        <w:t xml:space="preserve"> Fernandez de Oliveira</w:t>
      </w:r>
    </w:p>
    <w:p w14:paraId="1D2C5607" w14:textId="77777777" w:rsidR="009E47F6" w:rsidRPr="001E525D" w:rsidRDefault="009E47F6">
      <w:pPr>
        <w:rPr>
          <w:sz w:val="24"/>
        </w:rPr>
      </w:pPr>
      <w:r w:rsidRPr="001E525D">
        <w:rPr>
          <w:sz w:val="24"/>
        </w:rPr>
        <w:t>Pesquisador Responsável: Fauze Maluf Filho</w:t>
      </w:r>
    </w:p>
    <w:p w14:paraId="46E3DC08" w14:textId="77777777" w:rsidR="00D438D5" w:rsidRPr="001E525D" w:rsidRDefault="00D438D5">
      <w:pPr>
        <w:rPr>
          <w:sz w:val="24"/>
        </w:rPr>
      </w:pPr>
    </w:p>
    <w:p w14:paraId="43A9B6A8" w14:textId="0DAF1B89" w:rsidR="00D77860" w:rsidRPr="001E525D" w:rsidRDefault="00D37D2A">
      <w:pPr>
        <w:rPr>
          <w:sz w:val="24"/>
          <w:u w:val="single"/>
        </w:rPr>
      </w:pPr>
      <w:r w:rsidRPr="001E525D">
        <w:rPr>
          <w:sz w:val="24"/>
          <w:u w:val="single"/>
        </w:rPr>
        <w:t>Resumo</w:t>
      </w:r>
    </w:p>
    <w:p w14:paraId="11C01497" w14:textId="181F060A" w:rsidR="00D77860" w:rsidRPr="001E525D" w:rsidRDefault="00D77860" w:rsidP="000C7779">
      <w:pPr>
        <w:jc w:val="both"/>
        <w:rPr>
          <w:sz w:val="24"/>
        </w:rPr>
      </w:pPr>
      <w:r w:rsidRPr="001E525D">
        <w:rPr>
          <w:sz w:val="24"/>
        </w:rPr>
        <w:tab/>
      </w:r>
      <w:r w:rsidR="00692E36" w:rsidRPr="001E525D">
        <w:rPr>
          <w:sz w:val="24"/>
        </w:rPr>
        <w:t>A ressecção endoscópica de neoplasias superficiais de esôfago já é uma realidade apresentando importante</w:t>
      </w:r>
      <w:r w:rsidR="00D438D5" w:rsidRPr="001E525D">
        <w:rPr>
          <w:sz w:val="24"/>
        </w:rPr>
        <w:t>s</w:t>
      </w:r>
      <w:r w:rsidR="00692E36" w:rsidRPr="001E525D">
        <w:rPr>
          <w:sz w:val="24"/>
        </w:rPr>
        <w:t xml:space="preserve"> vantagens quando comparada a esofagectomia como menor número de complicações e melhor qualidade de vida. No entanto ressecções extensas podem levar a </w:t>
      </w:r>
      <w:r w:rsidR="00D438D5" w:rsidRPr="001E525D">
        <w:rPr>
          <w:sz w:val="24"/>
        </w:rPr>
        <w:t>estenoses de difícil manejo</w:t>
      </w:r>
      <w:r w:rsidR="00692E36" w:rsidRPr="001E525D">
        <w:rPr>
          <w:sz w:val="24"/>
        </w:rPr>
        <w:t>. Existem diversas terapias disponíveis com o intuito de prevenir essa estenose porém</w:t>
      </w:r>
      <w:r w:rsidR="00D438D5" w:rsidRPr="001E525D">
        <w:rPr>
          <w:sz w:val="24"/>
        </w:rPr>
        <w:t>,</w:t>
      </w:r>
      <w:r w:rsidR="00692E36" w:rsidRPr="001E525D">
        <w:rPr>
          <w:sz w:val="24"/>
        </w:rPr>
        <w:t xml:space="preserve"> até hoje</w:t>
      </w:r>
      <w:r w:rsidR="00D438D5" w:rsidRPr="001E525D">
        <w:rPr>
          <w:sz w:val="24"/>
        </w:rPr>
        <w:t>,</w:t>
      </w:r>
      <w:r w:rsidR="00692E36" w:rsidRPr="001E525D">
        <w:rPr>
          <w:sz w:val="24"/>
        </w:rPr>
        <w:t xml:space="preserve"> não há definição do padrão ouro.</w:t>
      </w:r>
    </w:p>
    <w:p w14:paraId="3E4B30AA" w14:textId="1D6FC93C" w:rsidR="00692E36" w:rsidRPr="001E525D" w:rsidRDefault="00692E36" w:rsidP="000C7779">
      <w:pPr>
        <w:jc w:val="both"/>
        <w:rPr>
          <w:sz w:val="24"/>
        </w:rPr>
      </w:pPr>
      <w:r w:rsidRPr="001E525D">
        <w:rPr>
          <w:sz w:val="24"/>
        </w:rPr>
        <w:tab/>
        <w:t>O objetivo desse estudo consiste em c</w:t>
      </w:r>
      <w:r w:rsidR="00D438D5" w:rsidRPr="001E525D">
        <w:rPr>
          <w:sz w:val="24"/>
        </w:rPr>
        <w:t>omparar a utilização de cortico</w:t>
      </w:r>
      <w:r w:rsidRPr="001E525D">
        <w:rPr>
          <w:sz w:val="24"/>
        </w:rPr>
        <w:t xml:space="preserve">ide injetável no leito ressecado com o corticoide oral </w:t>
      </w:r>
      <w:r w:rsidR="00D438D5" w:rsidRPr="001E525D">
        <w:rPr>
          <w:sz w:val="24"/>
        </w:rPr>
        <w:t>e avaliar</w:t>
      </w:r>
      <w:r w:rsidRPr="001E525D">
        <w:rPr>
          <w:sz w:val="24"/>
        </w:rPr>
        <w:t xml:space="preserve"> a taxa de estenose após a ressecção</w:t>
      </w:r>
      <w:r w:rsidR="00D438D5" w:rsidRPr="001E525D">
        <w:rPr>
          <w:sz w:val="24"/>
        </w:rPr>
        <w:t>, número de dilatações para resolução da estenose e complicações.</w:t>
      </w:r>
    </w:p>
    <w:p w14:paraId="4A634EC0" w14:textId="77777777" w:rsidR="00C03C3D" w:rsidRPr="001E525D" w:rsidRDefault="00C03C3D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Introdução</w:t>
      </w:r>
    </w:p>
    <w:p w14:paraId="5ED0FB5B" w14:textId="12ED6368" w:rsidR="00C35FCE" w:rsidRPr="001E525D" w:rsidRDefault="00C35FCE" w:rsidP="000C7779">
      <w:pPr>
        <w:jc w:val="both"/>
      </w:pPr>
      <w:r w:rsidRPr="001E525D">
        <w:rPr>
          <w:sz w:val="24"/>
        </w:rPr>
        <w:tab/>
      </w:r>
      <w:r w:rsidRPr="001E525D">
        <w:t>Carcinoma de esôfago é o 8</w:t>
      </w:r>
      <w:r w:rsidR="006978F4" w:rsidRPr="001E525D">
        <w:rPr>
          <w:vertAlign w:val="superscript"/>
        </w:rPr>
        <w:t>o</w:t>
      </w:r>
      <w:r w:rsidRPr="001E525D">
        <w:t xml:space="preserve"> </w:t>
      </w:r>
      <w:r w:rsidR="006978F4" w:rsidRPr="001E525D">
        <w:t>tipo de câncer mais comum e a 6</w:t>
      </w:r>
      <w:r w:rsidR="006978F4" w:rsidRPr="001E525D">
        <w:rPr>
          <w:vertAlign w:val="superscript"/>
        </w:rPr>
        <w:t>a</w:t>
      </w:r>
      <w:r w:rsidR="006978F4" w:rsidRPr="001E525D">
        <w:t xml:space="preserve"> causa de</w:t>
      </w:r>
      <w:r w:rsidRPr="001E525D">
        <w:t xml:space="preserve"> mortes relaci</w:t>
      </w:r>
      <w:r w:rsidR="002625F4" w:rsidRPr="001E525D">
        <w:t>onadas ao câncer</w:t>
      </w:r>
      <w:r w:rsidRPr="001E525D">
        <w:t xml:space="preserve"> </w:t>
      </w:r>
      <w:r w:rsidRPr="001E525D">
        <w:rPr>
          <w:vertAlign w:val="superscript"/>
        </w:rPr>
        <w:t>1</w:t>
      </w:r>
      <w:r w:rsidR="006978F4" w:rsidRPr="001E525D">
        <w:t xml:space="preserve">. </w:t>
      </w:r>
      <w:r w:rsidR="009E47F6" w:rsidRPr="001E525D">
        <w:t>Dentre os tipos histológicos</w:t>
      </w:r>
      <w:r w:rsidR="006978F4" w:rsidRPr="001E525D">
        <w:t>, o adenocarcinoma</w:t>
      </w:r>
      <w:r w:rsidRPr="001E525D">
        <w:t xml:space="preserve"> </w:t>
      </w:r>
      <w:r w:rsidR="006978F4" w:rsidRPr="001E525D">
        <w:t xml:space="preserve">é </w:t>
      </w:r>
      <w:r w:rsidRPr="001E525D">
        <w:t xml:space="preserve">o tipo mais comum no </w:t>
      </w:r>
      <w:r w:rsidR="006978F4" w:rsidRPr="001E525D">
        <w:t>ocidente</w:t>
      </w:r>
      <w:r w:rsidRPr="001E525D">
        <w:t xml:space="preserve">, seguido pelo </w:t>
      </w:r>
      <w:r w:rsidR="006978F4" w:rsidRPr="001E525D">
        <w:t xml:space="preserve">carcinoma </w:t>
      </w:r>
      <w:proofErr w:type="spellStart"/>
      <w:r w:rsidR="006978F4" w:rsidRPr="001E525D">
        <w:t>epidermóide</w:t>
      </w:r>
      <w:proofErr w:type="spellEnd"/>
      <w:r w:rsidRPr="001E525D">
        <w:t xml:space="preserve"> </w:t>
      </w:r>
      <w:r w:rsidRPr="001E525D">
        <w:rPr>
          <w:vertAlign w:val="superscript"/>
        </w:rPr>
        <w:t>2</w:t>
      </w:r>
      <w:r w:rsidRPr="001E525D">
        <w:t>.</w:t>
      </w:r>
    </w:p>
    <w:p w14:paraId="1247C993" w14:textId="5E47BCA0" w:rsidR="00C35FCE" w:rsidRPr="001E525D" w:rsidRDefault="006978F4" w:rsidP="000C7779">
      <w:pPr>
        <w:ind w:firstLine="708"/>
        <w:jc w:val="both"/>
      </w:pPr>
      <w:r w:rsidRPr="001E525D">
        <w:t>Segundo as diretrizes Sociedade Japonesa do Esôfago</w:t>
      </w:r>
      <w:r w:rsidR="00C35FCE" w:rsidRPr="001E525D">
        <w:t>,</w:t>
      </w:r>
      <w:r w:rsidRPr="001E525D">
        <w:t xml:space="preserve"> as</w:t>
      </w:r>
      <w:r w:rsidR="00C35FCE" w:rsidRPr="001E525D">
        <w:t xml:space="preserve"> neoplasias intraepiteliais d</w:t>
      </w:r>
      <w:r w:rsidR="002625F4" w:rsidRPr="001E525D">
        <w:t>e alto grau, incluindo o carcinoma</w:t>
      </w:r>
      <w:r w:rsidR="00C35FCE" w:rsidRPr="001E525D">
        <w:t xml:space="preserve"> de</w:t>
      </w:r>
      <w:r w:rsidRPr="001E525D">
        <w:t xml:space="preserve"> células escamosas não invasivo</w:t>
      </w:r>
      <w:r w:rsidR="00C35FCE" w:rsidRPr="001E525D">
        <w:t xml:space="preserve"> (carcinoma in situ, m1) </w:t>
      </w:r>
      <w:r w:rsidRPr="001E525D">
        <w:t>e carcinoma intramucoso invasivo</w:t>
      </w:r>
      <w:r w:rsidR="00064D8F" w:rsidRPr="001E525D">
        <w:t xml:space="preserve"> limitado à</w:t>
      </w:r>
      <w:r w:rsidR="00C35FCE" w:rsidRPr="001E525D">
        <w:t xml:space="preserve"> lâmina pr</w:t>
      </w:r>
      <w:r w:rsidR="00064D8F" w:rsidRPr="001E525D">
        <w:t>ópria (m2) sem invasão</w:t>
      </w:r>
      <w:r w:rsidR="00C35FCE" w:rsidRPr="001E525D">
        <w:t xml:space="preserve"> </w:t>
      </w:r>
      <w:r w:rsidRPr="001E525D">
        <w:t>angiolinfática ou metástases à</w:t>
      </w:r>
      <w:r w:rsidR="00C35FCE" w:rsidRPr="001E525D">
        <w:t xml:space="preserve"> distância, são </w:t>
      </w:r>
      <w:r w:rsidRPr="001E525D">
        <w:t>consideradas indicações</w:t>
      </w:r>
      <w:r w:rsidR="00C35FCE" w:rsidRPr="001E525D">
        <w:t xml:space="preserve"> absoluta</w:t>
      </w:r>
      <w:r w:rsidRPr="001E525D">
        <w:t xml:space="preserve">s de ressecção </w:t>
      </w:r>
      <w:r w:rsidR="00C35FCE" w:rsidRPr="001E525D">
        <w:t>endoscópica, incluindo dissecção endosc</w:t>
      </w:r>
      <w:r w:rsidRPr="001E525D">
        <w:t xml:space="preserve">ópica da submucosa (ESD) </w:t>
      </w:r>
      <w:r w:rsidRPr="001E525D">
        <w:rPr>
          <w:vertAlign w:val="superscript"/>
        </w:rPr>
        <w:t>3</w:t>
      </w:r>
      <w:r w:rsidRPr="001E525D">
        <w:t xml:space="preserve">.  Lesões mais profundas, </w:t>
      </w:r>
      <w:r w:rsidR="001C0643" w:rsidRPr="001E525D">
        <w:t xml:space="preserve">acometendo </w:t>
      </w:r>
      <w:r w:rsidR="009E47F6" w:rsidRPr="001E525D">
        <w:t>a muscular da mucosa (m3) e até</w:t>
      </w:r>
      <w:r w:rsidR="00C35FCE" w:rsidRPr="001E525D">
        <w:t xml:space="preserve"> 200 </w:t>
      </w:r>
      <w:proofErr w:type="spellStart"/>
      <w:r w:rsidRPr="001E525D">
        <w:rPr>
          <w:color w:val="000000"/>
          <w:shd w:val="clear" w:color="auto" w:fill="FFFFFF"/>
        </w:rPr>
        <w:t>μ</w:t>
      </w:r>
      <w:r w:rsidR="001C0643" w:rsidRPr="001E525D">
        <w:t>m</w:t>
      </w:r>
      <w:proofErr w:type="spellEnd"/>
      <w:r w:rsidR="001C0643" w:rsidRPr="001E525D">
        <w:t xml:space="preserve"> d</w:t>
      </w:r>
      <w:r w:rsidR="00064D8F" w:rsidRPr="001E525D">
        <w:t xml:space="preserve">a submucosa </w:t>
      </w:r>
      <w:r w:rsidR="009E47F6" w:rsidRPr="001E525D">
        <w:t>(</w:t>
      </w:r>
      <w:r w:rsidR="00064D8F" w:rsidRPr="001E525D">
        <w:t>sm</w:t>
      </w:r>
      <w:r w:rsidR="00C35FCE" w:rsidRPr="001E525D">
        <w:t>1)</w:t>
      </w:r>
      <w:r w:rsidRPr="001E525D">
        <w:t>,</w:t>
      </w:r>
      <w:r w:rsidR="00C35FCE" w:rsidRPr="001E525D">
        <w:t xml:space="preserve"> são </w:t>
      </w:r>
      <w:r w:rsidRPr="001E525D">
        <w:t>consideradas indicações</w:t>
      </w:r>
      <w:r w:rsidR="00C35FCE" w:rsidRPr="001E525D">
        <w:t xml:space="preserve"> </w:t>
      </w:r>
      <w:r w:rsidR="009E47F6" w:rsidRPr="001E525D">
        <w:t>expandidas</w:t>
      </w:r>
      <w:r w:rsidRPr="001E525D">
        <w:t>, pois apr</w:t>
      </w:r>
      <w:r w:rsidR="00485E89" w:rsidRPr="001E525D">
        <w:t>esentam uma proba</w:t>
      </w:r>
      <w:r w:rsidR="001C0643" w:rsidRPr="001E525D">
        <w:t>bi</w:t>
      </w:r>
      <w:r w:rsidR="00485E89" w:rsidRPr="001E525D">
        <w:t>lidade de metá</w:t>
      </w:r>
      <w:r w:rsidRPr="001E525D">
        <w:t>stase linfonodal entre</w:t>
      </w:r>
      <w:r w:rsidR="00064D8F" w:rsidRPr="001E525D">
        <w:t xml:space="preserve"> 10% a </w:t>
      </w:r>
      <w:r w:rsidR="00C35FCE" w:rsidRPr="001E525D">
        <w:t xml:space="preserve">15% </w:t>
      </w:r>
      <w:r w:rsidR="00C35FCE" w:rsidRPr="001E525D">
        <w:rPr>
          <w:vertAlign w:val="superscript"/>
        </w:rPr>
        <w:t>4, 5</w:t>
      </w:r>
      <w:r w:rsidR="00C35FCE" w:rsidRPr="001E525D">
        <w:t>.</w:t>
      </w:r>
    </w:p>
    <w:p w14:paraId="670CB503" w14:textId="5F9DD5D9" w:rsidR="00C35FCE" w:rsidRPr="001E525D" w:rsidRDefault="009E47F6" w:rsidP="000C7779">
      <w:pPr>
        <w:ind w:firstLine="708"/>
        <w:jc w:val="both"/>
      </w:pPr>
      <w:r w:rsidRPr="001E525D">
        <w:lastRenderedPageBreak/>
        <w:t>A r</w:t>
      </w:r>
      <w:r w:rsidR="00C35FCE" w:rsidRPr="001E525D">
        <w:t>essecção endoscópica de neoplasi</w:t>
      </w:r>
      <w:r w:rsidR="001C0643" w:rsidRPr="001E525D">
        <w:t xml:space="preserve">as esofágicas superficiais é amplamente utilizada </w:t>
      </w:r>
      <w:r w:rsidR="00C35FCE" w:rsidRPr="001E525D">
        <w:t xml:space="preserve">como alternativa à </w:t>
      </w:r>
      <w:r w:rsidRPr="001E525D">
        <w:t xml:space="preserve">esofagectomia, </w:t>
      </w:r>
      <w:r w:rsidR="001C0643" w:rsidRPr="001E525D">
        <w:t>pois é menos invasiva</w:t>
      </w:r>
      <w:r w:rsidRPr="001E525D">
        <w:t>,</w:t>
      </w:r>
      <w:r w:rsidR="001C0643" w:rsidRPr="001E525D">
        <w:t xml:space="preserve"> além de apresentar bons resultados clínicos</w:t>
      </w:r>
      <w:r w:rsidR="00C35FCE" w:rsidRPr="001E525D">
        <w:t xml:space="preserve"> </w:t>
      </w:r>
      <w:r w:rsidR="00C35FCE" w:rsidRPr="001E525D">
        <w:rPr>
          <w:vertAlign w:val="superscript"/>
        </w:rPr>
        <w:t>6, 7</w:t>
      </w:r>
      <w:r w:rsidR="00C35FCE" w:rsidRPr="001E525D">
        <w:t>.</w:t>
      </w:r>
      <w:r w:rsidR="001C0643" w:rsidRPr="001E525D">
        <w:t xml:space="preserve"> Em comparação com</w:t>
      </w:r>
      <w:r w:rsidRPr="001E525D">
        <w:t xml:space="preserve"> a</w:t>
      </w:r>
      <w:r w:rsidR="001C0643" w:rsidRPr="001E525D">
        <w:t xml:space="preserve"> esofagectomia</w:t>
      </w:r>
      <w:r w:rsidR="00C35FCE" w:rsidRPr="001E525D">
        <w:t xml:space="preserve">, </w:t>
      </w:r>
      <w:r w:rsidR="001C0643" w:rsidRPr="001E525D">
        <w:t xml:space="preserve">os pacientes submetidos </w:t>
      </w:r>
      <w:r w:rsidRPr="001E525D">
        <w:t xml:space="preserve">à </w:t>
      </w:r>
      <w:r w:rsidR="00C35FCE" w:rsidRPr="001E525D">
        <w:t xml:space="preserve">ressecção endoscópica </w:t>
      </w:r>
      <w:r w:rsidR="001C0643" w:rsidRPr="001E525D">
        <w:t>apresentam menor tempo</w:t>
      </w:r>
      <w:r w:rsidR="00C35FCE" w:rsidRPr="001E525D">
        <w:t xml:space="preserve"> de internação, </w:t>
      </w:r>
      <w:r w:rsidR="001C0643" w:rsidRPr="001E525D">
        <w:t>menor</w:t>
      </w:r>
      <w:r w:rsidR="00C35FCE" w:rsidRPr="001E525D">
        <w:t xml:space="preserve"> incid</w:t>
      </w:r>
      <w:r w:rsidR="001C0643" w:rsidRPr="001E525D">
        <w:t>ência de complicações e melhor</w:t>
      </w:r>
      <w:r w:rsidR="00C35FCE" w:rsidRPr="001E525D">
        <w:t xml:space="preserve"> qualidade de vida </w:t>
      </w:r>
      <w:r w:rsidRPr="001E525D">
        <w:t>em longo prazo</w:t>
      </w:r>
      <w:r w:rsidR="00C35FCE" w:rsidRPr="001E525D">
        <w:t xml:space="preserve"> </w:t>
      </w:r>
      <w:r w:rsidR="00C35FCE" w:rsidRPr="001E525D">
        <w:rPr>
          <w:vertAlign w:val="superscript"/>
        </w:rPr>
        <w:t>8, 9</w:t>
      </w:r>
      <w:r w:rsidR="00C35FCE" w:rsidRPr="001E525D">
        <w:t>.</w:t>
      </w:r>
      <w:r w:rsidR="00763E43" w:rsidRPr="001E525D">
        <w:t xml:space="preserve"> A taxa média de eventos adversos do ESD </w:t>
      </w:r>
      <w:r w:rsidR="00510280" w:rsidRPr="001E525D">
        <w:t xml:space="preserve">esofágico </w:t>
      </w:r>
      <w:r w:rsidR="00763E43" w:rsidRPr="001E525D">
        <w:t>é de 12,6%, incluindo sangramento (1,5%), perfuração (4,6%) e estenose (6,5%)</w:t>
      </w:r>
      <w:r w:rsidR="00763E43" w:rsidRPr="001E525D">
        <w:rPr>
          <w:vertAlign w:val="superscript"/>
        </w:rPr>
        <w:t>24</w:t>
      </w:r>
      <w:r w:rsidR="00763E43" w:rsidRPr="001E525D">
        <w:t>.</w:t>
      </w:r>
    </w:p>
    <w:p w14:paraId="6D891F29" w14:textId="5B6A9B22" w:rsidR="00077E08" w:rsidRPr="001E525D" w:rsidRDefault="00C35FCE" w:rsidP="000C7779">
      <w:pPr>
        <w:ind w:firstLine="708"/>
        <w:jc w:val="both"/>
      </w:pPr>
      <w:r w:rsidRPr="001E525D">
        <w:t xml:space="preserve">No entanto, </w:t>
      </w:r>
      <w:r w:rsidR="00077E08" w:rsidRPr="001E525D">
        <w:t>a reparação de úlcera</w:t>
      </w:r>
      <w:r w:rsidR="009E47F6" w:rsidRPr="001E525D">
        <w:t xml:space="preserve"> esofágica</w:t>
      </w:r>
      <w:r w:rsidR="00077E08" w:rsidRPr="001E525D">
        <w:t>, provocada pela ressecção endoscópica, que ocupa três quartos</w:t>
      </w:r>
      <w:r w:rsidRPr="001E525D">
        <w:t xml:space="preserve"> ou m</w:t>
      </w:r>
      <w:r w:rsidR="00077E08" w:rsidRPr="001E525D">
        <w:t>ais da circunferência do órgão</w:t>
      </w:r>
      <w:r w:rsidR="009E47F6" w:rsidRPr="001E525D">
        <w:t>,</w:t>
      </w:r>
      <w:r w:rsidRPr="001E525D">
        <w:t xml:space="preserve"> pode resultar na formação de estenose</w:t>
      </w:r>
      <w:r w:rsidRPr="001E525D">
        <w:rPr>
          <w:vertAlign w:val="superscript"/>
        </w:rPr>
        <w:t>10</w:t>
      </w:r>
      <w:r w:rsidR="00064D8F" w:rsidRPr="001E525D">
        <w:t>. Desse modo</w:t>
      </w:r>
      <w:r w:rsidRPr="001E525D">
        <w:t xml:space="preserve">, a taxa de estenose esofágica </w:t>
      </w:r>
      <w:r w:rsidR="009E47F6" w:rsidRPr="001E525D">
        <w:t xml:space="preserve">após </w:t>
      </w:r>
      <w:r w:rsidR="00077E08" w:rsidRPr="001E525D">
        <w:t>ESD extens</w:t>
      </w:r>
      <w:r w:rsidR="009E47F6" w:rsidRPr="001E525D">
        <w:t>a</w:t>
      </w:r>
      <w:r w:rsidR="00077E08" w:rsidRPr="001E525D">
        <w:t xml:space="preserve"> pode </w:t>
      </w:r>
      <w:r w:rsidR="009E47F6" w:rsidRPr="001E525D">
        <w:t>chegar a</w:t>
      </w:r>
      <w:r w:rsidR="00077E08" w:rsidRPr="001E525D">
        <w:t xml:space="preserve"> 88% a 100%</w:t>
      </w:r>
      <w:r w:rsidRPr="001E525D">
        <w:t xml:space="preserve"> </w:t>
      </w:r>
      <w:r w:rsidR="00077E08" w:rsidRPr="001E525D">
        <w:rPr>
          <w:vertAlign w:val="superscript"/>
        </w:rPr>
        <w:t>11, 12, 13, 14</w:t>
      </w:r>
      <w:r w:rsidR="00077E08" w:rsidRPr="001E525D">
        <w:t>.</w:t>
      </w:r>
      <w:r w:rsidR="009915E4" w:rsidRPr="001E525D">
        <w:t xml:space="preserve"> Sabe-se também que uma vez desenvolvida a estenose</w:t>
      </w:r>
      <w:r w:rsidR="009E47F6" w:rsidRPr="001E525D">
        <w:t>,</w:t>
      </w:r>
      <w:r w:rsidR="009915E4" w:rsidRPr="001E525D">
        <w:t xml:space="preserve"> sua resolução </w:t>
      </w:r>
      <w:r w:rsidR="009E47F6" w:rsidRPr="001E525D">
        <w:t>envolve tratamento dilatador intensivo</w:t>
      </w:r>
      <w:r w:rsidR="007367D2" w:rsidRPr="001E525D">
        <w:rPr>
          <w:vertAlign w:val="superscript"/>
        </w:rPr>
        <w:t>15</w:t>
      </w:r>
      <w:r w:rsidR="009915E4" w:rsidRPr="001E525D">
        <w:t>.</w:t>
      </w:r>
    </w:p>
    <w:p w14:paraId="407D5763" w14:textId="2DF623FD" w:rsidR="00813D50" w:rsidRPr="001E525D" w:rsidRDefault="00813D50" w:rsidP="000C7779">
      <w:pPr>
        <w:ind w:firstLine="708"/>
        <w:jc w:val="both"/>
      </w:pPr>
      <w:r w:rsidRPr="001E525D">
        <w:t>No passado</w:t>
      </w:r>
      <w:r w:rsidR="009E47F6" w:rsidRPr="001E525D">
        <w:t>,</w:t>
      </w:r>
      <w:r w:rsidRPr="001E525D">
        <w:t xml:space="preserve"> não havia consenso sobre o uso de terapias preventivas para estenose de esôfago </w:t>
      </w:r>
      <w:r w:rsidR="009E47F6" w:rsidRPr="001E525D">
        <w:t>a</w:t>
      </w:r>
      <w:r w:rsidRPr="001E525D">
        <w:t>pós ESD ext</w:t>
      </w:r>
      <w:r w:rsidR="009E47F6" w:rsidRPr="001E525D">
        <w:t>ensa.</w:t>
      </w:r>
      <w:r w:rsidR="009915E4" w:rsidRPr="001E525D">
        <w:t xml:space="preserve"> </w:t>
      </w:r>
      <w:r w:rsidR="009E47F6" w:rsidRPr="001E525D">
        <w:t>No</w:t>
      </w:r>
      <w:r w:rsidR="009915E4" w:rsidRPr="001E525D">
        <w:t xml:space="preserve"> entanto</w:t>
      </w:r>
      <w:r w:rsidR="009E47F6" w:rsidRPr="001E525D">
        <w:t>,</w:t>
      </w:r>
      <w:r w:rsidR="009915E4" w:rsidRPr="001E525D">
        <w:t xml:space="preserve"> recentemente</w:t>
      </w:r>
      <w:r w:rsidR="009E47F6" w:rsidRPr="001E525D">
        <w:t>,</w:t>
      </w:r>
      <w:r w:rsidR="009915E4" w:rsidRPr="001E525D">
        <w:t xml:space="preserve"> Oliveira</w:t>
      </w:r>
      <w:r w:rsidR="00064D8F" w:rsidRPr="001E525D">
        <w:t xml:space="preserve"> et al</w:t>
      </w:r>
      <w:r w:rsidR="002625F4" w:rsidRPr="001E525D">
        <w:t xml:space="preserve"> </w:t>
      </w:r>
      <w:r w:rsidR="009915E4" w:rsidRPr="001E525D">
        <w:rPr>
          <w:vertAlign w:val="superscript"/>
        </w:rPr>
        <w:t>16</w:t>
      </w:r>
      <w:r w:rsidR="009E47F6" w:rsidRPr="001E525D">
        <w:t xml:space="preserve"> </w:t>
      </w:r>
      <w:r w:rsidR="009915E4" w:rsidRPr="001E525D">
        <w:t>demonstr</w:t>
      </w:r>
      <w:r w:rsidR="009E47F6" w:rsidRPr="001E525D">
        <w:t>aram,</w:t>
      </w:r>
      <w:r w:rsidR="009915E4" w:rsidRPr="001E525D">
        <w:t xml:space="preserve"> </w:t>
      </w:r>
      <w:r w:rsidR="009E47F6" w:rsidRPr="001E525D">
        <w:t>através de</w:t>
      </w:r>
      <w:r w:rsidR="009915E4" w:rsidRPr="001E525D">
        <w:t xml:space="preserve"> revisão sistemática e meta</w:t>
      </w:r>
      <w:r w:rsidR="00064D8F" w:rsidRPr="001E525D">
        <w:t>-</w:t>
      </w:r>
      <w:r w:rsidR="009915E4" w:rsidRPr="001E525D">
        <w:t>análise, que o uso dessas terapias d</w:t>
      </w:r>
      <w:r w:rsidR="00C17315" w:rsidRPr="001E525D">
        <w:t>iminui a taxa de estenose (4</w:t>
      </w:r>
      <w:r w:rsidR="009E47F6" w:rsidRPr="001E525D">
        <w:t>0</w:t>
      </w:r>
      <w:r w:rsidR="00C17315" w:rsidRPr="001E525D">
        <w:t>%</w:t>
      </w:r>
      <w:r w:rsidR="009E47F6" w:rsidRPr="001E525D">
        <w:t xml:space="preserve"> em média</w:t>
      </w:r>
      <w:r w:rsidR="00C17315" w:rsidRPr="001E525D">
        <w:t xml:space="preserve">), diminuiu o número de dilatações para resolução da estenose (8 </w:t>
      </w:r>
      <w:r w:rsidR="00064D8F" w:rsidRPr="001E525D">
        <w:t>sessões à menos),</w:t>
      </w:r>
      <w:r w:rsidR="00C17315" w:rsidRPr="001E525D">
        <w:t xml:space="preserve"> sem alterar o número de complicações.</w:t>
      </w:r>
    </w:p>
    <w:p w14:paraId="238E5598" w14:textId="7007DBBF" w:rsidR="00DA052F" w:rsidRPr="001E525D" w:rsidRDefault="00DA052F" w:rsidP="000C7779">
      <w:pPr>
        <w:ind w:firstLine="708"/>
        <w:jc w:val="both"/>
      </w:pPr>
      <w:r w:rsidRPr="001E525D">
        <w:t>Teoricamente, os cortic</w:t>
      </w:r>
      <w:r w:rsidR="00E03EED" w:rsidRPr="001E525D">
        <w:t>o</w:t>
      </w:r>
      <w:r w:rsidRPr="001E525D">
        <w:t>ides</w:t>
      </w:r>
      <w:r w:rsidR="002625F4" w:rsidRPr="001E525D">
        <w:t xml:space="preserve"> são a escolha mais adequada </w:t>
      </w:r>
      <w:r w:rsidRPr="001E525D">
        <w:t>devido ao seu mecanismo de ação, modulando a cicatrização de feridas através da prevenção da inflamação</w:t>
      </w:r>
      <w:r w:rsidR="002625F4" w:rsidRPr="001E525D">
        <w:t>,</w:t>
      </w:r>
      <w:r w:rsidRPr="001E525D">
        <w:t xml:space="preserve"> por redução da </w:t>
      </w:r>
      <w:proofErr w:type="spellStart"/>
      <w:r w:rsidRPr="001E525D">
        <w:t>prolil</w:t>
      </w:r>
      <w:proofErr w:type="spellEnd"/>
      <w:r w:rsidRPr="001E525D">
        <w:t xml:space="preserve"> </w:t>
      </w:r>
      <w:proofErr w:type="spellStart"/>
      <w:r w:rsidRPr="001E525D">
        <w:t>hidroxilase</w:t>
      </w:r>
      <w:proofErr w:type="spellEnd"/>
      <w:r w:rsidRPr="001E525D">
        <w:t>, o que ajuda a reduzir a produção de col</w:t>
      </w:r>
      <w:r w:rsidR="0018084F" w:rsidRPr="001E525D">
        <w:t>á</w:t>
      </w:r>
      <w:r w:rsidRPr="001E525D">
        <w:t>g</w:t>
      </w:r>
      <w:r w:rsidR="0018084F" w:rsidRPr="001E525D">
        <w:t>e</w:t>
      </w:r>
      <w:r w:rsidRPr="001E525D">
        <w:t xml:space="preserve">no </w:t>
      </w:r>
      <w:r w:rsidRPr="001E525D">
        <w:rPr>
          <w:vertAlign w:val="superscript"/>
        </w:rPr>
        <w:t>1</w:t>
      </w:r>
      <w:r w:rsidR="002625F4" w:rsidRPr="001E525D">
        <w:rPr>
          <w:vertAlign w:val="superscript"/>
        </w:rPr>
        <w:t>7</w:t>
      </w:r>
      <w:r w:rsidRPr="001E525D">
        <w:rPr>
          <w:vertAlign w:val="superscript"/>
        </w:rPr>
        <w:t>,</w:t>
      </w:r>
      <w:r w:rsidR="002625F4" w:rsidRPr="001E525D">
        <w:rPr>
          <w:vertAlign w:val="superscript"/>
        </w:rPr>
        <w:t>18</w:t>
      </w:r>
      <w:r w:rsidRPr="001E525D">
        <w:rPr>
          <w:vertAlign w:val="superscript"/>
        </w:rPr>
        <w:t>,</w:t>
      </w:r>
      <w:r w:rsidR="002625F4" w:rsidRPr="001E525D">
        <w:rPr>
          <w:vertAlign w:val="superscript"/>
        </w:rPr>
        <w:t>19</w:t>
      </w:r>
      <w:r w:rsidRPr="001E525D">
        <w:rPr>
          <w:vertAlign w:val="superscript"/>
        </w:rPr>
        <w:t>,</w:t>
      </w:r>
      <w:r w:rsidR="002625F4" w:rsidRPr="001E525D">
        <w:rPr>
          <w:vertAlign w:val="superscript"/>
        </w:rPr>
        <w:t>20</w:t>
      </w:r>
      <w:r w:rsidRPr="001E525D">
        <w:t>.</w:t>
      </w:r>
    </w:p>
    <w:p w14:paraId="26767FE3" w14:textId="706FF584" w:rsidR="00DA052F" w:rsidRPr="001E525D" w:rsidRDefault="00DA052F" w:rsidP="000C7779">
      <w:pPr>
        <w:ind w:firstLine="708"/>
        <w:jc w:val="both"/>
      </w:pPr>
      <w:r w:rsidRPr="001E525D">
        <w:t>Entretanto, o tratamento com cortico</w:t>
      </w:r>
      <w:r w:rsidR="00E03EED" w:rsidRPr="001E525D">
        <w:t>ide</w:t>
      </w:r>
      <w:r w:rsidRPr="001E525D">
        <w:t xml:space="preserve">, especialmente em altas doses via oral, pode causar diversos efeitos adversos, como imunossupressão, diabetes, desordens psiquiátricas, osteoporose, lesão óptica e úlcera péptica </w:t>
      </w:r>
      <w:r w:rsidRPr="001E525D">
        <w:rPr>
          <w:vertAlign w:val="superscript"/>
        </w:rPr>
        <w:t>1</w:t>
      </w:r>
      <w:r w:rsidR="002625F4" w:rsidRPr="001E525D">
        <w:rPr>
          <w:vertAlign w:val="superscript"/>
        </w:rPr>
        <w:t>7</w:t>
      </w:r>
      <w:r w:rsidRPr="001E525D">
        <w:t xml:space="preserve">. Assim, a utilização </w:t>
      </w:r>
      <w:r w:rsidR="009E47F6" w:rsidRPr="001E525D">
        <w:t>da</w:t>
      </w:r>
      <w:r w:rsidRPr="001E525D">
        <w:t xml:space="preserve"> injeção local </w:t>
      </w:r>
      <w:r w:rsidR="0018084F" w:rsidRPr="001E525D">
        <w:t>de co</w:t>
      </w:r>
      <w:r w:rsidR="00A73243" w:rsidRPr="001E525D">
        <w:t>rticoide</w:t>
      </w:r>
      <w:r w:rsidR="0018084F" w:rsidRPr="001E525D">
        <w:t xml:space="preserve"> </w:t>
      </w:r>
      <w:r w:rsidRPr="001E525D">
        <w:t>poderia minimizar estes efeitos secundários</w:t>
      </w:r>
      <w:r w:rsidR="0018084F" w:rsidRPr="001E525D">
        <w:t>. Contudo, a injeção local implica em riscos de sangramento e perfuração</w:t>
      </w:r>
      <w:r w:rsidR="0018084F" w:rsidRPr="001E525D">
        <w:rPr>
          <w:vertAlign w:val="superscript"/>
        </w:rPr>
        <w:t>21</w:t>
      </w:r>
      <w:r w:rsidR="0018084F" w:rsidRPr="001E525D">
        <w:t xml:space="preserve">, além de ser de uso limitado em </w:t>
      </w:r>
      <w:r w:rsidRPr="001E525D">
        <w:t>pacientes em terapia anticoagulante ou antiplaquetária</w:t>
      </w:r>
      <w:r w:rsidR="007367D2" w:rsidRPr="001E525D">
        <w:t>.</w:t>
      </w:r>
    </w:p>
    <w:p w14:paraId="2B14EEE0" w14:textId="77777777" w:rsidR="00C03C3D" w:rsidRPr="001E525D" w:rsidRDefault="00C03C3D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Objetivo</w:t>
      </w:r>
    </w:p>
    <w:p w14:paraId="5D1CBED2" w14:textId="0C37657A" w:rsidR="00C03C3D" w:rsidRPr="001E525D" w:rsidRDefault="00860B9D" w:rsidP="000C7779">
      <w:pPr>
        <w:ind w:firstLine="708"/>
        <w:jc w:val="both"/>
        <w:rPr>
          <w:rFonts w:cstheme="minorHAnsi"/>
          <w:sz w:val="20"/>
          <w:u w:val="single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O objetivo deste estudo é 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>comparar a injeção local de corticoide</w:t>
      </w:r>
      <w:r w:rsidR="00B25712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e 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a utilização de </w:t>
      </w:r>
      <w:r w:rsidR="009C3B68" w:rsidRPr="001E525D">
        <w:rPr>
          <w:rStyle w:val="FontStyle11"/>
          <w:rFonts w:asciiTheme="minorHAnsi" w:hAnsiTheme="minorHAnsi" w:cstheme="minorHAnsi"/>
          <w:sz w:val="22"/>
          <w:szCs w:val="28"/>
        </w:rPr>
        <w:t>corticoide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oral para prevenção da estenose pós ressecção endoscópica submucosa extensa </w:t>
      </w:r>
      <w:r w:rsidR="00B25712" w:rsidRPr="001E525D">
        <w:rPr>
          <w:rStyle w:val="FontStyle11"/>
          <w:rFonts w:asciiTheme="minorHAnsi" w:hAnsiTheme="minorHAnsi" w:cstheme="minorHAnsi"/>
          <w:sz w:val="22"/>
          <w:szCs w:val="28"/>
        </w:rPr>
        <w:t>do carcinoma superficial do esôfago</w:t>
      </w:r>
      <w:r w:rsidR="00064D8F" w:rsidRPr="001E525D">
        <w:rPr>
          <w:rStyle w:val="FontStyle11"/>
          <w:rFonts w:asciiTheme="minorHAnsi" w:hAnsiTheme="minorHAnsi" w:cstheme="minorHAnsi"/>
          <w:sz w:val="22"/>
          <w:szCs w:val="28"/>
        </w:rPr>
        <w:t>,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com relação a taxa de estenose, número de dilatações necessárias para resolução da estenose e </w:t>
      </w:r>
      <w:r w:rsidR="00B25712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frequência </w:t>
      </w:r>
      <w:r w:rsidR="00B848F4" w:rsidRPr="001E525D">
        <w:rPr>
          <w:rStyle w:val="FontStyle11"/>
          <w:rFonts w:asciiTheme="minorHAnsi" w:hAnsiTheme="minorHAnsi" w:cstheme="minorHAnsi"/>
          <w:sz w:val="22"/>
          <w:szCs w:val="28"/>
        </w:rPr>
        <w:t>de complicações</w:t>
      </w:r>
      <w:r w:rsidR="009C3B68" w:rsidRPr="001E525D">
        <w:rPr>
          <w:rStyle w:val="FontStyle11"/>
          <w:rFonts w:asciiTheme="minorHAnsi" w:hAnsiTheme="minorHAnsi" w:cstheme="minorHAnsi"/>
          <w:sz w:val="22"/>
          <w:szCs w:val="28"/>
        </w:rPr>
        <w:t>.</w:t>
      </w:r>
    </w:p>
    <w:p w14:paraId="0184E2DF" w14:textId="77777777" w:rsidR="00C03C3D" w:rsidRPr="001E525D" w:rsidRDefault="00C03C3D" w:rsidP="000C7779">
      <w:pPr>
        <w:jc w:val="both"/>
        <w:rPr>
          <w:sz w:val="24"/>
          <w:u w:val="single"/>
        </w:rPr>
      </w:pPr>
    </w:p>
    <w:p w14:paraId="620046B9" w14:textId="77777777" w:rsidR="00C03C3D" w:rsidRPr="001E525D" w:rsidRDefault="00C03C3D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Métodos</w:t>
      </w:r>
    </w:p>
    <w:p w14:paraId="3FA60C83" w14:textId="78D221DA" w:rsidR="00625341" w:rsidRPr="001E525D" w:rsidRDefault="0074281D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Trata-se de </w:t>
      </w:r>
      <w:r w:rsidR="003D752E" w:rsidRPr="001E525D">
        <w:rPr>
          <w:rStyle w:val="FontStyle11"/>
          <w:rFonts w:asciiTheme="minorHAnsi" w:hAnsiTheme="minorHAnsi" w:cstheme="minorHAnsi"/>
          <w:sz w:val="22"/>
          <w:szCs w:val="28"/>
        </w:rPr>
        <w:t>e</w:t>
      </w: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>studo prospectivo, r</w:t>
      </w:r>
      <w:r w:rsidR="00776CFD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andomizado, </w:t>
      </w:r>
      <w:r w:rsidR="003D752E" w:rsidRPr="001E525D">
        <w:rPr>
          <w:rStyle w:val="FontStyle11"/>
          <w:rFonts w:asciiTheme="minorHAnsi" w:hAnsiTheme="minorHAnsi" w:cstheme="minorHAnsi"/>
          <w:sz w:val="22"/>
          <w:szCs w:val="28"/>
        </w:rPr>
        <w:t>desenvolvido e</w:t>
      </w:r>
      <w:r w:rsidR="00776CFD" w:rsidRPr="001E525D">
        <w:rPr>
          <w:rStyle w:val="FontStyle11"/>
          <w:rFonts w:asciiTheme="minorHAnsi" w:hAnsiTheme="minorHAnsi" w:cstheme="minorHAnsi"/>
          <w:sz w:val="22"/>
          <w:szCs w:val="28"/>
        </w:rPr>
        <w:t>m centro único,</w:t>
      </w:r>
      <w:r w:rsidR="003D752E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em</w:t>
      </w: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pacientes </w:t>
      </w:r>
      <w:r w:rsidR="00625341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com diagnóstico de neoplasia superficial de esôfago submetidos </w:t>
      </w:r>
      <w:r w:rsidR="004503CB" w:rsidRPr="001E525D">
        <w:rPr>
          <w:rStyle w:val="FontStyle11"/>
          <w:rFonts w:asciiTheme="minorHAnsi" w:hAnsiTheme="minorHAnsi" w:cstheme="minorHAnsi"/>
          <w:sz w:val="22"/>
          <w:szCs w:val="28"/>
        </w:rPr>
        <w:t>à</w:t>
      </w:r>
      <w:r w:rsidR="00625341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ressecção endoscópica submucosa </w:t>
      </w:r>
      <w:r w:rsidR="004503CB" w:rsidRPr="001E525D">
        <w:rPr>
          <w:rStyle w:val="FontStyle11"/>
          <w:rFonts w:asciiTheme="minorHAnsi" w:hAnsiTheme="minorHAnsi" w:cstheme="minorHAnsi"/>
          <w:sz w:val="22"/>
          <w:szCs w:val="28"/>
        </w:rPr>
        <w:t>numa extensão maior ou igual a 3/4 da circunferência do órgão</w:t>
      </w:r>
      <w:r w:rsidR="00625341" w:rsidRPr="001E525D">
        <w:rPr>
          <w:rStyle w:val="FontStyle11"/>
          <w:rFonts w:asciiTheme="minorHAnsi" w:hAnsiTheme="minorHAnsi" w:cstheme="minorHAnsi"/>
          <w:sz w:val="22"/>
          <w:szCs w:val="28"/>
        </w:rPr>
        <w:t>.</w:t>
      </w:r>
      <w:r w:rsidR="00B25712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O estudo será registrado na plataforma clinicaltrials.gov</w:t>
      </w:r>
      <w:r w:rsidR="00E03EED" w:rsidRPr="001E525D">
        <w:rPr>
          <w:rStyle w:val="FontStyle11"/>
          <w:rFonts w:asciiTheme="minorHAnsi" w:hAnsiTheme="minorHAnsi" w:cstheme="minorHAnsi"/>
          <w:sz w:val="22"/>
          <w:szCs w:val="28"/>
        </w:rPr>
        <w:t>.</w:t>
      </w:r>
    </w:p>
    <w:p w14:paraId="603AD2B5" w14:textId="5DB35E81" w:rsidR="00154CF3" w:rsidRPr="001E525D" w:rsidRDefault="00625341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 </w:t>
      </w:r>
      <w:r w:rsidR="00154CF3" w:rsidRPr="001E525D">
        <w:t xml:space="preserve">Os pacientes candidatos ao estudo são randomizados após abertura de envelope selado no momento do procedimento, de acordo com uma lista previamente formulada pelo programa </w:t>
      </w:r>
      <w:r w:rsidR="00154CF3" w:rsidRPr="001E525D">
        <w:lastRenderedPageBreak/>
        <w:t>randomizer.org. Esta lista não é de conhecimento dos pesquisadores.</w:t>
      </w:r>
      <w:r w:rsidR="004503CB" w:rsidRPr="001E525D">
        <w:t xml:space="preserve"> </w:t>
      </w:r>
      <w:r w:rsidR="004503CB"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O grupo CL será submetido à injeção de corticoide local (leito ressecado) em seguida ao ESD e o grupo CS iniciará o uso de corticoide oral no terceiro dia após o procedimento com diminuição gradual por 8 semanas. </w:t>
      </w:r>
    </w:p>
    <w:p w14:paraId="19BFA590" w14:textId="77777777" w:rsidR="00C614CB" w:rsidRPr="001E525D" w:rsidRDefault="00C614CB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Critérios de inclusão</w:t>
      </w:r>
    </w:p>
    <w:p w14:paraId="683F3CC2" w14:textId="5F5311D1" w:rsidR="00C614CB" w:rsidRPr="001E525D" w:rsidRDefault="00C614CB" w:rsidP="000C7779">
      <w:pPr>
        <w:pStyle w:val="PargrafodaLista"/>
        <w:numPr>
          <w:ilvl w:val="0"/>
          <w:numId w:val="3"/>
        </w:numPr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t xml:space="preserve">Pacientes </w:t>
      </w: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 xml:space="preserve">com diagnóstico de neoplasia superficial de esôfago submetidos a ressecção endoscópica submucosa maior do que 3/4 </w:t>
      </w:r>
      <w:r w:rsidR="00F025E9" w:rsidRPr="001E525D">
        <w:rPr>
          <w:rStyle w:val="FontStyle11"/>
          <w:rFonts w:asciiTheme="minorHAnsi" w:hAnsiTheme="minorHAnsi" w:cstheme="minorHAnsi"/>
          <w:sz w:val="22"/>
          <w:szCs w:val="28"/>
        </w:rPr>
        <w:t>da circunferência do órgão;</w:t>
      </w:r>
    </w:p>
    <w:p w14:paraId="5D0AC833" w14:textId="10DF745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>Ausência de metástases linfonodais ou à distância</w:t>
      </w:r>
      <w:r w:rsidR="00F025E9" w:rsidRPr="001E525D">
        <w:rPr>
          <w:rStyle w:val="FontStyle11"/>
          <w:rFonts w:asciiTheme="minorHAnsi" w:hAnsiTheme="minorHAnsi" w:cstheme="minorHAnsi"/>
          <w:sz w:val="22"/>
          <w:szCs w:val="28"/>
        </w:rPr>
        <w:t>, avaliadas através de ecoendoscopia, tomografia helicoidal e PET-CT;</w:t>
      </w:r>
    </w:p>
    <w:p w14:paraId="01AF31AF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  <w:r w:rsidRPr="001E525D">
        <w:rPr>
          <w:rStyle w:val="FontStyle11"/>
          <w:rFonts w:asciiTheme="minorHAnsi" w:hAnsiTheme="minorHAnsi" w:cstheme="minorHAnsi"/>
          <w:sz w:val="22"/>
          <w:szCs w:val="28"/>
        </w:rPr>
        <w:t>Termo de consentimento informado assinado</w:t>
      </w:r>
    </w:p>
    <w:p w14:paraId="7957882B" w14:textId="77777777" w:rsidR="00C614CB" w:rsidRPr="001E525D" w:rsidRDefault="00C614CB" w:rsidP="000C7779">
      <w:pPr>
        <w:pStyle w:val="PargrafodaLista"/>
        <w:jc w:val="both"/>
        <w:rPr>
          <w:rStyle w:val="FontStyle11"/>
          <w:rFonts w:asciiTheme="minorHAnsi" w:hAnsiTheme="minorHAnsi" w:cstheme="minorHAnsi"/>
          <w:sz w:val="22"/>
          <w:szCs w:val="28"/>
        </w:rPr>
      </w:pPr>
    </w:p>
    <w:p w14:paraId="2E0FD10F" w14:textId="77777777" w:rsidR="00C614CB" w:rsidRPr="001E525D" w:rsidRDefault="00C614CB" w:rsidP="000C7779">
      <w:pPr>
        <w:jc w:val="both"/>
        <w:rPr>
          <w:sz w:val="24"/>
          <w:u w:val="single"/>
        </w:rPr>
      </w:pPr>
    </w:p>
    <w:p w14:paraId="2FD3F49B" w14:textId="77777777" w:rsidR="00C614CB" w:rsidRPr="001E525D" w:rsidRDefault="00C614CB" w:rsidP="000C7779">
      <w:pPr>
        <w:jc w:val="both"/>
        <w:rPr>
          <w:sz w:val="24"/>
          <w:u w:val="single"/>
        </w:rPr>
      </w:pPr>
      <w:r w:rsidRPr="001E525D">
        <w:rPr>
          <w:sz w:val="24"/>
          <w:u w:val="single"/>
        </w:rPr>
        <w:t>Critérios de exclusão</w:t>
      </w:r>
    </w:p>
    <w:p w14:paraId="663E80C7" w14:textId="464AEB1C" w:rsidR="00C614CB" w:rsidRPr="001E525D" w:rsidRDefault="00C80951" w:rsidP="000C7779">
      <w:pPr>
        <w:pStyle w:val="PargrafodaLista"/>
        <w:numPr>
          <w:ilvl w:val="0"/>
          <w:numId w:val="3"/>
        </w:numPr>
        <w:jc w:val="both"/>
      </w:pPr>
      <w:r w:rsidRPr="001E525D">
        <w:t>Presença de neoplasia invasiva de esôfago</w:t>
      </w:r>
    </w:p>
    <w:p w14:paraId="06DF3B45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Cirrose hepática</w:t>
      </w:r>
    </w:p>
    <w:p w14:paraId="3CF18BE6" w14:textId="72909DD2" w:rsidR="00C614CB" w:rsidRPr="001E525D" w:rsidRDefault="00212517" w:rsidP="000C7779">
      <w:pPr>
        <w:pStyle w:val="PargrafodaLista"/>
        <w:numPr>
          <w:ilvl w:val="0"/>
          <w:numId w:val="3"/>
        </w:numPr>
        <w:jc w:val="both"/>
      </w:pPr>
      <w:r w:rsidRPr="001E525D">
        <w:t>Diabetes melito com glicemia de jejum acima de 200mg%</w:t>
      </w:r>
    </w:p>
    <w:p w14:paraId="1990DB7C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Uso de corticoterapia nos 30 dias que antecedem a ESD</w:t>
      </w:r>
    </w:p>
    <w:p w14:paraId="6540F139" w14:textId="65C4ECD0" w:rsidR="00C614CB" w:rsidRPr="001E525D" w:rsidRDefault="00212517" w:rsidP="000C7779">
      <w:pPr>
        <w:pStyle w:val="PargrafodaLista"/>
        <w:numPr>
          <w:ilvl w:val="0"/>
          <w:numId w:val="3"/>
        </w:numPr>
        <w:jc w:val="both"/>
      </w:pPr>
      <w:r w:rsidRPr="001E525D">
        <w:t>INR &gt; 1,5</w:t>
      </w:r>
    </w:p>
    <w:p w14:paraId="1CC8FDFF" w14:textId="4EBDC4D9" w:rsidR="00212517" w:rsidRPr="001E525D" w:rsidRDefault="00212517" w:rsidP="000C7779">
      <w:pPr>
        <w:pStyle w:val="PargrafodaLista"/>
        <w:numPr>
          <w:ilvl w:val="0"/>
          <w:numId w:val="3"/>
        </w:numPr>
        <w:jc w:val="both"/>
      </w:pPr>
      <w:r w:rsidRPr="001E525D">
        <w:t>Contagem de plaquetas inferior a 50.000</w:t>
      </w:r>
    </w:p>
    <w:p w14:paraId="0772F4FF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Úlcera gastrointestinal ativa</w:t>
      </w:r>
    </w:p>
    <w:p w14:paraId="602D9395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Doença psiquiátrica severa</w:t>
      </w:r>
    </w:p>
    <w:p w14:paraId="4F8396C4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Glaucoma</w:t>
      </w:r>
    </w:p>
    <w:p w14:paraId="063BBCAA" w14:textId="77777777" w:rsidR="00C614CB" w:rsidRPr="001E525D" w:rsidRDefault="00C614CB" w:rsidP="000C7779">
      <w:pPr>
        <w:pStyle w:val="PargrafodaLista"/>
        <w:numPr>
          <w:ilvl w:val="0"/>
          <w:numId w:val="3"/>
        </w:numPr>
        <w:jc w:val="both"/>
      </w:pPr>
      <w:r w:rsidRPr="001E525D">
        <w:t>Histórico de alergia ou hipersensibilidade à corticoide ou inibidor de bomba de prótons</w:t>
      </w:r>
    </w:p>
    <w:p w14:paraId="4BB250C8" w14:textId="76ED8322" w:rsidR="00154CF3" w:rsidRPr="001E525D" w:rsidRDefault="00625341" w:rsidP="000C7779">
      <w:pPr>
        <w:jc w:val="both"/>
        <w:rPr>
          <w:rFonts w:cstheme="minorHAnsi"/>
        </w:rPr>
      </w:pPr>
      <w:r w:rsidRPr="001E525D">
        <w:rPr>
          <w:rFonts w:cstheme="minorHAnsi"/>
        </w:rPr>
        <w:tab/>
        <w:t>Serão</w:t>
      </w:r>
      <w:r w:rsidR="00154CF3" w:rsidRPr="001E525D">
        <w:rPr>
          <w:rFonts w:cstheme="minorHAnsi"/>
        </w:rPr>
        <w:t xml:space="preserve"> coletados idade, sexo, comorbidades</w:t>
      </w:r>
      <w:r w:rsidR="004503CB" w:rsidRPr="001E525D">
        <w:rPr>
          <w:rFonts w:cstheme="minorHAnsi"/>
        </w:rPr>
        <w:t xml:space="preserve"> e</w:t>
      </w:r>
      <w:r w:rsidR="00154CF3" w:rsidRPr="001E525D">
        <w:rPr>
          <w:rFonts w:cstheme="minorHAnsi"/>
        </w:rPr>
        <w:t xml:space="preserve"> uso de medic</w:t>
      </w:r>
      <w:r w:rsidRPr="001E525D">
        <w:rPr>
          <w:rFonts w:cstheme="minorHAnsi"/>
        </w:rPr>
        <w:t>amentos</w:t>
      </w:r>
      <w:r w:rsidR="004503CB" w:rsidRPr="001E525D">
        <w:rPr>
          <w:rFonts w:cstheme="minorHAnsi"/>
        </w:rPr>
        <w:t xml:space="preserve">. </w:t>
      </w:r>
      <w:r w:rsidRPr="001E525D">
        <w:rPr>
          <w:rFonts w:cstheme="minorHAnsi"/>
        </w:rPr>
        <w:t>Serão</w:t>
      </w:r>
      <w:r w:rsidR="00154CF3" w:rsidRPr="001E525D">
        <w:rPr>
          <w:rFonts w:cstheme="minorHAnsi"/>
        </w:rPr>
        <w:t xml:space="preserve"> também coletadas as características en</w:t>
      </w:r>
      <w:r w:rsidRPr="001E525D">
        <w:rPr>
          <w:rFonts w:cstheme="minorHAnsi"/>
        </w:rPr>
        <w:t>doscópicas</w:t>
      </w:r>
      <w:r w:rsidR="004503CB" w:rsidRPr="001E525D">
        <w:rPr>
          <w:rFonts w:cstheme="minorHAnsi"/>
        </w:rPr>
        <w:t xml:space="preserve"> e histopatológicas</w:t>
      </w:r>
      <w:r w:rsidRPr="001E525D">
        <w:rPr>
          <w:rFonts w:cstheme="minorHAnsi"/>
        </w:rPr>
        <w:t xml:space="preserve"> da lesão</w:t>
      </w:r>
      <w:r w:rsidR="004503CB" w:rsidRPr="001E525D">
        <w:rPr>
          <w:rFonts w:cstheme="minorHAnsi"/>
        </w:rPr>
        <w:t>, tais</w:t>
      </w:r>
      <w:r w:rsidRPr="001E525D">
        <w:rPr>
          <w:rFonts w:cstheme="minorHAnsi"/>
        </w:rPr>
        <w:t xml:space="preserve"> como extensão </w:t>
      </w:r>
      <w:r w:rsidR="004503CB" w:rsidRPr="001E525D">
        <w:rPr>
          <w:rFonts w:cstheme="minorHAnsi"/>
        </w:rPr>
        <w:t xml:space="preserve">longitudinal, extensão </w:t>
      </w:r>
      <w:r w:rsidRPr="001E525D">
        <w:rPr>
          <w:rFonts w:cstheme="minorHAnsi"/>
        </w:rPr>
        <w:t>circunferencial</w:t>
      </w:r>
      <w:r w:rsidR="004503CB" w:rsidRPr="001E525D">
        <w:rPr>
          <w:rFonts w:cstheme="minorHAnsi"/>
        </w:rPr>
        <w:t xml:space="preserve"> e tipo histológico</w:t>
      </w:r>
      <w:r w:rsidRPr="001E525D">
        <w:rPr>
          <w:rFonts w:cstheme="minorHAnsi"/>
        </w:rPr>
        <w:t>.</w:t>
      </w:r>
    </w:p>
    <w:p w14:paraId="12D1D922" w14:textId="45847B14" w:rsidR="00776CFD" w:rsidRPr="001E525D" w:rsidRDefault="00625341" w:rsidP="000C7779">
      <w:pPr>
        <w:jc w:val="both"/>
        <w:rPr>
          <w:rFonts w:cstheme="minorHAnsi"/>
        </w:rPr>
      </w:pPr>
      <w:r w:rsidRPr="001E525D">
        <w:rPr>
          <w:rFonts w:cstheme="minorHAnsi"/>
        </w:rPr>
        <w:tab/>
        <w:t xml:space="preserve">Os pacientes do grupo </w:t>
      </w:r>
      <w:r w:rsidR="004503CB" w:rsidRPr="001E525D">
        <w:rPr>
          <w:rFonts w:cstheme="minorHAnsi"/>
        </w:rPr>
        <w:t>CL</w:t>
      </w:r>
      <w:r w:rsidRPr="001E525D">
        <w:rPr>
          <w:rFonts w:cstheme="minorHAnsi"/>
        </w:rPr>
        <w:t xml:space="preserve"> serão</w:t>
      </w:r>
      <w:r w:rsidR="00154CF3" w:rsidRPr="001E525D">
        <w:rPr>
          <w:rFonts w:cstheme="minorHAnsi"/>
        </w:rPr>
        <w:t xml:space="preserve"> submetidos </w:t>
      </w:r>
      <w:r w:rsidR="00776CFD" w:rsidRPr="001E525D">
        <w:rPr>
          <w:rFonts w:cstheme="minorHAnsi"/>
        </w:rPr>
        <w:t>à se</w:t>
      </w:r>
      <w:r w:rsidR="004503CB" w:rsidRPr="001E525D">
        <w:rPr>
          <w:rFonts w:cstheme="minorHAnsi"/>
        </w:rPr>
        <w:t>ss</w:t>
      </w:r>
      <w:r w:rsidR="00776CFD" w:rsidRPr="001E525D">
        <w:rPr>
          <w:rFonts w:cstheme="minorHAnsi"/>
        </w:rPr>
        <w:t>ão única</w:t>
      </w:r>
      <w:r w:rsidRPr="001E525D">
        <w:rPr>
          <w:rFonts w:cstheme="minorHAnsi"/>
        </w:rPr>
        <w:t xml:space="preserve"> </w:t>
      </w:r>
      <w:r w:rsidR="00776CFD" w:rsidRPr="001E525D">
        <w:rPr>
          <w:rFonts w:cstheme="minorHAnsi"/>
        </w:rPr>
        <w:t>imediatamente após o ESD</w:t>
      </w:r>
      <w:r w:rsidRPr="001E525D">
        <w:rPr>
          <w:rFonts w:cstheme="minorHAnsi"/>
        </w:rPr>
        <w:t xml:space="preserve"> </w:t>
      </w:r>
      <w:r w:rsidR="00154CF3" w:rsidRPr="001E525D">
        <w:rPr>
          <w:rFonts w:cstheme="minorHAnsi"/>
        </w:rPr>
        <w:t xml:space="preserve">enquanto os pacientes do grupo </w:t>
      </w:r>
      <w:r w:rsidR="00C614CB" w:rsidRPr="001E525D">
        <w:rPr>
          <w:rFonts w:cstheme="minorHAnsi"/>
        </w:rPr>
        <w:t>CS</w:t>
      </w:r>
      <w:r w:rsidR="00776CFD" w:rsidRPr="001E525D">
        <w:rPr>
          <w:rFonts w:cstheme="minorHAnsi"/>
        </w:rPr>
        <w:t xml:space="preserve"> iniciarão a ingestão no terceiro dia após o ESD com diminuição progressiva seguida de suspensão atingindo 8 semanas. Todos os pacientes serão submetidos a avaliação endoscópica após 7 dias.</w:t>
      </w:r>
    </w:p>
    <w:p w14:paraId="5CFADB65" w14:textId="5672C6F2" w:rsidR="00C80951" w:rsidRPr="001E525D" w:rsidRDefault="00C614CB" w:rsidP="000C7779">
      <w:pPr>
        <w:ind w:firstLine="708"/>
        <w:jc w:val="both"/>
      </w:pPr>
      <w:r w:rsidRPr="001E525D">
        <w:t>Os desfechos clínicos a ser comparados entre os grupos serão</w:t>
      </w:r>
      <w:r w:rsidR="00154CF3" w:rsidRPr="001E525D">
        <w:t xml:space="preserve"> </w:t>
      </w:r>
      <w:r w:rsidR="00776CFD" w:rsidRPr="001E525D">
        <w:t xml:space="preserve">taxa de estenose, número de </w:t>
      </w:r>
      <w:r w:rsidRPr="001E525D">
        <w:t xml:space="preserve">sessões de </w:t>
      </w:r>
      <w:r w:rsidR="00776CFD" w:rsidRPr="001E525D">
        <w:t>dilatações para resolução da estenose, disfagia, dor, perfuração, sangramento, mediastinite</w:t>
      </w:r>
      <w:r w:rsidRPr="001E525D">
        <w:t xml:space="preserve">, monilíase esofágica, </w:t>
      </w:r>
      <w:r w:rsidR="00E7701D" w:rsidRPr="001E525D">
        <w:t>piora dos índices glicêmicos</w:t>
      </w:r>
      <w:r w:rsidR="00947B55" w:rsidRPr="001E525D">
        <w:t xml:space="preserve"> (</w:t>
      </w:r>
      <w:r w:rsidR="00A73243" w:rsidRPr="001E525D">
        <w:t>coleta</w:t>
      </w:r>
      <w:r w:rsidR="00E03EED" w:rsidRPr="001E525D">
        <w:t xml:space="preserve"> de glicemia de jejum em 4, 8 e 12 semanas</w:t>
      </w:r>
      <w:r w:rsidR="00947B55" w:rsidRPr="001E525D">
        <w:t>)</w:t>
      </w:r>
      <w:r w:rsidR="00E7701D" w:rsidRPr="001E525D">
        <w:t xml:space="preserve"> e desenvolvimento de úlcera péptica.</w:t>
      </w:r>
      <w:r w:rsidRPr="001E525D">
        <w:t xml:space="preserve"> O desfecho principal será o número de sessões de dilatação necessárias para resolução da estenose</w:t>
      </w:r>
      <w:r w:rsidR="00E848C0" w:rsidRPr="001E525D">
        <w:t xml:space="preserve">. Há dois estudos na literatura que </w:t>
      </w:r>
      <w:r w:rsidR="00E848C0" w:rsidRPr="001E525D">
        <w:lastRenderedPageBreak/>
        <w:t>utilizaram respectivamente corticoide por via oral</w:t>
      </w:r>
      <w:r w:rsidR="00E848C0" w:rsidRPr="001E525D">
        <w:rPr>
          <w:vertAlign w:val="superscript"/>
        </w:rPr>
        <w:t>22</w:t>
      </w:r>
      <w:r w:rsidR="00E848C0" w:rsidRPr="001E525D">
        <w:t xml:space="preserve"> e através de injeções na submucosa</w:t>
      </w:r>
      <w:r w:rsidR="00E848C0" w:rsidRPr="001E525D">
        <w:rPr>
          <w:vertAlign w:val="superscript"/>
        </w:rPr>
        <w:t>23</w:t>
      </w:r>
      <w:r w:rsidR="00E848C0" w:rsidRPr="001E525D">
        <w:t xml:space="preserve"> para evitar estenose esofágica após a realização de ESD. Apesar da grande diferença entre as populações avaliadas nesses estudos (ESD &gt; 100% da circunferência contra ESD &lt; 100%), devido à escassez de dados na literatura foram utilizados os valores do número de dilatações destes estudos para o cálculo da amostra (13,8 </w:t>
      </w:r>
      <w:r w:rsidR="00E848C0" w:rsidRPr="001E525D">
        <w:rPr>
          <w:rFonts w:cstheme="minorHAnsi"/>
        </w:rPr>
        <w:t>±</w:t>
      </w:r>
      <w:r w:rsidR="00E848C0" w:rsidRPr="001E525D">
        <w:t xml:space="preserve"> 6,9 e 6,1 </w:t>
      </w:r>
      <w:r w:rsidR="00E848C0" w:rsidRPr="001E525D">
        <w:rPr>
          <w:rFonts w:cstheme="minorHAnsi"/>
        </w:rPr>
        <w:t>±</w:t>
      </w:r>
      <w:r w:rsidR="00E848C0" w:rsidRPr="001E525D">
        <w:t xml:space="preserve"> 6,2 respectivamente), levando-se em consideração os desvios-padrão, a amostra necessária para demonstrar a diferença entre os grupos é de 13 pacientes. Considerando-se 15% de taxa de perda, serão incluídos 30 pacientes no total. </w:t>
      </w:r>
    </w:p>
    <w:p w14:paraId="1807819C" w14:textId="4804FBE6" w:rsidR="0008260A" w:rsidRPr="0008260A" w:rsidRDefault="0008260A" w:rsidP="0008260A">
      <w:pPr>
        <w:ind w:firstLine="708"/>
        <w:jc w:val="both"/>
        <w:rPr>
          <w:highlight w:val="lightGray"/>
        </w:rPr>
      </w:pPr>
      <w:r w:rsidRPr="0008260A">
        <w:rPr>
          <w:highlight w:val="lightGray"/>
        </w:rPr>
        <w:t>Devido ao tamanho amostral limitado, as variáveis numéricas foram descritas usando medidas de tendência central e dispersão, especificamente a mediana, o primeiro quartil (Q1) e o terceiro quartil (Q3). As variáveis categóricas foram descritas utilizando frequências relativas, expressas em porcentagem.</w:t>
      </w:r>
    </w:p>
    <w:p w14:paraId="7AD0DEC1" w14:textId="464D0C92" w:rsidR="0008260A" w:rsidRPr="0008260A" w:rsidRDefault="0008260A" w:rsidP="0008260A">
      <w:pPr>
        <w:ind w:firstLine="708"/>
        <w:jc w:val="both"/>
        <w:rPr>
          <w:highlight w:val="lightGray"/>
        </w:rPr>
      </w:pPr>
      <w:r w:rsidRPr="0008260A">
        <w:rPr>
          <w:highlight w:val="lightGray"/>
        </w:rPr>
        <w:t xml:space="preserve">Para avaliar a associação entre variáveis numéricas e categóricas, empregou-se o teste de Mann-Whitney. No caso de comparações entre variáveis categóricas, o teste de Fisher foi utilizado quando ambas as variáveis tinham dois níveis. Para variáveis categóricas com três níveis ou mais, utilizou-se o teste do </w:t>
      </w:r>
      <w:proofErr w:type="spellStart"/>
      <w:r w:rsidRPr="0008260A">
        <w:rPr>
          <w:highlight w:val="lightGray"/>
        </w:rPr>
        <w:t>qui</w:t>
      </w:r>
      <w:proofErr w:type="spellEnd"/>
      <w:r w:rsidRPr="0008260A">
        <w:rPr>
          <w:highlight w:val="lightGray"/>
        </w:rPr>
        <w:t>-quadrado.</w:t>
      </w:r>
    </w:p>
    <w:p w14:paraId="6F3A91D7" w14:textId="77777777" w:rsidR="0008260A" w:rsidRDefault="0008260A" w:rsidP="0008260A">
      <w:pPr>
        <w:ind w:firstLine="708"/>
        <w:jc w:val="both"/>
      </w:pPr>
      <w:r w:rsidRPr="0008260A">
        <w:rPr>
          <w:highlight w:val="lightGray"/>
        </w:rPr>
        <w:t>É importante destacar que, mesmo quando os resultados não atingiram um valor de p &lt; 0,05 , alguns foram considerados estatisticamente tendenciosos e clinicamente relevantes. Devido ao pequeno tamanho da amostra, um nível de significância de p = 0,20 foi adotado como critério para relevância estatística.</w:t>
      </w:r>
    </w:p>
    <w:p w14:paraId="33A3B6BC" w14:textId="1504ABAC" w:rsidR="00154CF3" w:rsidRPr="00154CF3" w:rsidRDefault="00154CF3" w:rsidP="0008260A">
      <w:pPr>
        <w:ind w:firstLine="708"/>
        <w:jc w:val="both"/>
        <w:rPr>
          <w:rStyle w:val="FontStyle11"/>
          <w:rFonts w:asciiTheme="minorHAnsi" w:hAnsiTheme="minorHAnsi" w:cstheme="minorHAnsi"/>
          <w:sz w:val="10"/>
        </w:rPr>
      </w:pPr>
      <w:r w:rsidRPr="001E525D">
        <w:rPr>
          <w:rFonts w:cs="Calibri"/>
          <w:szCs w:val="28"/>
        </w:rPr>
        <w:t>Se o paciente concordar em participar do estudo, ele (ou o seu responsável legal) deverá assinar o termo de consentimento informado, previamente</w:t>
      </w:r>
      <w:r w:rsidRPr="00A73243">
        <w:rPr>
          <w:rFonts w:cs="Calibri"/>
          <w:szCs w:val="28"/>
        </w:rPr>
        <w:t xml:space="preserve"> aprovado pela </w:t>
      </w:r>
      <w:proofErr w:type="spellStart"/>
      <w:r w:rsidRPr="00A73243">
        <w:rPr>
          <w:rFonts w:cs="Calibri"/>
          <w:szCs w:val="28"/>
        </w:rPr>
        <w:t>Cappesq</w:t>
      </w:r>
      <w:proofErr w:type="spellEnd"/>
      <w:r w:rsidRPr="00A73243">
        <w:rPr>
          <w:rFonts w:cs="Calibri"/>
          <w:szCs w:val="28"/>
        </w:rPr>
        <w:t xml:space="preserve">. </w:t>
      </w:r>
      <w:r w:rsidRPr="00154CF3">
        <w:rPr>
          <w:rFonts w:cs="Calibri"/>
          <w:szCs w:val="28"/>
        </w:rPr>
        <w:t>Uma cópia do termo será assinada pelo paciente (ou responsável legal) antes de serem realizados quaisquer testes. O original será mantido no prontuário do paciente.</w:t>
      </w:r>
    </w:p>
    <w:p w14:paraId="2AA62842" w14:textId="77777777" w:rsidR="00C03C3D" w:rsidRDefault="00C03C3D" w:rsidP="000C7779">
      <w:pPr>
        <w:jc w:val="both"/>
        <w:rPr>
          <w:sz w:val="24"/>
          <w:u w:val="single"/>
        </w:rPr>
      </w:pPr>
    </w:p>
    <w:p w14:paraId="4B7464EE" w14:textId="77777777" w:rsidR="00750F53" w:rsidRPr="007A3717" w:rsidRDefault="00C03C3D" w:rsidP="000C7779">
      <w:pPr>
        <w:jc w:val="both"/>
        <w:rPr>
          <w:rStyle w:val="FontStyle11"/>
          <w:rFonts w:asciiTheme="minorHAnsi" w:hAnsiTheme="minorHAnsi" w:cstheme="minorBidi"/>
          <w:sz w:val="24"/>
          <w:szCs w:val="22"/>
          <w:u w:val="single"/>
        </w:rPr>
      </w:pPr>
      <w:r>
        <w:rPr>
          <w:sz w:val="24"/>
          <w:u w:val="single"/>
        </w:rPr>
        <w:t xml:space="preserve">Preparo </w:t>
      </w:r>
      <w:r w:rsidR="00750F53">
        <w:rPr>
          <w:sz w:val="24"/>
          <w:u w:val="single"/>
        </w:rPr>
        <w:t>e Etapas técnicas do procedimento</w:t>
      </w:r>
    </w:p>
    <w:p w14:paraId="4B50E171" w14:textId="77777777" w:rsidR="001366FA" w:rsidRPr="003132BC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>Todos os pacientes serão informados sobre o procedimento e seus riscos e benefícios, e será solicitado a todos que preencham e assinem um “Termo de Consentimento Livre e Esclarecido”.</w:t>
      </w:r>
    </w:p>
    <w:p w14:paraId="78E583DD" w14:textId="77777777" w:rsidR="001366FA" w:rsidRPr="003132BC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>Antes do procedimento, ser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>ão colhidos histórias clínica e</w:t>
      </w: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 xml:space="preserve"> exames laboratoriais.</w:t>
      </w:r>
    </w:p>
    <w:p w14:paraId="1800B0FF" w14:textId="1045293E" w:rsidR="007A3717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  <w:lang w:eastAsia="pt-BR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 xml:space="preserve">Os pacientes serão </w:t>
      </w:r>
      <w:r w:rsidR="007A3717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 xml:space="preserve">submetidos </w:t>
      </w:r>
      <w:r w:rsidR="00CD3A5B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>à</w:t>
      </w:r>
      <w:r w:rsidR="007A3717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 xml:space="preserve"> ressecção endoscópica submucosa no setor de endoscopia do Instituto do Câncer do Estado de São Paulo (ICESP), sob anestesia geral</w:t>
      </w:r>
      <w:r w:rsidR="00CD3A5B">
        <w:rPr>
          <w:rStyle w:val="FontStyle11"/>
          <w:rFonts w:asciiTheme="minorHAnsi" w:hAnsiTheme="minorHAnsi" w:cstheme="minorHAnsi"/>
          <w:sz w:val="22"/>
          <w:szCs w:val="22"/>
          <w:lang w:eastAsia="pt-BR"/>
        </w:rPr>
        <w:t>, por um único operador, com mais de 70 casos de ESD.</w:t>
      </w:r>
    </w:p>
    <w:p w14:paraId="6D92D5EA" w14:textId="77777777" w:rsidR="007F237D" w:rsidRDefault="007A3717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>
        <w:rPr>
          <w:rStyle w:val="FontStyle11"/>
          <w:rFonts w:asciiTheme="minorHAnsi" w:hAnsiTheme="minorHAnsi" w:cstheme="minorHAnsi"/>
          <w:sz w:val="22"/>
          <w:szCs w:val="22"/>
        </w:rPr>
        <w:t>O procedimento inicial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,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que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será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o mesmo em ambos os grupos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,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c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onsiste numa técnica consagrada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,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indicada para ressecções de lesões superficiais do aparelho digestivo conhecida como ESD. Inicialmente é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realizada a cromosco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 xml:space="preserve">pia </w:t>
      </w:r>
      <w:r>
        <w:rPr>
          <w:rStyle w:val="FontStyle11"/>
          <w:rFonts w:asciiTheme="minorHAnsi" w:hAnsiTheme="minorHAnsi" w:cstheme="minorHAnsi"/>
          <w:sz w:val="22"/>
          <w:szCs w:val="22"/>
        </w:rPr>
        <w:t>e demarcação da lesão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. Em seguida é realizada a injeção submucosa com solução salina seguido de tunelização da região demarcada afim de se ressecar a camada mucosa.</w:t>
      </w:r>
    </w:p>
    <w:p w14:paraId="35256373" w14:textId="5707F68B" w:rsidR="001366FA" w:rsidRPr="003132BC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lastRenderedPageBreak/>
        <w:t xml:space="preserve">Caso o paciente esteja no grupo </w:t>
      </w:r>
      <w:r w:rsidR="00CD3A5B">
        <w:rPr>
          <w:rStyle w:val="FontStyle11"/>
          <w:rFonts w:asciiTheme="minorHAnsi" w:hAnsiTheme="minorHAnsi" w:cstheme="minorHAnsi"/>
          <w:sz w:val="22"/>
          <w:szCs w:val="22"/>
        </w:rPr>
        <w:t>CL</w:t>
      </w: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 xml:space="preserve">, 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 xml:space="preserve">imediatamente após o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procedimento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>,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>será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 xml:space="preserve"> realizada a injeção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 xml:space="preserve">de 20 alíquotas de 1ml de solução de Triancinolona (5 mg/ml) 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>no leito ressecado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 xml:space="preserve"> (submucosa residual),</w:t>
      </w:r>
      <w:r w:rsidR="007F237D">
        <w:rPr>
          <w:rStyle w:val="FontStyle11"/>
          <w:rFonts w:asciiTheme="minorHAnsi" w:hAnsiTheme="minorHAnsi" w:cstheme="minorHAnsi"/>
          <w:sz w:val="22"/>
          <w:szCs w:val="22"/>
        </w:rPr>
        <w:t xml:space="preserve"> através de agulha de esclerose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>, totalizando 100 mg.</w:t>
      </w:r>
    </w:p>
    <w:p w14:paraId="76650CEA" w14:textId="628CC788" w:rsidR="00070B6E" w:rsidRDefault="001366F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>Caso o pacie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 xml:space="preserve">nte esteja no grupo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CS,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2D2A3F">
        <w:rPr>
          <w:rStyle w:val="FontStyle11"/>
          <w:rFonts w:asciiTheme="minorHAnsi" w:hAnsiTheme="minorHAnsi" w:cstheme="minorHAnsi"/>
          <w:sz w:val="22"/>
          <w:szCs w:val="22"/>
        </w:rPr>
        <w:t>o uso de predinisolona</w:t>
      </w:r>
      <w:r w:rsidR="00E96E3E">
        <w:rPr>
          <w:rStyle w:val="FontStyle11"/>
          <w:rFonts w:asciiTheme="minorHAnsi" w:hAnsiTheme="minorHAnsi" w:cstheme="minorHAnsi"/>
          <w:sz w:val="22"/>
          <w:szCs w:val="22"/>
        </w:rPr>
        <w:t>, na dose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 xml:space="preserve"> de</w:t>
      </w:r>
      <w:r w:rsidR="00CA077D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 xml:space="preserve">30 mg/dia, </w:t>
      </w:r>
      <w:r w:rsidR="00070B6E">
        <w:rPr>
          <w:rStyle w:val="FontStyle11"/>
          <w:rFonts w:asciiTheme="minorHAnsi" w:hAnsiTheme="minorHAnsi" w:cstheme="minorHAnsi"/>
          <w:sz w:val="22"/>
          <w:szCs w:val="22"/>
        </w:rPr>
        <w:t>será iniciado</w:t>
      </w:r>
      <w:r w:rsidR="009E39B9">
        <w:rPr>
          <w:rStyle w:val="FontStyle11"/>
          <w:rFonts w:asciiTheme="minorHAnsi" w:hAnsiTheme="minorHAnsi" w:cstheme="minorHAnsi"/>
          <w:sz w:val="22"/>
          <w:szCs w:val="22"/>
        </w:rPr>
        <w:t xml:space="preserve"> três dias após o procedimento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.</w:t>
      </w:r>
      <w:r w:rsidR="009E39B9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E</w:t>
      </w:r>
      <w:r w:rsidR="00AC7B75">
        <w:rPr>
          <w:rStyle w:val="FontStyle11"/>
          <w:rFonts w:asciiTheme="minorHAnsi" w:hAnsiTheme="minorHAnsi" w:cstheme="minorHAnsi"/>
          <w:sz w:val="22"/>
          <w:szCs w:val="22"/>
        </w:rPr>
        <w:t>m seguida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, a dose será</w:t>
      </w:r>
      <w:r w:rsidR="009E39B9">
        <w:rPr>
          <w:rStyle w:val="FontStyle11"/>
          <w:rFonts w:asciiTheme="minorHAnsi" w:hAnsiTheme="minorHAnsi" w:cstheme="minorHAnsi"/>
          <w:sz w:val="22"/>
          <w:szCs w:val="22"/>
        </w:rPr>
        <w:t xml:space="preserve"> diminuída gradualmente (30, 30, 25, 25, 20, 15, 10 e 5) a cada 7 dias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>, totalizando 8 semanas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 xml:space="preserve"> de tratamento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>.</w:t>
      </w:r>
    </w:p>
    <w:p w14:paraId="1DB53114" w14:textId="77777777" w:rsidR="002F296A" w:rsidRDefault="001366FA" w:rsidP="000C7779">
      <w:pPr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 w:rsidRPr="003132BC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1A00E2">
        <w:rPr>
          <w:rStyle w:val="FontStyle11"/>
          <w:rFonts w:asciiTheme="minorHAnsi" w:hAnsiTheme="minorHAnsi" w:cstheme="minorHAnsi"/>
          <w:sz w:val="22"/>
          <w:szCs w:val="22"/>
        </w:rPr>
        <w:tab/>
      </w:r>
      <w:r w:rsidR="003132BC" w:rsidRPr="003132BC">
        <w:rPr>
          <w:rStyle w:val="FontStyle11"/>
          <w:rFonts w:asciiTheme="minorHAnsi" w:hAnsiTheme="minorHAnsi" w:cstheme="minorHAnsi"/>
          <w:sz w:val="22"/>
          <w:szCs w:val="22"/>
        </w:rPr>
        <w:t xml:space="preserve">Todos os pacientes </w:t>
      </w:r>
      <w:r w:rsidR="001F2FE0">
        <w:rPr>
          <w:rStyle w:val="FontStyle11"/>
          <w:rFonts w:asciiTheme="minorHAnsi" w:hAnsiTheme="minorHAnsi" w:cstheme="minorHAnsi"/>
          <w:sz w:val="22"/>
          <w:szCs w:val="22"/>
        </w:rPr>
        <w:t>realizarão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uso de 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40mg de omeprazol por</w:t>
      </w:r>
      <w:r w:rsidR="00504A94">
        <w:rPr>
          <w:rStyle w:val="FontStyle11"/>
          <w:rFonts w:asciiTheme="minorHAnsi" w:hAnsiTheme="minorHAnsi" w:cstheme="minorHAnsi"/>
          <w:sz w:val="22"/>
          <w:szCs w:val="22"/>
        </w:rPr>
        <w:t xml:space="preserve"> via oral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por 8 semanas e </w:t>
      </w:r>
      <w:r w:rsidR="003132BC" w:rsidRPr="003132BC">
        <w:rPr>
          <w:rStyle w:val="FontStyle11"/>
          <w:rFonts w:asciiTheme="minorHAnsi" w:hAnsiTheme="minorHAnsi" w:cstheme="minorHAnsi"/>
          <w:sz w:val="22"/>
          <w:szCs w:val="22"/>
        </w:rPr>
        <w:t>serão sub</w:t>
      </w:r>
      <w:r w:rsidR="007723AD">
        <w:rPr>
          <w:rStyle w:val="FontStyle11"/>
          <w:rFonts w:asciiTheme="minorHAnsi" w:hAnsiTheme="minorHAnsi" w:cstheme="minorHAnsi"/>
          <w:sz w:val="22"/>
          <w:szCs w:val="22"/>
        </w:rPr>
        <w:t>metidos a exame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s</w:t>
      </w:r>
      <w:r w:rsidR="007723AD">
        <w:rPr>
          <w:rStyle w:val="FontStyle11"/>
          <w:rFonts w:asciiTheme="minorHAnsi" w:hAnsiTheme="minorHAnsi" w:cstheme="minorHAnsi"/>
          <w:sz w:val="22"/>
          <w:szCs w:val="22"/>
        </w:rPr>
        <w:t xml:space="preserve"> de endoscopia semanais no 1</w:t>
      </w:r>
      <w:r w:rsidR="00FF03C0" w:rsidRP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º</w:t>
      </w:r>
      <w:r w:rsidR="007723AD">
        <w:rPr>
          <w:rStyle w:val="FontStyle11"/>
          <w:rFonts w:asciiTheme="minorHAnsi" w:hAnsiTheme="minorHAnsi" w:cstheme="minorHAnsi"/>
          <w:sz w:val="22"/>
          <w:szCs w:val="22"/>
        </w:rPr>
        <w:t xml:space="preserve"> mês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, quinzenais</w:t>
      </w:r>
      <w:r w:rsidR="0022335E">
        <w:rPr>
          <w:rStyle w:val="FontStyle11"/>
          <w:rFonts w:asciiTheme="minorHAnsi" w:hAnsiTheme="minorHAnsi" w:cstheme="minorHAnsi"/>
          <w:sz w:val="22"/>
          <w:szCs w:val="22"/>
        </w:rPr>
        <w:t xml:space="preserve"> no 2º mês e avaliações mensais até o 6</w:t>
      </w:r>
      <w:r w:rsidR="00FF03C0" w:rsidRP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º mês</w:t>
      </w:r>
      <w:r w:rsidR="00C80951">
        <w:rPr>
          <w:rStyle w:val="FontStyle11"/>
          <w:rFonts w:asciiTheme="minorHAnsi" w:hAnsiTheme="minorHAnsi" w:cstheme="minorHAnsi"/>
          <w:sz w:val="22"/>
          <w:szCs w:val="22"/>
        </w:rPr>
        <w:t>.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Durante esse período </w:t>
      </w:r>
      <w:r w:rsidR="007723AD">
        <w:rPr>
          <w:rStyle w:val="FontStyle11"/>
          <w:rFonts w:asciiTheme="minorHAnsi" w:hAnsiTheme="minorHAnsi" w:cstheme="minorHAnsi"/>
          <w:sz w:val="22"/>
          <w:szCs w:val="22"/>
        </w:rPr>
        <w:t xml:space="preserve">poderão ser realizados exames 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>adicionais à critério clínico.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Os pontos de corte definidos para as comparações dos resultados serão em 12 e 24 semanas.</w:t>
      </w:r>
      <w:r w:rsidR="002F296A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</w:p>
    <w:p w14:paraId="1DAD5A8E" w14:textId="005FC713" w:rsidR="00750F53" w:rsidRDefault="002F296A" w:rsidP="000C7779">
      <w:pPr>
        <w:ind w:firstLine="708"/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Tendo em vista que ambas as técnicas já são amplamente utilizadas em nosso serviço e que as complicações graves (perfuração, mediastinite) ocorrem imediatamente ou nas primeiras 48 horas pós ESD (período o qual o paciente fica internado) e a complicação mais comum (estenose) ocorre dentro do primeiro mês pós ESD (período em que serão realizadas endoscopias semanais) 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o seguimento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ocorrerá conforme rotina já estabelecida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. Q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ualquer evento adverso ou risco 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à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segurança do paciente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,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>será acompanhado em todas essas avaliações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ou conforme ocorra qualquer queixa do paciente. Todos os eventos adversos graves serão enviados ao CEP</w:t>
      </w:r>
      <w:r w:rsidR="00997AD1">
        <w:rPr>
          <w:rStyle w:val="FontStyle11"/>
          <w:rFonts w:asciiTheme="minorHAnsi" w:hAnsiTheme="minorHAnsi" w:cstheme="minorHAnsi"/>
          <w:sz w:val="22"/>
          <w:szCs w:val="22"/>
        </w:rPr>
        <w:t xml:space="preserve"> (comitê de ética em pesquisa)</w:t>
      </w:r>
      <w:r>
        <w:rPr>
          <w:rStyle w:val="FontStyle11"/>
          <w:rFonts w:asciiTheme="minorHAnsi" w:hAnsiTheme="minorHAnsi" w:cstheme="minorHAnsi"/>
          <w:sz w:val="22"/>
          <w:szCs w:val="22"/>
        </w:rPr>
        <w:t>.</w:t>
      </w:r>
    </w:p>
    <w:p w14:paraId="1E77C2A5" w14:textId="7A6ABFD4" w:rsidR="0022335E" w:rsidRDefault="0022335E" w:rsidP="000C7779">
      <w:pPr>
        <w:jc w:val="both"/>
        <w:rPr>
          <w:rStyle w:val="FontStyle11"/>
          <w:rFonts w:asciiTheme="minorHAnsi" w:hAnsiTheme="minorHAnsi" w:cstheme="minorHAnsi"/>
          <w:sz w:val="22"/>
          <w:szCs w:val="22"/>
        </w:rPr>
      </w:pPr>
      <w:r>
        <w:rPr>
          <w:rStyle w:val="FontStyle11"/>
          <w:rFonts w:asciiTheme="minorHAnsi" w:hAnsiTheme="minorHAnsi" w:cstheme="minorHAnsi"/>
          <w:sz w:val="22"/>
          <w:szCs w:val="22"/>
        </w:rPr>
        <w:tab/>
        <w:t xml:space="preserve">Serão realizadas dilatações balonadas sempre que houver </w:t>
      </w:r>
      <w:r w:rsidR="00334021">
        <w:rPr>
          <w:rStyle w:val="FontStyle11"/>
          <w:rFonts w:asciiTheme="minorHAnsi" w:hAnsiTheme="minorHAnsi" w:cstheme="minorHAnsi"/>
          <w:sz w:val="22"/>
          <w:szCs w:val="22"/>
        </w:rPr>
        <w:t>resistência ou estenose</w:t>
      </w:r>
      <w:r>
        <w:rPr>
          <w:rStyle w:val="FontStyle11"/>
          <w:rFonts w:asciiTheme="minorHAnsi" w:hAnsiTheme="minorHAnsi" w:cstheme="minorHAnsi"/>
          <w:sz w:val="22"/>
          <w:szCs w:val="22"/>
        </w:rPr>
        <w:t xml:space="preserve"> à passagem do aparelho endoscópico padrão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(9,</w:t>
      </w:r>
      <w:r w:rsidR="00543C8C">
        <w:rPr>
          <w:rStyle w:val="FontStyle11"/>
          <w:rFonts w:asciiTheme="minorHAnsi" w:hAnsiTheme="minorHAnsi" w:cstheme="minorHAnsi"/>
          <w:sz w:val="22"/>
          <w:szCs w:val="22"/>
        </w:rPr>
        <w:t>8</w:t>
      </w:r>
      <w:r w:rsidR="00FF03C0">
        <w:rPr>
          <w:rStyle w:val="FontStyle11"/>
          <w:rFonts w:asciiTheme="minorHAnsi" w:hAnsiTheme="minorHAnsi" w:cstheme="minorHAnsi"/>
          <w:sz w:val="22"/>
          <w:szCs w:val="22"/>
        </w:rPr>
        <w:t xml:space="preserve"> mm)</w:t>
      </w:r>
      <w:r w:rsidR="00504A94">
        <w:rPr>
          <w:rStyle w:val="FontStyle11"/>
          <w:rFonts w:asciiTheme="minorHAnsi" w:hAnsiTheme="minorHAnsi" w:cstheme="minorHAnsi"/>
          <w:sz w:val="22"/>
          <w:szCs w:val="22"/>
        </w:rPr>
        <w:t xml:space="preserve"> ou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escala de disfagia </w:t>
      </w:r>
      <w:r w:rsidR="00500B34"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≥</w:t>
      </w:r>
      <w:r w:rsidR="00500B34">
        <w:rPr>
          <w:rStyle w:val="FontStyle11"/>
          <w:rFonts w:asciiTheme="minorHAnsi" w:hAnsiTheme="minorHAnsi" w:cstheme="minorHAnsi"/>
          <w:sz w:val="22"/>
          <w:szCs w:val="22"/>
        </w:rPr>
        <w:t xml:space="preserve"> 2. A escala de disfagia é definida da seguinte maneira: 0 capaz de ingerir qualquer dieta, 1 incapaz de ingerir alguns alimentos sólidos, 2 capaz de ingerir alimentos pastosos, 3 capaz de ingerir alimentos líquidos e 4 incapaz de ingerir líquidos. </w:t>
      </w:r>
      <w:r w:rsidR="00A312B3">
        <w:rPr>
          <w:rStyle w:val="FontStyle11"/>
          <w:rFonts w:asciiTheme="minorHAnsi" w:hAnsiTheme="minorHAnsi" w:cstheme="minorHAnsi"/>
          <w:sz w:val="22"/>
          <w:szCs w:val="22"/>
        </w:rPr>
        <w:t xml:space="preserve">Na primeira sessão de dilatação, será realizada dilatação balonada para 12mm. Nas sessões ulteriores, o objetivo será atingir 16mm. Ao ser atingido este diâmetro, as sessões de dilatação serão interrompidas e somente serão retomadas se os critérios supracitados forem preenchidos. Com 12 e com 24 semanas, os desfechos serão compilados e comparados entre os grupos CL e CS. </w:t>
      </w:r>
    </w:p>
    <w:p w14:paraId="7372EB3C" w14:textId="77777777" w:rsidR="009A769C" w:rsidRPr="0058341E" w:rsidRDefault="009A769C" w:rsidP="000C7779">
      <w:pPr>
        <w:jc w:val="both"/>
        <w:rPr>
          <w:rFonts w:cstheme="minorHAnsi"/>
        </w:rPr>
      </w:pPr>
    </w:p>
    <w:p w14:paraId="1AB75EF3" w14:textId="77777777" w:rsidR="00750F53" w:rsidRDefault="00750F53" w:rsidP="000C7779">
      <w:pPr>
        <w:jc w:val="both"/>
        <w:rPr>
          <w:sz w:val="24"/>
          <w:u w:val="single"/>
        </w:rPr>
      </w:pPr>
      <w:r>
        <w:rPr>
          <w:sz w:val="24"/>
          <w:u w:val="single"/>
        </w:rPr>
        <w:t>Resultados esperados</w:t>
      </w:r>
    </w:p>
    <w:p w14:paraId="07C25763" w14:textId="0D94DC3B" w:rsidR="00750F53" w:rsidRPr="007A1D11" w:rsidRDefault="007A1D11" w:rsidP="000C7779">
      <w:pPr>
        <w:jc w:val="both"/>
      </w:pPr>
      <w:r>
        <w:tab/>
      </w:r>
      <w:r w:rsidR="007723AD">
        <w:t xml:space="preserve">Avaliar se a terapia com uma injeção única de corticoide </w:t>
      </w:r>
      <w:r w:rsidR="00D75089">
        <w:t xml:space="preserve">no leito ressecado </w:t>
      </w:r>
      <w:r w:rsidR="007723AD">
        <w:t xml:space="preserve">pode ser </w:t>
      </w:r>
      <w:r w:rsidR="00D75089">
        <w:t>mais eficaz que a</w:t>
      </w:r>
      <w:r w:rsidR="007723AD">
        <w:t xml:space="preserve"> corticoterapia ora</w:t>
      </w:r>
      <w:r w:rsidR="00D75089">
        <w:t>l por 8 semanas</w:t>
      </w:r>
      <w:r w:rsidR="00A312B3">
        <w:t>,</w:t>
      </w:r>
      <w:r w:rsidR="00D75089">
        <w:t xml:space="preserve"> associado a</w:t>
      </w:r>
      <w:r w:rsidR="007723AD">
        <w:t xml:space="preserve"> menores efeitos colaterais sistêmicos.</w:t>
      </w:r>
      <w:r w:rsidR="003E7A33">
        <w:t xml:space="preserve"> </w:t>
      </w:r>
    </w:p>
    <w:p w14:paraId="459F32E7" w14:textId="77777777" w:rsidR="00750F53" w:rsidRDefault="00750F53" w:rsidP="000C7779">
      <w:pPr>
        <w:jc w:val="both"/>
        <w:rPr>
          <w:sz w:val="24"/>
          <w:u w:val="single"/>
        </w:rPr>
      </w:pPr>
    </w:p>
    <w:p w14:paraId="07709BC4" w14:textId="77777777" w:rsidR="00750F53" w:rsidRDefault="00750F53" w:rsidP="000C7779">
      <w:pPr>
        <w:jc w:val="both"/>
        <w:rPr>
          <w:sz w:val="24"/>
          <w:u w:val="single"/>
        </w:rPr>
      </w:pPr>
      <w:r>
        <w:rPr>
          <w:sz w:val="24"/>
          <w:u w:val="single"/>
        </w:rPr>
        <w:t>Cronograma do projeto</w:t>
      </w:r>
    </w:p>
    <w:p w14:paraId="06146B80" w14:textId="1ACDB2C3" w:rsidR="00750F53" w:rsidRDefault="003E7A33" w:rsidP="000C7779">
      <w:pPr>
        <w:pStyle w:val="PargrafodaLista"/>
        <w:numPr>
          <w:ilvl w:val="0"/>
          <w:numId w:val="8"/>
        </w:numPr>
        <w:jc w:val="both"/>
      </w:pPr>
      <w:r>
        <w:t>Coleta de dados dos pacientes en</w:t>
      </w:r>
      <w:r w:rsidR="00D73D4D">
        <w:t>volvidos – 18 meses (julho</w:t>
      </w:r>
      <w:r w:rsidR="00504A94">
        <w:t xml:space="preserve"> de </w:t>
      </w:r>
      <w:r w:rsidR="007723AD">
        <w:t>2016</w:t>
      </w:r>
      <w:r>
        <w:t xml:space="preserve"> a </w:t>
      </w:r>
      <w:r w:rsidR="00D73D4D">
        <w:t>janeiro de 2018</w:t>
      </w:r>
      <w:r>
        <w:t>)</w:t>
      </w:r>
    </w:p>
    <w:p w14:paraId="586CB0F1" w14:textId="702FDBC5" w:rsidR="003E7A33" w:rsidRDefault="003E7A33" w:rsidP="000C7779">
      <w:pPr>
        <w:pStyle w:val="PargrafodaLista"/>
        <w:numPr>
          <w:ilvl w:val="0"/>
          <w:numId w:val="8"/>
        </w:numPr>
        <w:jc w:val="both"/>
      </w:pPr>
      <w:r>
        <w:t>Análise esta</w:t>
      </w:r>
      <w:r w:rsidR="007723AD">
        <w:t>tís</w:t>
      </w:r>
      <w:r w:rsidR="00D73D4D">
        <w:t>tica dos dados – 3 meses (janeiro</w:t>
      </w:r>
      <w:r>
        <w:t xml:space="preserve"> de 201</w:t>
      </w:r>
      <w:r w:rsidR="00D73D4D">
        <w:t>8 a março de 2018</w:t>
      </w:r>
      <w:r>
        <w:t>)</w:t>
      </w:r>
    </w:p>
    <w:p w14:paraId="5CCCE42B" w14:textId="74BFB691" w:rsidR="003E7A33" w:rsidRPr="003E7A33" w:rsidRDefault="003E7A33" w:rsidP="000C7779">
      <w:pPr>
        <w:pStyle w:val="PargrafodaLista"/>
        <w:numPr>
          <w:ilvl w:val="0"/>
          <w:numId w:val="8"/>
        </w:numPr>
        <w:jc w:val="both"/>
      </w:pPr>
      <w:r>
        <w:lastRenderedPageBreak/>
        <w:t>Confecção do manuscrito</w:t>
      </w:r>
      <w:r w:rsidR="00504A94">
        <w:t xml:space="preserve"> para publicação – 3</w:t>
      </w:r>
      <w:r w:rsidR="00150FCB">
        <w:t xml:space="preserve"> meses (março</w:t>
      </w:r>
      <w:r w:rsidR="007723AD">
        <w:t xml:space="preserve"> de 2018</w:t>
      </w:r>
      <w:r w:rsidR="00D73D4D">
        <w:t xml:space="preserve"> a junho</w:t>
      </w:r>
      <w:r>
        <w:t>)</w:t>
      </w:r>
    </w:p>
    <w:p w14:paraId="3B5A1E90" w14:textId="77777777" w:rsidR="00750F53" w:rsidRDefault="00750F53" w:rsidP="000C7779">
      <w:pPr>
        <w:jc w:val="both"/>
        <w:rPr>
          <w:sz w:val="24"/>
          <w:u w:val="single"/>
        </w:rPr>
      </w:pPr>
    </w:p>
    <w:p w14:paraId="0B534518" w14:textId="77777777" w:rsidR="00750F53" w:rsidRDefault="00750F53" w:rsidP="000C7779">
      <w:pPr>
        <w:jc w:val="both"/>
        <w:rPr>
          <w:sz w:val="24"/>
          <w:u w:val="single"/>
        </w:rPr>
      </w:pPr>
      <w:r>
        <w:rPr>
          <w:sz w:val="24"/>
          <w:u w:val="single"/>
        </w:rPr>
        <w:t>Referências Bibliográficas</w:t>
      </w:r>
    </w:p>
    <w:p w14:paraId="148E67D6" w14:textId="77777777" w:rsidR="007367D2" w:rsidRPr="000C6F54" w:rsidRDefault="007367D2" w:rsidP="000C7779">
      <w:pPr>
        <w:jc w:val="both"/>
        <w:rPr>
          <w:lang w:val="en-US"/>
        </w:rPr>
      </w:pPr>
      <w:r w:rsidRPr="00D06592">
        <w:t xml:space="preserve">1 </w:t>
      </w:r>
      <w:proofErr w:type="spellStart"/>
      <w:r w:rsidRPr="00D06592">
        <w:t>Herszényi</w:t>
      </w:r>
      <w:proofErr w:type="spellEnd"/>
      <w:r w:rsidRPr="00D06592">
        <w:t xml:space="preserve"> L, </w:t>
      </w:r>
      <w:proofErr w:type="spellStart"/>
      <w:r w:rsidRPr="00D06592">
        <w:t>Tulassay</w:t>
      </w:r>
      <w:proofErr w:type="spellEnd"/>
      <w:r w:rsidRPr="00D06592">
        <w:t xml:space="preserve"> Z (2010) </w:t>
      </w:r>
      <w:proofErr w:type="spellStart"/>
      <w:r w:rsidRPr="00D06592">
        <w:t>Epidemiology</w:t>
      </w:r>
      <w:proofErr w:type="spellEnd"/>
      <w:r w:rsidRPr="00D06592">
        <w:t xml:space="preserve"> </w:t>
      </w:r>
      <w:proofErr w:type="spellStart"/>
      <w:r w:rsidRPr="00D06592">
        <w:t>of</w:t>
      </w:r>
      <w:proofErr w:type="spellEnd"/>
      <w:r w:rsidRPr="00D06592">
        <w:t xml:space="preserve"> gastrointestinal  </w:t>
      </w:r>
      <w:proofErr w:type="spellStart"/>
      <w:r w:rsidRPr="00D06592">
        <w:t>and</w:t>
      </w:r>
      <w:proofErr w:type="spellEnd"/>
      <w:r w:rsidRPr="00D06592">
        <w:t xml:space="preserve"> </w:t>
      </w:r>
      <w:proofErr w:type="spellStart"/>
      <w:r w:rsidRPr="00D06592">
        <w:t>liver</w:t>
      </w:r>
      <w:proofErr w:type="spellEnd"/>
      <w:r w:rsidRPr="00D06592">
        <w:t xml:space="preserve"> </w:t>
      </w:r>
      <w:proofErr w:type="spellStart"/>
      <w:r w:rsidRPr="00D06592">
        <w:t>tumors</w:t>
      </w:r>
      <w:proofErr w:type="spellEnd"/>
      <w:r w:rsidRPr="00D06592">
        <w:t xml:space="preserve">. </w:t>
      </w:r>
      <w:proofErr w:type="spellStart"/>
      <w:r w:rsidRPr="000C6F54">
        <w:rPr>
          <w:lang w:val="en-US"/>
        </w:rPr>
        <w:t>Eur</w:t>
      </w:r>
      <w:proofErr w:type="spellEnd"/>
      <w:r w:rsidRPr="000C6F54">
        <w:rPr>
          <w:lang w:val="en-US"/>
        </w:rPr>
        <w:t xml:space="preserve"> Rev Med </w:t>
      </w:r>
      <w:proofErr w:type="spellStart"/>
      <w:r w:rsidRPr="000C6F54">
        <w:rPr>
          <w:lang w:val="en-US"/>
        </w:rPr>
        <w:t>Pharmacol</w:t>
      </w:r>
      <w:proofErr w:type="spellEnd"/>
      <w:r w:rsidRPr="000C6F54">
        <w:rPr>
          <w:lang w:val="en-US"/>
        </w:rPr>
        <w:t xml:space="preserve"> Sci 14: 249-258  [PMID: 20496531]</w:t>
      </w:r>
    </w:p>
    <w:p w14:paraId="36324679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2 </w:t>
      </w:r>
      <w:proofErr w:type="spellStart"/>
      <w:r w:rsidRPr="000C6F54">
        <w:rPr>
          <w:lang w:val="en-US"/>
        </w:rPr>
        <w:t>Devesa</w:t>
      </w:r>
      <w:proofErr w:type="spellEnd"/>
      <w:r w:rsidRPr="000C6F54">
        <w:rPr>
          <w:lang w:val="en-US"/>
        </w:rPr>
        <w:t xml:space="preserve"> SS, Blot WJ, Fraumeni JF (1998) Changing patterns in the  incidence of esophageal and gastric carcinoma in the United  States. Cancer  83: 2049-2053 [PMID: 9827707]</w:t>
      </w:r>
    </w:p>
    <w:p w14:paraId="41C65F9B" w14:textId="77777777" w:rsidR="007367D2" w:rsidRPr="000C6F54" w:rsidRDefault="007367D2" w:rsidP="000C7779">
      <w:pPr>
        <w:jc w:val="both"/>
        <w:rPr>
          <w:lang w:val="en-US"/>
        </w:rPr>
      </w:pPr>
      <w:r w:rsidRPr="002A3F1E">
        <w:rPr>
          <w:lang w:val="en-US"/>
        </w:rPr>
        <w:t xml:space="preserve">3. </w:t>
      </w:r>
      <w:r w:rsidRPr="002A3F1E">
        <w:rPr>
          <w:rStyle w:val="apple-converted-space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>Kuwano</w:t>
      </w:r>
      <w:proofErr w:type="spellEnd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H, </w:t>
      </w:r>
      <w:proofErr w:type="spellStart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>Nishinuma</w:t>
      </w:r>
      <w:proofErr w:type="spellEnd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Y, </w:t>
      </w:r>
      <w:proofErr w:type="spellStart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>Ohtsu</w:t>
      </w:r>
      <w:proofErr w:type="spellEnd"/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A, Kato H, Kitagawa Y, Tamai S, Toh Y and Matsubara H</w:t>
      </w:r>
      <w:r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(2007)</w:t>
      </w:r>
      <w:r w:rsidRPr="002A3F1E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 xml:space="preserve"> Guidelines for diagnosis and treatment of carcinoma of the esophagus. April 2007 edition: part I. Edited by the Japan Esophageal Society.</w:t>
      </w:r>
      <w:r w:rsidRPr="002A3F1E">
        <w:rPr>
          <w:rStyle w:val="apple-converted-space"/>
          <w:color w:val="000000"/>
          <w:sz w:val="20"/>
          <w:szCs w:val="20"/>
          <w:shd w:val="clear" w:color="auto" w:fill="FFFFFF"/>
          <w:lang w:val="en-US"/>
        </w:rPr>
        <w:t> </w:t>
      </w:r>
      <w:r w:rsidRPr="000C6F54">
        <w:rPr>
          <w:rStyle w:val="ref-journal"/>
          <w:color w:val="000000"/>
          <w:sz w:val="20"/>
          <w:szCs w:val="20"/>
          <w:shd w:val="clear" w:color="auto" w:fill="FFFFFF"/>
          <w:lang w:val="en-US"/>
        </w:rPr>
        <w:t>Esophagus</w:t>
      </w:r>
      <w:r w:rsidRPr="000C6F54">
        <w:rPr>
          <w:rStyle w:val="apple-converted-space"/>
          <w:color w:val="000000"/>
          <w:sz w:val="20"/>
          <w:szCs w:val="20"/>
          <w:shd w:val="clear" w:color="auto" w:fill="FFFFFF"/>
          <w:lang w:val="en-US"/>
        </w:rPr>
        <w:t> </w:t>
      </w:r>
      <w:r w:rsidRPr="000C6F54">
        <w:rPr>
          <w:rStyle w:val="ref-vol"/>
          <w:color w:val="000000"/>
          <w:sz w:val="20"/>
          <w:szCs w:val="20"/>
          <w:shd w:val="clear" w:color="auto" w:fill="FFFFFF"/>
          <w:lang w:val="en-US"/>
        </w:rPr>
        <w:t>5</w:t>
      </w:r>
      <w:r w:rsidRPr="000C6F54">
        <w:rPr>
          <w:rStyle w:val="element-citation"/>
          <w:color w:val="000000"/>
          <w:sz w:val="20"/>
          <w:szCs w:val="20"/>
          <w:shd w:val="clear" w:color="auto" w:fill="FFFFFF"/>
          <w:lang w:val="en-US"/>
        </w:rPr>
        <w:t>:61–73</w:t>
      </w:r>
    </w:p>
    <w:p w14:paraId="724E9A5E" w14:textId="77777777" w:rsidR="007367D2" w:rsidRPr="000C6F54" w:rsidRDefault="007367D2" w:rsidP="000C7779">
      <w:pPr>
        <w:jc w:val="both"/>
        <w:rPr>
          <w:lang w:val="en-US"/>
        </w:rPr>
      </w:pPr>
      <w:r w:rsidRPr="004A61FC">
        <w:rPr>
          <w:lang w:val="en-US"/>
        </w:rPr>
        <w:t>4. Endoscopic Classification Review Group</w:t>
      </w:r>
      <w:r>
        <w:rPr>
          <w:lang w:val="en-US"/>
        </w:rPr>
        <w:t xml:space="preserve"> (2005)</w:t>
      </w:r>
      <w:r w:rsidRPr="004A61FC">
        <w:rPr>
          <w:lang w:val="en-US"/>
        </w:rPr>
        <w:t xml:space="preserve"> Update on the </w:t>
      </w:r>
      <w:proofErr w:type="spellStart"/>
      <w:r w:rsidRPr="004A61FC">
        <w:rPr>
          <w:lang w:val="en-US"/>
        </w:rPr>
        <w:t>paris</w:t>
      </w:r>
      <w:proofErr w:type="spellEnd"/>
      <w:r w:rsidRPr="004A61FC">
        <w:rPr>
          <w:lang w:val="en-US"/>
        </w:rPr>
        <w:t xml:space="preserve"> classification of superficial neoplastic lesions in the digestive tract: Update on the </w:t>
      </w:r>
      <w:proofErr w:type="spellStart"/>
      <w:r w:rsidRPr="004A61FC">
        <w:rPr>
          <w:lang w:val="en-US"/>
        </w:rPr>
        <w:t>paris</w:t>
      </w:r>
      <w:proofErr w:type="spellEnd"/>
      <w:r w:rsidRPr="004A61FC">
        <w:rPr>
          <w:lang w:val="en-US"/>
        </w:rPr>
        <w:t xml:space="preserve"> classification of superficial neoplastic lesions in the digestive tract. </w:t>
      </w:r>
      <w:r w:rsidRPr="000C6F54">
        <w:rPr>
          <w:lang w:val="en-US"/>
        </w:rPr>
        <w:t>Endoscopy 37(6):570–578.</w:t>
      </w:r>
    </w:p>
    <w:p w14:paraId="4C84F8EA" w14:textId="77777777" w:rsidR="007367D2" w:rsidRPr="000C6F54" w:rsidRDefault="007367D2" w:rsidP="000C7779">
      <w:pPr>
        <w:jc w:val="both"/>
        <w:rPr>
          <w:lang w:val="en-US"/>
        </w:rPr>
      </w:pPr>
      <w:r w:rsidRPr="004A61FC">
        <w:rPr>
          <w:lang w:val="en-US"/>
        </w:rPr>
        <w:t>5. Participants in the Paris Workshop</w:t>
      </w:r>
      <w:r>
        <w:rPr>
          <w:lang w:val="en-US"/>
        </w:rPr>
        <w:t xml:space="preserve"> (2003)</w:t>
      </w:r>
      <w:r w:rsidRPr="004A61FC">
        <w:rPr>
          <w:lang w:val="en-US"/>
        </w:rPr>
        <w:t xml:space="preserve"> The Paris endoscopic classification of superficial neoplastic lesions: esophagus, stomach, and colon: November 30 to December 1, 2002.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 58(6 Suppl):S3–S43.</w:t>
      </w:r>
    </w:p>
    <w:p w14:paraId="244E1116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6. </w:t>
      </w:r>
      <w:proofErr w:type="spellStart"/>
      <w:r w:rsidRPr="000C6F54">
        <w:rPr>
          <w:lang w:val="en-US"/>
        </w:rPr>
        <w:t>Katada</w:t>
      </w:r>
      <w:proofErr w:type="spellEnd"/>
      <w:r w:rsidRPr="000C6F54">
        <w:rPr>
          <w:lang w:val="en-US"/>
        </w:rPr>
        <w:t xml:space="preserve"> C, Muto M, Manabe T, et al. (2003) Esophageal stenosis after endoscopic mucosal resection of superficial esophageal lesions.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57:165–169.</w:t>
      </w:r>
    </w:p>
    <w:p w14:paraId="61F237EE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7. </w:t>
      </w:r>
      <w:proofErr w:type="spellStart"/>
      <w:r w:rsidRPr="000C6F54">
        <w:rPr>
          <w:lang w:val="en-US"/>
        </w:rPr>
        <w:t>Chennat</w:t>
      </w:r>
      <w:proofErr w:type="spellEnd"/>
      <w:r w:rsidRPr="000C6F54">
        <w:rPr>
          <w:lang w:val="en-US"/>
        </w:rPr>
        <w:t xml:space="preserve"> J, Konda VJ, Ross AS, et al. (2009) Complete Barrett’s eradication endoscopic mucosal resection: an effective treatment modality for high-grade dysplasia and intramucosal carcinoma-an American single-center experience. Am J Gastroenterol 104:2684–2692.</w:t>
      </w:r>
    </w:p>
    <w:p w14:paraId="2458957B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8. Repici A, Hassan C, Carlino A, et al. (2010) Endoscopic submucosal dissection in patients with early esophageal squamous cell carcinoma: result from a prospective western series.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71:715–721.</w:t>
      </w:r>
    </w:p>
    <w:p w14:paraId="756B585C" w14:textId="77777777" w:rsidR="007367D2" w:rsidRPr="000C6F54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9. Neuhaus H (2009) Endoscopic submucosal dissection in the upper gastrointestinal tract: present and future view of Europe. Dig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21:S4–S6.</w:t>
      </w:r>
    </w:p>
    <w:p w14:paraId="3229C8F8" w14:textId="77777777" w:rsidR="007367D2" w:rsidRPr="002723AD" w:rsidRDefault="007367D2" w:rsidP="000C7779">
      <w:pPr>
        <w:jc w:val="both"/>
      </w:pPr>
      <w:r w:rsidRPr="000C6F54">
        <w:rPr>
          <w:lang w:val="en-US"/>
        </w:rPr>
        <w:t xml:space="preserve">10. Mori H, Rafiq K, Kobara H, Fujihara S, Nishiyama N, </w:t>
      </w:r>
      <w:proofErr w:type="spellStart"/>
      <w:r w:rsidRPr="000C6F54">
        <w:rPr>
          <w:lang w:val="en-US"/>
        </w:rPr>
        <w:t>Oryuu</w:t>
      </w:r>
      <w:proofErr w:type="spellEnd"/>
      <w:r w:rsidRPr="000C6F54">
        <w:rPr>
          <w:lang w:val="en-US"/>
        </w:rPr>
        <w:t xml:space="preserve"> M, Suzuki Y, Masaki  T (2013) Steroid permeation into the artificial ulcer by combined steroid gel application and balloon dilatation: prevention of esophageal stricture. </w:t>
      </w:r>
      <w:r w:rsidRPr="002723AD">
        <w:t xml:space="preserve">J </w:t>
      </w:r>
      <w:proofErr w:type="spellStart"/>
      <w:r w:rsidRPr="002723AD">
        <w:t>Gastroenterol</w:t>
      </w:r>
      <w:proofErr w:type="spellEnd"/>
      <w:r w:rsidRPr="002723AD">
        <w:t xml:space="preserve"> </w:t>
      </w:r>
      <w:proofErr w:type="spellStart"/>
      <w:r w:rsidRPr="002723AD">
        <w:t>Hepatol</w:t>
      </w:r>
      <w:proofErr w:type="spellEnd"/>
      <w:r w:rsidRPr="002723AD">
        <w:t xml:space="preserve"> 28(6):999-1003. </w:t>
      </w:r>
      <w:proofErr w:type="spellStart"/>
      <w:r w:rsidRPr="002723AD">
        <w:t>doi</w:t>
      </w:r>
      <w:proofErr w:type="spellEnd"/>
      <w:r w:rsidRPr="002723AD">
        <w:t xml:space="preserve">: 10.1111/jgh.12154. </w:t>
      </w:r>
      <w:proofErr w:type="spellStart"/>
      <w:r w:rsidRPr="002723AD">
        <w:t>PubMed</w:t>
      </w:r>
      <w:proofErr w:type="spellEnd"/>
      <w:r w:rsidRPr="002723AD">
        <w:t xml:space="preserve"> PMID: 23425051.</w:t>
      </w:r>
    </w:p>
    <w:p w14:paraId="080F9C34" w14:textId="77777777" w:rsidR="007367D2" w:rsidRPr="000C6F54" w:rsidRDefault="007367D2" w:rsidP="000C7779">
      <w:pPr>
        <w:jc w:val="both"/>
        <w:rPr>
          <w:lang w:val="en-US"/>
        </w:rPr>
      </w:pPr>
      <w:r w:rsidRPr="002723AD">
        <w:t xml:space="preserve">11. </w:t>
      </w:r>
      <w:proofErr w:type="spellStart"/>
      <w:r w:rsidRPr="002723AD">
        <w:t>Katada</w:t>
      </w:r>
      <w:proofErr w:type="spellEnd"/>
      <w:r w:rsidRPr="002723AD">
        <w:t xml:space="preserve"> C, Muto M, </w:t>
      </w:r>
      <w:proofErr w:type="spellStart"/>
      <w:r w:rsidRPr="002723AD">
        <w:t>Manabe</w:t>
      </w:r>
      <w:proofErr w:type="spellEnd"/>
      <w:r w:rsidRPr="002723AD">
        <w:t xml:space="preserve"> T, et al. </w:t>
      </w:r>
      <w:r w:rsidRPr="000C6F54">
        <w:rPr>
          <w:lang w:val="en-US"/>
        </w:rPr>
        <w:t xml:space="preserve">(2003) Esophageal stenosis after endoscopic mucosal resection of superficial esophageal lesions.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57:165–169</w:t>
      </w:r>
    </w:p>
    <w:p w14:paraId="59E81CA7" w14:textId="77777777" w:rsidR="007367D2" w:rsidRPr="002723AD" w:rsidRDefault="007367D2" w:rsidP="000C7779">
      <w:pPr>
        <w:jc w:val="both"/>
      </w:pPr>
      <w:r w:rsidRPr="000C6F54">
        <w:rPr>
          <w:lang w:val="en-US"/>
        </w:rPr>
        <w:t xml:space="preserve">12. Ono S, </w:t>
      </w:r>
      <w:proofErr w:type="spellStart"/>
      <w:r w:rsidRPr="000C6F54">
        <w:rPr>
          <w:lang w:val="en-US"/>
        </w:rPr>
        <w:t>Fujishiro</w:t>
      </w:r>
      <w:proofErr w:type="spellEnd"/>
      <w:r w:rsidRPr="000C6F54">
        <w:rPr>
          <w:lang w:val="en-US"/>
        </w:rPr>
        <w:t xml:space="preserve"> M, Niimi K, et al. (2009) Long-term outcomes of endoscopic submucosal dissection for superficial esophageal squamous cell neoplasms. </w:t>
      </w:r>
      <w:proofErr w:type="spellStart"/>
      <w:r w:rsidRPr="002723AD">
        <w:t>Gastrointest</w:t>
      </w:r>
      <w:proofErr w:type="spellEnd"/>
      <w:r w:rsidRPr="002723AD">
        <w:t xml:space="preserve"> </w:t>
      </w:r>
      <w:proofErr w:type="spellStart"/>
      <w:r w:rsidRPr="002723AD">
        <w:t>Endosc</w:t>
      </w:r>
      <w:proofErr w:type="spellEnd"/>
      <w:r w:rsidRPr="002723AD">
        <w:t xml:space="preserve"> 70: 860–866</w:t>
      </w:r>
    </w:p>
    <w:p w14:paraId="38A0217D" w14:textId="77777777" w:rsidR="007367D2" w:rsidRPr="000C6F54" w:rsidRDefault="007367D2" w:rsidP="000C7779">
      <w:pPr>
        <w:jc w:val="both"/>
        <w:rPr>
          <w:lang w:val="en-US"/>
        </w:rPr>
      </w:pPr>
      <w:r w:rsidRPr="002723AD">
        <w:lastRenderedPageBreak/>
        <w:t xml:space="preserve">13. </w:t>
      </w:r>
      <w:proofErr w:type="spellStart"/>
      <w:r w:rsidRPr="002723AD">
        <w:t>Isomoto</w:t>
      </w:r>
      <w:proofErr w:type="spellEnd"/>
      <w:r w:rsidRPr="002723AD">
        <w:t xml:space="preserve"> H, Yamaguchi N, Nakayama T, et al. </w:t>
      </w:r>
      <w:r w:rsidRPr="000C6F54">
        <w:rPr>
          <w:lang w:val="en-US"/>
        </w:rPr>
        <w:t>(2011) Management of esophageal stricture after complete circular endoscopic submucosal dissection for superficial esophageal squamous cell carcinoma. BMC Gastroenterol11:46</w:t>
      </w:r>
    </w:p>
    <w:p w14:paraId="723184AF" w14:textId="77777777" w:rsidR="007367D2" w:rsidRDefault="007367D2" w:rsidP="000C7779">
      <w:pPr>
        <w:jc w:val="both"/>
        <w:rPr>
          <w:lang w:val="en-US"/>
        </w:rPr>
      </w:pPr>
      <w:r w:rsidRPr="000C6F54">
        <w:rPr>
          <w:lang w:val="en-US"/>
        </w:rPr>
        <w:t xml:space="preserve">14. van </w:t>
      </w:r>
      <w:proofErr w:type="spellStart"/>
      <w:r w:rsidRPr="000C6F54">
        <w:rPr>
          <w:lang w:val="en-US"/>
        </w:rPr>
        <w:t>Vilsteren</w:t>
      </w:r>
      <w:proofErr w:type="spellEnd"/>
      <w:r w:rsidRPr="000C6F54">
        <w:rPr>
          <w:lang w:val="en-US"/>
        </w:rPr>
        <w:t xml:space="preserve"> FG, Pouw RE, Seewald S, et al. (2011) Stepwise radical endoscopic resection versus radiofrequency ablation for Barrett’s </w:t>
      </w:r>
      <w:proofErr w:type="spellStart"/>
      <w:r w:rsidRPr="000C6F54">
        <w:rPr>
          <w:lang w:val="en-US"/>
        </w:rPr>
        <w:t>oesophagus</w:t>
      </w:r>
      <w:proofErr w:type="spellEnd"/>
      <w:r w:rsidRPr="000C6F54">
        <w:rPr>
          <w:lang w:val="en-US"/>
        </w:rPr>
        <w:t xml:space="preserve"> with high-grade dysplasia or early cancer: a </w:t>
      </w:r>
      <w:proofErr w:type="spellStart"/>
      <w:r w:rsidRPr="000C6F54">
        <w:rPr>
          <w:lang w:val="en-US"/>
        </w:rPr>
        <w:t>multicentre</w:t>
      </w:r>
      <w:proofErr w:type="spellEnd"/>
      <w:r w:rsidRPr="000C6F54">
        <w:rPr>
          <w:lang w:val="en-US"/>
        </w:rPr>
        <w:t xml:space="preserve"> randomized trial. Gut 60:765–773.</w:t>
      </w:r>
    </w:p>
    <w:p w14:paraId="70BC2A54" w14:textId="77777777" w:rsidR="007367D2" w:rsidRDefault="007367D2" w:rsidP="000C7779">
      <w:pPr>
        <w:jc w:val="both"/>
        <w:rPr>
          <w:lang w:val="en-US"/>
        </w:rPr>
      </w:pPr>
      <w:r>
        <w:rPr>
          <w:lang w:val="en-US"/>
        </w:rPr>
        <w:t>15</w:t>
      </w:r>
      <w:r w:rsidRPr="00536E74">
        <w:rPr>
          <w:lang w:val="en-US"/>
        </w:rPr>
        <w:t>. Wang C, Lu X, Chen P</w:t>
      </w:r>
      <w:r>
        <w:rPr>
          <w:lang w:val="en-US"/>
        </w:rPr>
        <w:t xml:space="preserve"> (2013)</w:t>
      </w:r>
      <w:r w:rsidRPr="00536E74">
        <w:rPr>
          <w:lang w:val="en-US"/>
        </w:rPr>
        <w:t xml:space="preserve"> Clinical value of preventive balloon dilatation for esophageal stricture. </w:t>
      </w:r>
      <w:r w:rsidRPr="000C6F54">
        <w:rPr>
          <w:lang w:val="en-US"/>
        </w:rPr>
        <w:t xml:space="preserve">Exp Ther Med 5(1):292-294. </w:t>
      </w:r>
      <w:proofErr w:type="spellStart"/>
      <w:r w:rsidRPr="000C6F54">
        <w:rPr>
          <w:lang w:val="en-US"/>
        </w:rPr>
        <w:t>Epub</w:t>
      </w:r>
      <w:proofErr w:type="spellEnd"/>
      <w:r w:rsidRPr="000C6F54">
        <w:rPr>
          <w:lang w:val="en-US"/>
        </w:rPr>
        <w:t xml:space="preserve"> 2012 Oct 19. PubMed PMID: 23250491; PubMed Central PMCID: PMC3524279.</w:t>
      </w:r>
    </w:p>
    <w:p w14:paraId="7DB0C2FC" w14:textId="77777777" w:rsidR="007367D2" w:rsidRDefault="007367D2" w:rsidP="000C7779">
      <w:pPr>
        <w:jc w:val="both"/>
        <w:rPr>
          <w:lang w:val="en-US"/>
        </w:rPr>
      </w:pPr>
      <w:r w:rsidRPr="007367D2">
        <w:rPr>
          <w:lang w:val="en-US"/>
        </w:rPr>
        <w:t xml:space="preserve">16. Oliveira JF, Moura EG, Bernardo WM, Ide E, Cheng S, Sulbaran M, Santos CM, </w:t>
      </w:r>
      <w:r>
        <w:rPr>
          <w:lang w:val="en-US"/>
        </w:rPr>
        <w:t xml:space="preserve">Sakai P. Prevention of </w:t>
      </w:r>
      <w:r w:rsidRPr="007367D2">
        <w:rPr>
          <w:lang w:val="en-US"/>
        </w:rPr>
        <w:t>esophageal strict</w:t>
      </w:r>
      <w:r>
        <w:rPr>
          <w:lang w:val="en-US"/>
        </w:rPr>
        <w:t xml:space="preserve">ure after endoscopic submucosal </w:t>
      </w:r>
      <w:r w:rsidRPr="007367D2">
        <w:rPr>
          <w:lang w:val="en-US"/>
        </w:rPr>
        <w:t xml:space="preserve">dissection: a systematic review and meta-analysis. Surg </w:t>
      </w:r>
      <w:proofErr w:type="spellStart"/>
      <w:r w:rsidRPr="007367D2">
        <w:rPr>
          <w:lang w:val="en-US"/>
        </w:rPr>
        <w:t>Endosc</w:t>
      </w:r>
      <w:proofErr w:type="spellEnd"/>
      <w:r w:rsidRPr="007367D2">
        <w:rPr>
          <w:lang w:val="en-US"/>
        </w:rPr>
        <w:t>. 2015 Oc</w:t>
      </w:r>
      <w:r>
        <w:rPr>
          <w:lang w:val="en-US"/>
        </w:rPr>
        <w:t xml:space="preserve">t 20. </w:t>
      </w:r>
      <w:r w:rsidRPr="007367D2">
        <w:rPr>
          <w:lang w:val="en-US"/>
        </w:rPr>
        <w:t>[</w:t>
      </w:r>
      <w:proofErr w:type="spellStart"/>
      <w:r w:rsidRPr="007367D2">
        <w:rPr>
          <w:lang w:val="en-US"/>
        </w:rPr>
        <w:t>Epub</w:t>
      </w:r>
      <w:proofErr w:type="spellEnd"/>
      <w:r w:rsidRPr="007367D2">
        <w:rPr>
          <w:lang w:val="en-US"/>
        </w:rPr>
        <w:t xml:space="preserve"> ahead of print] PubMed PMID: 26487197.</w:t>
      </w:r>
    </w:p>
    <w:p w14:paraId="01354219" w14:textId="197ADEA1" w:rsidR="007367D2" w:rsidRPr="000C6F54" w:rsidRDefault="007367D2" w:rsidP="000C7779">
      <w:pPr>
        <w:jc w:val="both"/>
        <w:rPr>
          <w:lang w:val="en-US"/>
        </w:rPr>
      </w:pPr>
      <w:r w:rsidRPr="00E96E3E">
        <w:rPr>
          <w:lang w:val="en-US"/>
        </w:rPr>
        <w:t xml:space="preserve">17. Yamaguchi N, </w:t>
      </w:r>
      <w:proofErr w:type="spellStart"/>
      <w:r w:rsidRPr="00E96E3E">
        <w:rPr>
          <w:lang w:val="en-US"/>
        </w:rPr>
        <w:t>Isomoto</w:t>
      </w:r>
      <w:proofErr w:type="spellEnd"/>
      <w:r w:rsidRPr="00E96E3E">
        <w:rPr>
          <w:lang w:val="en-US"/>
        </w:rPr>
        <w:t xml:space="preserve"> H, Nakayama T, et al. </w:t>
      </w:r>
      <w:r w:rsidR="00510280">
        <w:rPr>
          <w:lang w:val="en-US"/>
        </w:rPr>
        <w:t>(2011) Usefulness of oral pred</w:t>
      </w:r>
      <w:r w:rsidRPr="000C6F54">
        <w:rPr>
          <w:lang w:val="en-US"/>
        </w:rPr>
        <w:t xml:space="preserve">nisolone in the treatment of esophageal stricture after endoscopic submucosal dissection for superficial esophageal squamous cell carcinoma.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73: 1115–1121.</w:t>
      </w:r>
    </w:p>
    <w:p w14:paraId="733578FE" w14:textId="77777777" w:rsidR="007367D2" w:rsidRPr="000C6F54" w:rsidRDefault="007367D2" w:rsidP="000C7779">
      <w:pPr>
        <w:jc w:val="both"/>
        <w:rPr>
          <w:lang w:val="en-US"/>
        </w:rPr>
      </w:pPr>
      <w:r>
        <w:rPr>
          <w:lang w:val="en-US"/>
        </w:rPr>
        <w:t>18</w:t>
      </w:r>
      <w:r w:rsidRPr="006873EA">
        <w:rPr>
          <w:lang w:val="en-US"/>
        </w:rPr>
        <w:t>. Hashimoto S, Kobayashi M, Takeuchi M, Sato Y, Narisawa R, Aoyagi Y</w:t>
      </w:r>
      <w:r>
        <w:rPr>
          <w:lang w:val="en-US"/>
        </w:rPr>
        <w:t xml:space="preserve"> (2011)</w:t>
      </w:r>
      <w:r w:rsidRPr="006873EA">
        <w:rPr>
          <w:lang w:val="en-US"/>
        </w:rPr>
        <w:t xml:space="preserve"> The efficacy of endoscopic triamcinolone injection fo</w:t>
      </w:r>
      <w:r w:rsidRPr="00864C73">
        <w:rPr>
          <w:lang w:val="en-US"/>
        </w:rPr>
        <w:t xml:space="preserve">r the prevention of esophageal stricture after endoscopic submucosal dissection. </w:t>
      </w:r>
      <w:proofErr w:type="spellStart"/>
      <w:r w:rsidRPr="000C6F54">
        <w:rPr>
          <w:lang w:val="en-US"/>
        </w:rPr>
        <w:t>Gastrointest</w:t>
      </w:r>
      <w:proofErr w:type="spellEnd"/>
      <w:r w:rsidRPr="000C6F54">
        <w:rPr>
          <w:lang w:val="en-US"/>
        </w:rPr>
        <w:t xml:space="preserve"> </w:t>
      </w:r>
      <w:proofErr w:type="spellStart"/>
      <w:r w:rsidRPr="000C6F54">
        <w:rPr>
          <w:lang w:val="en-US"/>
        </w:rPr>
        <w:t>Endosc</w:t>
      </w:r>
      <w:proofErr w:type="spellEnd"/>
      <w:r w:rsidRPr="000C6F54">
        <w:rPr>
          <w:lang w:val="en-US"/>
        </w:rPr>
        <w:t xml:space="preserve"> 74(6):1389-93. </w:t>
      </w:r>
      <w:proofErr w:type="spellStart"/>
      <w:r w:rsidRPr="000C6F54">
        <w:rPr>
          <w:lang w:val="en-US"/>
        </w:rPr>
        <w:t>doi</w:t>
      </w:r>
      <w:proofErr w:type="spellEnd"/>
      <w:r w:rsidRPr="000C6F54">
        <w:rPr>
          <w:lang w:val="en-US"/>
        </w:rPr>
        <w:t>: 10.1016/j.gie.2011.07.070. PubMed PMID: 22136782.</w:t>
      </w:r>
    </w:p>
    <w:p w14:paraId="656FA627" w14:textId="77777777" w:rsidR="007367D2" w:rsidRPr="007367D2" w:rsidRDefault="007367D2" w:rsidP="000C7779">
      <w:pPr>
        <w:jc w:val="both"/>
        <w:rPr>
          <w:lang w:val="en-US" w:eastAsia="pt-BR"/>
        </w:rPr>
      </w:pPr>
      <w:r w:rsidRPr="00E96E3E">
        <w:rPr>
          <w:lang w:val="en-US" w:eastAsia="pt-BR"/>
        </w:rPr>
        <w:t xml:space="preserve">19. Miyashita M, Onda M, Okawa K </w:t>
      </w:r>
      <w:r w:rsidRPr="00E96E3E">
        <w:rPr>
          <w:rFonts w:cs="AngsanaUPC"/>
          <w:i/>
          <w:iCs/>
          <w:lang w:val="en-US" w:eastAsia="pt-BR"/>
        </w:rPr>
        <w:t>et al</w:t>
      </w:r>
      <w:r w:rsidRPr="00E96E3E">
        <w:rPr>
          <w:lang w:val="en-US" w:eastAsia="pt-BR"/>
        </w:rPr>
        <w:t xml:space="preserve">. </w:t>
      </w:r>
      <w:r w:rsidRPr="007367D2">
        <w:rPr>
          <w:lang w:val="en-US" w:eastAsia="pt-BR"/>
        </w:rPr>
        <w:t xml:space="preserve">Endoscopic dexamethasone injection following balloon dilatation of anastomotic stricture after esophagogastrostomy. </w:t>
      </w:r>
      <w:r w:rsidRPr="007367D2">
        <w:rPr>
          <w:rFonts w:cs="AngsanaUPC"/>
          <w:i/>
          <w:iCs/>
          <w:lang w:val="en-US" w:eastAsia="pt-BR"/>
        </w:rPr>
        <w:t xml:space="preserve">Am. J. Surg. </w:t>
      </w:r>
      <w:r w:rsidRPr="007367D2">
        <w:rPr>
          <w:lang w:val="en-US" w:eastAsia="pt-BR"/>
        </w:rPr>
        <w:t xml:space="preserve">1997; </w:t>
      </w:r>
      <w:r w:rsidRPr="007367D2">
        <w:rPr>
          <w:rFonts w:cs="KodchiangUPC"/>
          <w:b/>
          <w:bCs/>
          <w:lang w:val="en-US" w:eastAsia="pt-BR"/>
        </w:rPr>
        <w:t>174</w:t>
      </w:r>
      <w:r w:rsidRPr="007367D2">
        <w:rPr>
          <w:lang w:val="en-US" w:eastAsia="pt-BR"/>
        </w:rPr>
        <w:t>: 442–4.</w:t>
      </w:r>
    </w:p>
    <w:p w14:paraId="0746118B" w14:textId="77777777" w:rsidR="007367D2" w:rsidRPr="007367D2" w:rsidRDefault="007367D2" w:rsidP="000C7779">
      <w:pPr>
        <w:jc w:val="both"/>
        <w:rPr>
          <w:lang w:val="en-US" w:eastAsia="pt-BR"/>
        </w:rPr>
      </w:pPr>
      <w:r w:rsidRPr="007367D2">
        <w:rPr>
          <w:lang w:val="en-US" w:eastAsia="pt-BR"/>
        </w:rPr>
        <w:t xml:space="preserve">20. Werner S, Grose R. Regulation of wound healing by growth factors and cytokines. </w:t>
      </w:r>
      <w:r w:rsidRPr="007367D2">
        <w:rPr>
          <w:rFonts w:cs="AngsanaUPC"/>
          <w:i/>
          <w:iCs/>
          <w:lang w:val="en-US" w:eastAsia="pt-BR"/>
        </w:rPr>
        <w:t xml:space="preserve">Physiol. Rev. </w:t>
      </w:r>
      <w:r w:rsidRPr="007367D2">
        <w:rPr>
          <w:lang w:val="en-US" w:eastAsia="pt-BR"/>
        </w:rPr>
        <w:t xml:space="preserve">2003; </w:t>
      </w:r>
      <w:r w:rsidRPr="007367D2">
        <w:rPr>
          <w:rFonts w:cs="KodchiangUPC"/>
          <w:bCs/>
          <w:lang w:val="en-US" w:eastAsia="pt-BR"/>
        </w:rPr>
        <w:t>83</w:t>
      </w:r>
      <w:r w:rsidRPr="007367D2">
        <w:rPr>
          <w:lang w:val="en-US" w:eastAsia="pt-BR"/>
        </w:rPr>
        <w:t>: 835–70.</w:t>
      </w:r>
    </w:p>
    <w:p w14:paraId="261BC023" w14:textId="77777777" w:rsidR="007367D2" w:rsidRPr="00E96E3E" w:rsidRDefault="007367D2" w:rsidP="000C7779">
      <w:pPr>
        <w:jc w:val="both"/>
        <w:rPr>
          <w:rFonts w:eastAsia="Yu Gothic" w:cs="Yu Gothic"/>
          <w:lang w:val="en-US" w:eastAsia="pt-BR"/>
        </w:rPr>
      </w:pPr>
      <w:r w:rsidRPr="00E96E3E">
        <w:rPr>
          <w:rFonts w:eastAsia="Yu Gothic" w:cs="Yu Gothic"/>
          <w:lang w:val="en-US" w:eastAsia="pt-BR"/>
        </w:rPr>
        <w:t xml:space="preserve">21. Kochhar R, </w:t>
      </w:r>
      <w:proofErr w:type="spellStart"/>
      <w:r w:rsidRPr="00E96E3E">
        <w:rPr>
          <w:rFonts w:eastAsia="Yu Gothic" w:cs="Yu Gothic"/>
          <w:lang w:val="en-US" w:eastAsia="pt-BR"/>
        </w:rPr>
        <w:t>Makharia</w:t>
      </w:r>
      <w:proofErr w:type="spellEnd"/>
      <w:r w:rsidRPr="00E96E3E">
        <w:rPr>
          <w:rFonts w:eastAsia="Yu Gothic" w:cs="Yu Gothic"/>
          <w:lang w:val="en-US" w:eastAsia="pt-BR"/>
        </w:rPr>
        <w:t xml:space="preserve"> GK. Usefulness of intralesional triamcinolone in treatment of benign esophageal strictures. </w:t>
      </w:r>
      <w:proofErr w:type="spellStart"/>
      <w:r w:rsidRPr="00E96E3E">
        <w:rPr>
          <w:rFonts w:eastAsia="Yu Gothic" w:cs="Yu Gothic"/>
          <w:lang w:val="en-US" w:eastAsia="pt-BR"/>
        </w:rPr>
        <w:t>Gastrointest</w:t>
      </w:r>
      <w:proofErr w:type="spellEnd"/>
      <w:r w:rsidRPr="00E96E3E">
        <w:rPr>
          <w:rFonts w:eastAsia="Yu Gothic" w:cs="Yu Gothic"/>
          <w:lang w:val="en-US" w:eastAsia="pt-BR"/>
        </w:rPr>
        <w:t xml:space="preserve"> </w:t>
      </w:r>
      <w:proofErr w:type="spellStart"/>
      <w:r w:rsidRPr="00E96E3E">
        <w:rPr>
          <w:rFonts w:eastAsia="Yu Gothic" w:cs="Yu Gothic"/>
          <w:lang w:val="en-US" w:eastAsia="pt-BR"/>
        </w:rPr>
        <w:t>Endosc</w:t>
      </w:r>
      <w:proofErr w:type="spellEnd"/>
      <w:r w:rsidRPr="00E96E3E">
        <w:rPr>
          <w:rFonts w:eastAsia="Yu Gothic" w:cs="Yu Gothic"/>
          <w:lang w:val="en-US" w:eastAsia="pt-BR"/>
        </w:rPr>
        <w:t xml:space="preserve"> 2002; 56:829-34.</w:t>
      </w:r>
    </w:p>
    <w:p w14:paraId="260D51DC" w14:textId="77777777" w:rsidR="00A73243" w:rsidRPr="00E96E3E" w:rsidRDefault="00A73243" w:rsidP="000C7779">
      <w:pPr>
        <w:jc w:val="both"/>
        <w:rPr>
          <w:lang w:val="en-US"/>
        </w:rPr>
      </w:pPr>
      <w:r w:rsidRPr="00E96E3E">
        <w:rPr>
          <w:rFonts w:eastAsia="Yu Gothic" w:cs="Yu Gothic"/>
          <w:lang w:val="en-US" w:eastAsia="pt-BR"/>
        </w:rPr>
        <w:t xml:space="preserve">22. </w:t>
      </w:r>
      <w:r w:rsidRPr="00E96E3E">
        <w:rPr>
          <w:lang w:val="en-US"/>
        </w:rPr>
        <w:t xml:space="preserve">Sato H, Inoue H, Kobayashi Y, Maselli R, Santi EG, Hayee B, Igarashi K, Yoshida A, Ikeda H, </w:t>
      </w:r>
      <w:proofErr w:type="spellStart"/>
      <w:r w:rsidRPr="00E96E3E">
        <w:rPr>
          <w:lang w:val="en-US"/>
        </w:rPr>
        <w:t>Onimaru</w:t>
      </w:r>
      <w:proofErr w:type="spellEnd"/>
      <w:r w:rsidRPr="00E96E3E">
        <w:rPr>
          <w:lang w:val="en-US"/>
        </w:rPr>
        <w:t xml:space="preserve"> M, Aoyagi Y, Kudo SE (2013) Control of severe strictures after circumferential endoscopic submucosal dissection for esophageal carcinoma:  oral steroid therapy with balloon dilation or balloon dilation alone. </w:t>
      </w:r>
      <w:proofErr w:type="spellStart"/>
      <w:r w:rsidRPr="00E96E3E">
        <w:rPr>
          <w:lang w:val="en-US"/>
        </w:rPr>
        <w:t>Gastrointest</w:t>
      </w:r>
      <w:proofErr w:type="spellEnd"/>
      <w:r w:rsidRPr="00E96E3E">
        <w:rPr>
          <w:lang w:val="en-US"/>
        </w:rPr>
        <w:t xml:space="preserve"> </w:t>
      </w:r>
      <w:proofErr w:type="spellStart"/>
      <w:r w:rsidRPr="00E96E3E">
        <w:rPr>
          <w:lang w:val="en-US"/>
        </w:rPr>
        <w:t>Endosc</w:t>
      </w:r>
      <w:proofErr w:type="spellEnd"/>
      <w:r w:rsidRPr="00E96E3E">
        <w:rPr>
          <w:lang w:val="en-US"/>
        </w:rPr>
        <w:t xml:space="preserve"> 78(2):250-7. </w:t>
      </w:r>
      <w:proofErr w:type="spellStart"/>
      <w:r w:rsidRPr="00E96E3E">
        <w:rPr>
          <w:lang w:val="en-US"/>
        </w:rPr>
        <w:t>doi</w:t>
      </w:r>
      <w:proofErr w:type="spellEnd"/>
      <w:r w:rsidRPr="00E96E3E">
        <w:rPr>
          <w:lang w:val="en-US"/>
        </w:rPr>
        <w:t xml:space="preserve">: 10.1016/j.gie.2013.01.008. </w:t>
      </w:r>
      <w:proofErr w:type="spellStart"/>
      <w:r w:rsidRPr="00E96E3E">
        <w:rPr>
          <w:lang w:val="en-US"/>
        </w:rPr>
        <w:t>Epub</w:t>
      </w:r>
      <w:proofErr w:type="spellEnd"/>
      <w:r w:rsidRPr="00E96E3E">
        <w:rPr>
          <w:lang w:val="en-US"/>
        </w:rPr>
        <w:t xml:space="preserve"> 2013 Feb 27. PubMed PMID: 23453294.</w:t>
      </w:r>
    </w:p>
    <w:p w14:paraId="40663030" w14:textId="680A3BD6" w:rsidR="00A73243" w:rsidRDefault="00A73243" w:rsidP="000C7779">
      <w:pPr>
        <w:jc w:val="both"/>
        <w:rPr>
          <w:lang w:val="en-US"/>
        </w:rPr>
      </w:pPr>
      <w:r w:rsidRPr="00D77860">
        <w:rPr>
          <w:lang w:val="en-US"/>
        </w:rPr>
        <w:t>23.</w:t>
      </w:r>
      <w:r w:rsidRPr="00E96E3E">
        <w:rPr>
          <w:lang w:val="en-US"/>
        </w:rPr>
        <w:t xml:space="preserve"> Takahashi H, Arimura Y, </w:t>
      </w:r>
      <w:proofErr w:type="spellStart"/>
      <w:r w:rsidRPr="00E96E3E">
        <w:rPr>
          <w:lang w:val="en-US"/>
        </w:rPr>
        <w:t>Okahara</w:t>
      </w:r>
      <w:proofErr w:type="spellEnd"/>
      <w:r w:rsidRPr="00E96E3E">
        <w:rPr>
          <w:lang w:val="en-US"/>
        </w:rPr>
        <w:t xml:space="preserve"> S, Kodaira J, </w:t>
      </w:r>
      <w:proofErr w:type="spellStart"/>
      <w:r w:rsidRPr="00E96E3E">
        <w:rPr>
          <w:lang w:val="en-US"/>
        </w:rPr>
        <w:t>Hokari</w:t>
      </w:r>
      <w:proofErr w:type="spellEnd"/>
      <w:r w:rsidRPr="00E96E3E">
        <w:rPr>
          <w:lang w:val="en-US"/>
        </w:rPr>
        <w:t xml:space="preserve"> K, </w:t>
      </w:r>
      <w:proofErr w:type="spellStart"/>
      <w:r w:rsidRPr="00E96E3E">
        <w:rPr>
          <w:lang w:val="en-US"/>
        </w:rPr>
        <w:t>Tsukagoshi</w:t>
      </w:r>
      <w:proofErr w:type="spellEnd"/>
      <w:r w:rsidRPr="00E96E3E">
        <w:rPr>
          <w:lang w:val="en-US"/>
        </w:rPr>
        <w:t xml:space="preserve"> H, </w:t>
      </w:r>
      <w:proofErr w:type="spellStart"/>
      <w:r w:rsidRPr="00E96E3E">
        <w:rPr>
          <w:lang w:val="en-US"/>
        </w:rPr>
        <w:t>Shinomura</w:t>
      </w:r>
      <w:proofErr w:type="spellEnd"/>
      <w:r w:rsidRPr="00E96E3E">
        <w:rPr>
          <w:lang w:val="en-US"/>
        </w:rPr>
        <w:t xml:space="preserve"> Y, Hosokawa M (2015) A randomized controlled trial of endoscopic steroid injection for prophylaxis of esophageal stenoses after extensive endoscopic submucosal dissection. BMC Gastroenterol 15(1):1. [</w:t>
      </w:r>
      <w:proofErr w:type="spellStart"/>
      <w:r w:rsidRPr="00E96E3E">
        <w:rPr>
          <w:lang w:val="en-US"/>
        </w:rPr>
        <w:t>Epub</w:t>
      </w:r>
      <w:proofErr w:type="spellEnd"/>
      <w:r w:rsidRPr="00E96E3E">
        <w:rPr>
          <w:lang w:val="en-US"/>
        </w:rPr>
        <w:t xml:space="preserve"> ahead of print] PubMed PMID: 25609176; PubMed Central PMCID: PMC4308850.</w:t>
      </w:r>
    </w:p>
    <w:p w14:paraId="0B4E22DF" w14:textId="761F84A4" w:rsidR="00763E43" w:rsidRPr="00CA077D" w:rsidRDefault="00763E43" w:rsidP="000C7779">
      <w:pPr>
        <w:jc w:val="both"/>
        <w:rPr>
          <w:lang w:val="en-US"/>
        </w:rPr>
      </w:pPr>
      <w:r w:rsidRPr="001E525D">
        <w:rPr>
          <w:lang w:val="en-US"/>
        </w:rPr>
        <w:t>24. Park HC, Kim DH, Gong EJ, Na HK, Ahn JY, Lee JH, Jung KW, Choi KD, Song HJ, Lee GH, Jung HY, Kim JH. Ten-year experience of esophageal endoscopic submucosal  dissection of superficial esophageal neoplasms in a single center. Korean J Intern Med. 2016 Nov;31(6):1064-1072. PubMed PMID: 27618866; PubMed Central PMCID: PMC5094928.</w:t>
      </w:r>
    </w:p>
    <w:p w14:paraId="11A6D2DD" w14:textId="77777777" w:rsidR="007367D2" w:rsidRPr="00D77860" w:rsidRDefault="007367D2" w:rsidP="000C7779">
      <w:pPr>
        <w:pStyle w:val="SemEspaamento"/>
        <w:jc w:val="both"/>
        <w:rPr>
          <w:sz w:val="20"/>
          <w:szCs w:val="20"/>
          <w:lang w:val="en-US"/>
        </w:rPr>
      </w:pPr>
    </w:p>
    <w:p w14:paraId="47F41B16" w14:textId="77777777" w:rsidR="007367D2" w:rsidRPr="00A73243" w:rsidRDefault="007367D2" w:rsidP="000C7779">
      <w:pPr>
        <w:pStyle w:val="SemEspaamento"/>
        <w:jc w:val="both"/>
        <w:rPr>
          <w:sz w:val="20"/>
          <w:szCs w:val="20"/>
          <w:lang w:val="en-US"/>
        </w:rPr>
      </w:pPr>
    </w:p>
    <w:p w14:paraId="7ABFFAAC" w14:textId="77777777" w:rsidR="00A26782" w:rsidRPr="00A73243" w:rsidRDefault="00A26782" w:rsidP="000C7779">
      <w:pPr>
        <w:jc w:val="both"/>
        <w:rPr>
          <w:u w:val="single"/>
          <w:lang w:val="en-US"/>
        </w:rPr>
      </w:pPr>
    </w:p>
    <w:p w14:paraId="320096F7" w14:textId="77777777" w:rsidR="00A26782" w:rsidRPr="00A73243" w:rsidRDefault="00A26782" w:rsidP="000C7779">
      <w:pPr>
        <w:jc w:val="both"/>
        <w:rPr>
          <w:u w:val="single"/>
          <w:lang w:val="en-US"/>
        </w:rPr>
      </w:pPr>
    </w:p>
    <w:p w14:paraId="5BAC4C95" w14:textId="77777777" w:rsidR="00A26782" w:rsidRPr="00A73243" w:rsidRDefault="00A26782" w:rsidP="000C7779">
      <w:pPr>
        <w:jc w:val="both"/>
        <w:rPr>
          <w:u w:val="single"/>
          <w:lang w:val="en-US"/>
        </w:rPr>
      </w:pPr>
    </w:p>
    <w:p w14:paraId="7C02DB93" w14:textId="77777777" w:rsidR="00A26782" w:rsidRPr="00A73243" w:rsidRDefault="00A26782">
      <w:pPr>
        <w:rPr>
          <w:u w:val="single"/>
          <w:lang w:val="en-US"/>
        </w:rPr>
      </w:pPr>
    </w:p>
    <w:sectPr w:rsidR="00A26782" w:rsidRPr="00A7324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D032" w14:textId="77777777" w:rsidR="004D19DF" w:rsidRDefault="004D19DF" w:rsidP="00D06592">
      <w:pPr>
        <w:spacing w:after="0" w:line="240" w:lineRule="auto"/>
      </w:pPr>
      <w:r>
        <w:separator/>
      </w:r>
    </w:p>
  </w:endnote>
  <w:endnote w:type="continuationSeparator" w:id="0">
    <w:p w14:paraId="6DCA76DE" w14:textId="77777777" w:rsidR="004D19DF" w:rsidRDefault="004D19DF" w:rsidP="00D0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KodchiangUPC">
    <w:charset w:val="00"/>
    <w:family w:val="roman"/>
    <w:pitch w:val="variable"/>
    <w:sig w:usb0="01000007" w:usb1="00000002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B5D11" w14:textId="4FCE7710" w:rsidR="00D06592" w:rsidRDefault="00D06592">
    <w:pPr>
      <w:pStyle w:val="Rodap"/>
    </w:pPr>
    <w:r>
      <w:rPr>
        <w:noProof/>
      </w:rPr>
      <w:t>Versão 2.0 de 19 de janeiro de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EBE8" w14:textId="77777777" w:rsidR="004D19DF" w:rsidRDefault="004D19DF" w:rsidP="00D06592">
      <w:pPr>
        <w:spacing w:after="0" w:line="240" w:lineRule="auto"/>
      </w:pPr>
      <w:r>
        <w:separator/>
      </w:r>
    </w:p>
  </w:footnote>
  <w:footnote w:type="continuationSeparator" w:id="0">
    <w:p w14:paraId="643CC484" w14:textId="77777777" w:rsidR="004D19DF" w:rsidRDefault="004D19DF" w:rsidP="00D0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266B"/>
    <w:multiLevelType w:val="hybridMultilevel"/>
    <w:tmpl w:val="FDE626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B3FA5"/>
    <w:multiLevelType w:val="hybridMultilevel"/>
    <w:tmpl w:val="C20E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F3997"/>
    <w:multiLevelType w:val="multilevel"/>
    <w:tmpl w:val="0AFEF1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6E4707"/>
    <w:multiLevelType w:val="hybridMultilevel"/>
    <w:tmpl w:val="30EC4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57E33"/>
    <w:multiLevelType w:val="hybridMultilevel"/>
    <w:tmpl w:val="3A3A53E4"/>
    <w:lvl w:ilvl="0" w:tplc="C804FBC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549A3"/>
    <w:multiLevelType w:val="multilevel"/>
    <w:tmpl w:val="0AFEF1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9772FF"/>
    <w:multiLevelType w:val="hybridMultilevel"/>
    <w:tmpl w:val="E2C0907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74D555E7"/>
    <w:multiLevelType w:val="hybridMultilevel"/>
    <w:tmpl w:val="7B14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092457">
    <w:abstractNumId w:val="0"/>
  </w:num>
  <w:num w:numId="2" w16cid:durableId="1737242753">
    <w:abstractNumId w:val="4"/>
  </w:num>
  <w:num w:numId="3" w16cid:durableId="276986984">
    <w:abstractNumId w:val="7"/>
  </w:num>
  <w:num w:numId="4" w16cid:durableId="762070078">
    <w:abstractNumId w:val="5"/>
  </w:num>
  <w:num w:numId="5" w16cid:durableId="1242836189">
    <w:abstractNumId w:val="2"/>
  </w:num>
  <w:num w:numId="6" w16cid:durableId="1983384931">
    <w:abstractNumId w:val="3"/>
  </w:num>
  <w:num w:numId="7" w16cid:durableId="1864857643">
    <w:abstractNumId w:val="6"/>
  </w:num>
  <w:num w:numId="8" w16cid:durableId="1417439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61"/>
    <w:rsid w:val="00046C09"/>
    <w:rsid w:val="00064D8F"/>
    <w:rsid w:val="00070B6E"/>
    <w:rsid w:val="00077E08"/>
    <w:rsid w:val="0008260A"/>
    <w:rsid w:val="000A76F9"/>
    <w:rsid w:val="000C7779"/>
    <w:rsid w:val="000E178F"/>
    <w:rsid w:val="00107150"/>
    <w:rsid w:val="00111BE3"/>
    <w:rsid w:val="001366FA"/>
    <w:rsid w:val="00142F19"/>
    <w:rsid w:val="00150FCB"/>
    <w:rsid w:val="00152ABE"/>
    <w:rsid w:val="00154CF3"/>
    <w:rsid w:val="0018084F"/>
    <w:rsid w:val="001937CA"/>
    <w:rsid w:val="00194DD0"/>
    <w:rsid w:val="001A00E2"/>
    <w:rsid w:val="001C0643"/>
    <w:rsid w:val="001E525D"/>
    <w:rsid w:val="001F2FE0"/>
    <w:rsid w:val="00201527"/>
    <w:rsid w:val="00212517"/>
    <w:rsid w:val="0022335E"/>
    <w:rsid w:val="00241729"/>
    <w:rsid w:val="002625F4"/>
    <w:rsid w:val="0027781C"/>
    <w:rsid w:val="002D2A3F"/>
    <w:rsid w:val="002E1572"/>
    <w:rsid w:val="002F201A"/>
    <w:rsid w:val="002F296A"/>
    <w:rsid w:val="003132BC"/>
    <w:rsid w:val="00334021"/>
    <w:rsid w:val="003344EF"/>
    <w:rsid w:val="003A0A31"/>
    <w:rsid w:val="003C13E0"/>
    <w:rsid w:val="003D752E"/>
    <w:rsid w:val="003E7A33"/>
    <w:rsid w:val="004503CB"/>
    <w:rsid w:val="00476209"/>
    <w:rsid w:val="00485E89"/>
    <w:rsid w:val="004D19DF"/>
    <w:rsid w:val="004E359B"/>
    <w:rsid w:val="00500B34"/>
    <w:rsid w:val="00504A94"/>
    <w:rsid w:val="00510280"/>
    <w:rsid w:val="00527B22"/>
    <w:rsid w:val="00543C8C"/>
    <w:rsid w:val="0058341E"/>
    <w:rsid w:val="00587EB3"/>
    <w:rsid w:val="00625341"/>
    <w:rsid w:val="006531DA"/>
    <w:rsid w:val="00687F61"/>
    <w:rsid w:val="00692E36"/>
    <w:rsid w:val="006978F4"/>
    <w:rsid w:val="006F22AB"/>
    <w:rsid w:val="00724FA9"/>
    <w:rsid w:val="007367D2"/>
    <w:rsid w:val="0074281D"/>
    <w:rsid w:val="00750F53"/>
    <w:rsid w:val="00763E43"/>
    <w:rsid w:val="007723AD"/>
    <w:rsid w:val="00776CFD"/>
    <w:rsid w:val="007A1D11"/>
    <w:rsid w:val="007A3717"/>
    <w:rsid w:val="007B780A"/>
    <w:rsid w:val="007E196D"/>
    <w:rsid w:val="007F237D"/>
    <w:rsid w:val="00813D50"/>
    <w:rsid w:val="0083238B"/>
    <w:rsid w:val="00860B9D"/>
    <w:rsid w:val="00871C9C"/>
    <w:rsid w:val="00935DF3"/>
    <w:rsid w:val="00947B55"/>
    <w:rsid w:val="009915E4"/>
    <w:rsid w:val="00997AD1"/>
    <w:rsid w:val="009A769C"/>
    <w:rsid w:val="009C3B68"/>
    <w:rsid w:val="009E39B9"/>
    <w:rsid w:val="009E47F6"/>
    <w:rsid w:val="009E577C"/>
    <w:rsid w:val="00A26782"/>
    <w:rsid w:val="00A312B3"/>
    <w:rsid w:val="00A73243"/>
    <w:rsid w:val="00AC7B75"/>
    <w:rsid w:val="00B25712"/>
    <w:rsid w:val="00B40B01"/>
    <w:rsid w:val="00B43184"/>
    <w:rsid w:val="00B43DDD"/>
    <w:rsid w:val="00B848F4"/>
    <w:rsid w:val="00BC3680"/>
    <w:rsid w:val="00BD6EAA"/>
    <w:rsid w:val="00C03C3D"/>
    <w:rsid w:val="00C17315"/>
    <w:rsid w:val="00C20B7F"/>
    <w:rsid w:val="00C3192C"/>
    <w:rsid w:val="00C35FCE"/>
    <w:rsid w:val="00C549D3"/>
    <w:rsid w:val="00C614CB"/>
    <w:rsid w:val="00C80951"/>
    <w:rsid w:val="00CA077D"/>
    <w:rsid w:val="00CD3A5B"/>
    <w:rsid w:val="00D06592"/>
    <w:rsid w:val="00D23FC4"/>
    <w:rsid w:val="00D37D2A"/>
    <w:rsid w:val="00D438D5"/>
    <w:rsid w:val="00D73D4D"/>
    <w:rsid w:val="00D75089"/>
    <w:rsid w:val="00D77860"/>
    <w:rsid w:val="00DA052F"/>
    <w:rsid w:val="00DA6112"/>
    <w:rsid w:val="00DC14CA"/>
    <w:rsid w:val="00E03EED"/>
    <w:rsid w:val="00E557DD"/>
    <w:rsid w:val="00E7701D"/>
    <w:rsid w:val="00E848C0"/>
    <w:rsid w:val="00E96E3E"/>
    <w:rsid w:val="00F025E9"/>
    <w:rsid w:val="00FE7AFC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D7B1E"/>
  <w15:docId w15:val="{5C5673E6-9D3C-4BE9-A412-8C15CA3A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EAA"/>
  </w:style>
  <w:style w:type="paragraph" w:styleId="Ttulo3">
    <w:name w:val="heading 3"/>
    <w:basedOn w:val="Normal"/>
    <w:next w:val="Normal"/>
    <w:link w:val="Ttulo3Char"/>
    <w:uiPriority w:val="9"/>
    <w:qFormat/>
    <w:rsid w:val="00750F53"/>
    <w:pPr>
      <w:keepNext/>
      <w:keepLines/>
      <w:spacing w:before="200" w:after="0" w:line="360" w:lineRule="auto"/>
      <w:outlineLvl w:val="2"/>
    </w:pPr>
    <w:rPr>
      <w:rFonts w:ascii="Cambria" w:eastAsia="Times New Roman" w:hAnsi="Cambria" w:cs="Times New Roman"/>
      <w:b/>
      <w:bCs/>
      <w:color w:val="2626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11">
    <w:name w:val="Font Style11"/>
    <w:basedOn w:val="Fontepargpadro"/>
    <w:uiPriority w:val="99"/>
    <w:rsid w:val="00C03C3D"/>
    <w:rPr>
      <w:rFonts w:ascii="Book Antiqua" w:hAnsi="Book Antiqua" w:cs="Book Antiqua"/>
      <w:sz w:val="20"/>
      <w:szCs w:val="20"/>
    </w:rPr>
  </w:style>
  <w:style w:type="paragraph" w:customStyle="1" w:styleId="SemEspaamento1">
    <w:name w:val="Sem Espaçamento1"/>
    <w:uiPriority w:val="1"/>
    <w:qFormat/>
    <w:rsid w:val="00C03C3D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3C3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3C3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50F53"/>
    <w:pPr>
      <w:spacing w:line="36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750F53"/>
    <w:rPr>
      <w:rFonts w:ascii="Cambria" w:eastAsia="Times New Roman" w:hAnsi="Cambria" w:cs="Times New Roman"/>
      <w:b/>
      <w:bCs/>
      <w:color w:val="262626"/>
    </w:rPr>
  </w:style>
  <w:style w:type="character" w:customStyle="1" w:styleId="FontStyle12">
    <w:name w:val="Font Style12"/>
    <w:basedOn w:val="Fontepargpadro"/>
    <w:uiPriority w:val="99"/>
    <w:rsid w:val="00750F53"/>
    <w:rPr>
      <w:rFonts w:ascii="Book Antiqua" w:hAnsi="Book Antiqua" w:cs="Book Antiqua"/>
      <w:b/>
      <w:bCs/>
      <w:sz w:val="20"/>
      <w:szCs w:val="20"/>
    </w:rPr>
  </w:style>
  <w:style w:type="paragraph" w:customStyle="1" w:styleId="ListaColorida-nfase11">
    <w:name w:val="Lista Colorida - Ênfase 11"/>
    <w:basedOn w:val="Normal"/>
    <w:uiPriority w:val="34"/>
    <w:qFormat/>
    <w:rsid w:val="001366FA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Fontepargpadro"/>
    <w:rsid w:val="00B43DDD"/>
  </w:style>
  <w:style w:type="character" w:customStyle="1" w:styleId="element-citation">
    <w:name w:val="element-citation"/>
    <w:rsid w:val="007367D2"/>
  </w:style>
  <w:style w:type="character" w:customStyle="1" w:styleId="ref-journal">
    <w:name w:val="ref-journal"/>
    <w:rsid w:val="007367D2"/>
  </w:style>
  <w:style w:type="character" w:customStyle="1" w:styleId="ref-vol">
    <w:name w:val="ref-vol"/>
    <w:rsid w:val="007367D2"/>
  </w:style>
  <w:style w:type="character" w:styleId="Refdecomentrio">
    <w:name w:val="annotation reference"/>
    <w:basedOn w:val="Fontepargpadro"/>
    <w:uiPriority w:val="99"/>
    <w:semiHidden/>
    <w:unhideWhenUsed/>
    <w:rsid w:val="002015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15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15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15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1527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E848C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06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592"/>
  </w:style>
  <w:style w:type="paragraph" w:styleId="Rodap">
    <w:name w:val="footer"/>
    <w:basedOn w:val="Normal"/>
    <w:link w:val="RodapChar"/>
    <w:uiPriority w:val="99"/>
    <w:unhideWhenUsed/>
    <w:rsid w:val="00D06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7EEA3-68BC-445C-9B86-36384C24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2857</Words>
  <Characters>15433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Gabriel Silva dos Anjos</cp:lastModifiedBy>
  <cp:revision>3</cp:revision>
  <dcterms:created xsi:type="dcterms:W3CDTF">2023-08-02T14:33:00Z</dcterms:created>
  <dcterms:modified xsi:type="dcterms:W3CDTF">2023-10-26T01:17:00Z</dcterms:modified>
</cp:coreProperties>
</file>