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2E804" w14:textId="1F131733" w:rsidR="004A37CF" w:rsidRPr="00AD0EE2" w:rsidRDefault="00AD0EE2" w:rsidP="00693716">
      <w:pPr>
        <w:pStyle w:val="CorpoA"/>
        <w:jc w:val="both"/>
        <w:rPr>
          <w:rStyle w:val="Nenhum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EE2">
        <w:rPr>
          <w:rStyle w:val="Nenhum"/>
          <w:rFonts w:ascii="Times New Roman" w:hAnsi="Times New Roman" w:cs="Times New Roman"/>
          <w:b/>
          <w:bCs/>
          <w:i/>
          <w:iCs/>
          <w:sz w:val="24"/>
          <w:szCs w:val="24"/>
        </w:rPr>
        <w:t>STUDY DESIGN</w:t>
      </w:r>
    </w:p>
    <w:p w14:paraId="6407FF95" w14:textId="77777777" w:rsidR="003619C9" w:rsidRDefault="003619C9" w:rsidP="003619C9">
      <w:pPr>
        <w:pStyle w:val="CorpoA"/>
        <w:ind w:firstLine="708"/>
        <w:jc w:val="both"/>
        <w:rPr>
          <w:rStyle w:val="Nenhum"/>
          <w:rFonts w:ascii="Times New Roman" w:hAnsi="Times New Roman" w:cs="Times New Roman"/>
          <w:sz w:val="24"/>
          <w:szCs w:val="24"/>
        </w:rPr>
      </w:pP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This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is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a retrospective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study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that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analyzes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quality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indicators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endoscopy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unit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a Vila Nova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Star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Quaternary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Hospital – Rede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Do´r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(São Paulo,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Brazil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since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its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inauguration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(May 27, 2019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</w:rPr>
        <w:t>to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</w:rPr>
        <w:t xml:space="preserve"> April 30, 2023). </w:t>
      </w:r>
    </w:p>
    <w:p w14:paraId="601846FD" w14:textId="36F805EC" w:rsidR="004A37CF" w:rsidRDefault="003619C9" w:rsidP="003619C9">
      <w:pPr>
        <w:pStyle w:val="CorpoA"/>
        <w:ind w:firstLine="708"/>
        <w:jc w:val="both"/>
        <w:rPr>
          <w:rStyle w:val="Nenhum"/>
          <w:rFonts w:ascii="Times New Roman" w:hAnsi="Times New Roman" w:cs="Times New Roman"/>
          <w:sz w:val="24"/>
          <w:szCs w:val="24"/>
        </w:rPr>
      </w:pP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This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study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protocol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and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manuscript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preparation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were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carried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out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in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accordance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with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the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Strengthening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the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Reporting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of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Observational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Studies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in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Epidemiology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(STROBE)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guidelines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.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Institutional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Review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Board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approval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for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retrospective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analyzes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was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obtained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for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each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center prior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to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 xml:space="preserve"> data </w:t>
      </w:r>
      <w:proofErr w:type="spellStart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collection</w:t>
      </w:r>
      <w:proofErr w:type="spellEnd"/>
      <w:r w:rsidRPr="003619C9">
        <w:rPr>
          <w:rStyle w:val="Nenhum"/>
          <w:rFonts w:ascii="Times New Roman" w:hAnsi="Times New Roman" w:cs="Times New Roman"/>
          <w:sz w:val="24"/>
          <w:szCs w:val="24"/>
          <w:highlight w:val="darkGray"/>
        </w:rPr>
        <w:t>.</w:t>
      </w:r>
    </w:p>
    <w:p w14:paraId="1BF51DE1" w14:textId="77777777" w:rsidR="003619C9" w:rsidRPr="00AD0EE2" w:rsidRDefault="003619C9" w:rsidP="003619C9">
      <w:pPr>
        <w:pStyle w:val="CorpoA"/>
        <w:ind w:firstLine="708"/>
        <w:jc w:val="both"/>
        <w:rPr>
          <w:rStyle w:val="Nenhum"/>
          <w:rFonts w:ascii="Times New Roman" w:hAnsi="Times New Roman" w:cs="Times New Roman"/>
          <w:sz w:val="24"/>
          <w:szCs w:val="24"/>
        </w:rPr>
      </w:pPr>
    </w:p>
    <w:p w14:paraId="4AD0F3CD" w14:textId="5F44D005" w:rsidR="004A37CF" w:rsidRPr="00AD0EE2" w:rsidRDefault="00AD0EE2" w:rsidP="004A37CF">
      <w:pPr>
        <w:pStyle w:val="CorpoA"/>
        <w:jc w:val="both"/>
        <w:rPr>
          <w:rStyle w:val="Nenhum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EE2">
        <w:rPr>
          <w:rStyle w:val="Nenhum"/>
          <w:rFonts w:ascii="Times New Roman" w:hAnsi="Times New Roman" w:cs="Times New Roman"/>
          <w:b/>
          <w:bCs/>
          <w:i/>
          <w:iCs/>
          <w:sz w:val="24"/>
          <w:szCs w:val="24"/>
        </w:rPr>
        <w:t>DATA COLLECTION PROCESS</w:t>
      </w:r>
    </w:p>
    <w:p w14:paraId="10146BB1" w14:textId="77777777" w:rsidR="008F0A01" w:rsidRPr="008F0A01" w:rsidRDefault="008F0A01" w:rsidP="008F0A01">
      <w:pPr>
        <w:pStyle w:val="CorpoA"/>
        <w:ind w:firstLine="708"/>
        <w:jc w:val="both"/>
        <w:rPr>
          <w:rStyle w:val="Nenhum"/>
          <w:rFonts w:ascii="Times New Roman" w:hAnsi="Times New Roman" w:cs="Times New Roman"/>
          <w:sz w:val="24"/>
          <w:szCs w:val="24"/>
        </w:rPr>
      </w:pP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Patient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gender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age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attendance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number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were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collected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from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an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spreadsheet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(Excel)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that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documented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colonoscopy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exams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at Hospital Vila Nova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Star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– Rede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Do´r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São Paulo,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Brazil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Using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Hospital's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system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(TASY),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patient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contact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numbers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ultrasound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results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were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obtained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taking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each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patient's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service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number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>.</w:t>
      </w:r>
    </w:p>
    <w:p w14:paraId="6DF8C842" w14:textId="7A741015" w:rsidR="008B04C2" w:rsidRPr="00AD0EE2" w:rsidRDefault="008F0A01" w:rsidP="008F0A01">
      <w:pPr>
        <w:pStyle w:val="CorpoA"/>
        <w:ind w:firstLine="708"/>
        <w:jc w:val="both"/>
        <w:rPr>
          <w:rStyle w:val="Nenhum"/>
          <w:rFonts w:ascii="Times New Roman" w:hAnsi="Times New Roman" w:cs="Times New Roman"/>
          <w:sz w:val="24"/>
          <w:szCs w:val="24"/>
        </w:rPr>
      </w:pP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an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evaluative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survey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carried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out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through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telephone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calls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this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telephone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acquire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about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patients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' pre- and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postoperative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periods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also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collect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subjective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assessment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from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patients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their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with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hospital's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endoscopic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service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This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included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patient's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undergo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endoscopic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well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assessing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late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postoperative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status,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if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they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difficulties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ingesting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fat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gallbladder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removal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or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if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they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manifested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symptoms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such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as nausea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or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other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discomforts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During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this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process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we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faced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not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all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patients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were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still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alive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others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refused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Style w:val="Nenhum"/>
          <w:rFonts w:ascii="Times New Roman" w:hAnsi="Times New Roman" w:cs="Times New Roman"/>
          <w:sz w:val="24"/>
          <w:szCs w:val="24"/>
        </w:rPr>
        <w:t>participate</w:t>
      </w:r>
      <w:proofErr w:type="spellEnd"/>
      <w:r w:rsidRPr="008F0A01">
        <w:rPr>
          <w:rStyle w:val="Nenhum"/>
          <w:rFonts w:ascii="Times New Roman" w:hAnsi="Times New Roman" w:cs="Times New Roman"/>
          <w:sz w:val="24"/>
          <w:szCs w:val="24"/>
        </w:rPr>
        <w:t>.</w:t>
      </w:r>
    </w:p>
    <w:p w14:paraId="4DBA5FD3" w14:textId="77777777" w:rsidR="004A37CF" w:rsidRPr="00AD0EE2" w:rsidRDefault="004A37CF" w:rsidP="00693716">
      <w:pPr>
        <w:pStyle w:val="CorpoA"/>
        <w:jc w:val="both"/>
        <w:rPr>
          <w:rStyle w:val="Nenhum"/>
          <w:rFonts w:ascii="Times New Roman" w:hAnsi="Times New Roman" w:cs="Times New Roman"/>
          <w:sz w:val="24"/>
          <w:szCs w:val="24"/>
        </w:rPr>
      </w:pPr>
    </w:p>
    <w:p w14:paraId="72F27C36" w14:textId="10C4B721" w:rsidR="008F0A01" w:rsidRDefault="008F0A01" w:rsidP="00693716">
      <w:pPr>
        <w:pStyle w:val="CorpoA"/>
        <w:jc w:val="both"/>
        <w:rPr>
          <w:rStyle w:val="Nenhum"/>
          <w:rFonts w:ascii="Times New Roman" w:hAnsi="Times New Roman" w:cs="Times New Roman"/>
          <w:b/>
          <w:bCs/>
          <w:sz w:val="24"/>
          <w:szCs w:val="24"/>
          <w:u w:val="single"/>
          <w:lang w:val="it-IT"/>
        </w:rPr>
      </w:pPr>
      <w:r>
        <w:rPr>
          <w:rStyle w:val="Nenhum"/>
          <w:rFonts w:ascii="Times New Roman" w:hAnsi="Times New Roman" w:cs="Times New Roman"/>
          <w:b/>
          <w:bCs/>
          <w:sz w:val="24"/>
          <w:szCs w:val="24"/>
          <w:u w:val="single"/>
          <w:lang w:val="it-IT"/>
        </w:rPr>
        <w:t>METHODS</w:t>
      </w:r>
    </w:p>
    <w:p w14:paraId="0118156E" w14:textId="77777777" w:rsidR="008F0A01" w:rsidRPr="008F0A01" w:rsidRDefault="008F0A01" w:rsidP="00693716">
      <w:pPr>
        <w:pStyle w:val="CorpoA"/>
        <w:jc w:val="both"/>
        <w:rPr>
          <w:rStyle w:val="Nenhum"/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EC870D" w14:textId="5B15EB58" w:rsidR="004A37CF" w:rsidRPr="00AD0EE2" w:rsidRDefault="00AD0EE2" w:rsidP="00693716">
      <w:pPr>
        <w:pStyle w:val="CorpoA"/>
        <w:jc w:val="both"/>
        <w:rPr>
          <w:rStyle w:val="NenhumA"/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D0EE2">
        <w:rPr>
          <w:rStyle w:val="Nenhum"/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>STATISTICAL ANALYSIS</w:t>
      </w:r>
    </w:p>
    <w:p w14:paraId="3661A7FD" w14:textId="77777777" w:rsidR="008F0A01" w:rsidRPr="008F0A01" w:rsidRDefault="008F0A01" w:rsidP="008F0A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F0A0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distinctly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predominant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were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as mean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>.</w:t>
      </w:r>
    </w:p>
    <w:p w14:paraId="5B76751E" w14:textId="77777777" w:rsidR="008F0A01" w:rsidRPr="008F0A01" w:rsidRDefault="008F0A01" w:rsidP="008F0A0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compare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chi-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previously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established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p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0.05 as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relevance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logistic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odds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quantifying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>.</w:t>
      </w:r>
    </w:p>
    <w:p w14:paraId="6B060D00" w14:textId="6A77E26D" w:rsidR="008F0A01" w:rsidRDefault="008F0A01" w:rsidP="008F0A01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software R,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4.3.1 (R Foundation for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>).</w:t>
      </w:r>
    </w:p>
    <w:p w14:paraId="74E44C6F" w14:textId="60D874CF" w:rsidR="008F0A01" w:rsidRDefault="008F0A01" w:rsidP="008F0A0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F0A0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RESULTS</w:t>
      </w:r>
    </w:p>
    <w:p w14:paraId="16BE0BF9" w14:textId="38C2BC06" w:rsidR="008F0A01" w:rsidRDefault="008F0A01" w:rsidP="008F0A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F0A0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sample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comprised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919 patients,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mean age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standard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13.24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total, 52.1% (n=479) were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47.9% (n=440) male.</w:t>
      </w:r>
    </w:p>
    <w:p w14:paraId="07B841CA" w14:textId="2D0B6189" w:rsidR="001C47D2" w:rsidRPr="0022649E" w:rsidRDefault="00510C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49E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#</w:t>
      </w:r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F0A01" w:rsidRPr="0022649E">
        <w:rPr>
          <w:b/>
          <w:bCs/>
        </w:rPr>
        <w:t xml:space="preserve"> </w:t>
      </w:r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proofErr w:type="spellStart"/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>number</w:t>
      </w:r>
      <w:proofErr w:type="spellEnd"/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>exams</w:t>
      </w:r>
      <w:proofErr w:type="spellEnd"/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>performed</w:t>
      </w:r>
      <w:proofErr w:type="spellEnd"/>
      <w:r w:rsidR="008F0A01" w:rsidRPr="002264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8FA611D" w14:textId="7EA943D4" w:rsidR="00693716" w:rsidRPr="00AD0EE2" w:rsidRDefault="001735CF" w:rsidP="001735C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C7976F" wp14:editId="3D4C77C4">
            <wp:extent cx="5400000" cy="3809129"/>
            <wp:effectExtent l="0" t="0" r="0" b="1270"/>
            <wp:docPr id="2072399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0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32BA" w14:textId="2CCEDA0F" w:rsidR="00420E23" w:rsidRPr="00AD0EE2" w:rsidRDefault="008F0A01" w:rsidP="009D3BE8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25.02% (n=230)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undergo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pancreatic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tract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indications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procedures, 44.8% (n=103)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undergone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cholecystectomy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47.4% (n=109)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revealed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subpiterrial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lesions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4.3% (n=10)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gastric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stasis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3.5% (n=8)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underwent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miniprobe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>.</w:t>
      </w:r>
    </w:p>
    <w:p w14:paraId="4CADBB3E" w14:textId="50D360C4" w:rsidR="008F0A01" w:rsidRDefault="008F0A01" w:rsidP="000140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underwent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pancreatic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79.4% (n=547)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microstones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gallbladder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>.</w:t>
      </w:r>
    </w:p>
    <w:p w14:paraId="74F694BA" w14:textId="287FDF7E" w:rsidR="00014022" w:rsidRPr="0022649E" w:rsidRDefault="00014022" w:rsidP="000140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#. Annual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Rate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Microcalculi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demonstrations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counts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(n),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percentages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W w:w="55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519"/>
        <w:gridCol w:w="1522"/>
        <w:gridCol w:w="1175"/>
      </w:tblGrid>
      <w:tr w:rsidR="0068442B" w:rsidRPr="00AD0EE2" w14:paraId="364D917E" w14:textId="77777777" w:rsidTr="00302925">
        <w:trPr>
          <w:trHeight w:val="26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A884F" w14:textId="77777777" w:rsidR="0068442B" w:rsidRPr="00AD0EE2" w:rsidRDefault="0068442B" w:rsidP="0068442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3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C159D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Microcalculations</w:t>
            </w:r>
            <w:proofErr w:type="spellEnd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Found</w:t>
            </w:r>
            <w:proofErr w:type="spellEnd"/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C61CD9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68442B" w:rsidRPr="00AD0EE2" w14:paraId="3E3D6EBA" w14:textId="77777777" w:rsidTr="00302925">
        <w:trPr>
          <w:trHeight w:val="257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34E63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Exam</w:t>
            </w:r>
            <w:proofErr w:type="spellEnd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Year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0DF9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BD36A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Yes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47B3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P-</w:t>
            </w:r>
            <w:proofErr w:type="spellStart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68442B" w:rsidRPr="00AD0EE2" w14:paraId="69555939" w14:textId="77777777" w:rsidTr="00302925">
        <w:trPr>
          <w:trHeight w:val="257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DB81A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91D0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2C6A1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082C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 0.001</w:t>
            </w:r>
          </w:p>
        </w:tc>
      </w:tr>
      <w:tr w:rsidR="0068442B" w:rsidRPr="00AD0EE2" w14:paraId="6C8EFA17" w14:textId="77777777" w:rsidTr="00302925">
        <w:trPr>
          <w:trHeight w:val="257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C65D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2019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8B6B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40.00% (18)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5319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60.00% (27)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CE02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68442B" w:rsidRPr="00AD0EE2" w14:paraId="08E1F389" w14:textId="77777777" w:rsidTr="00302925">
        <w:trPr>
          <w:trHeight w:val="257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D3C9E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B4168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28.33% (17)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FB9D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71.67% (43)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97ECA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68442B" w:rsidRPr="00AD0EE2" w14:paraId="44DFD1C6" w14:textId="77777777" w:rsidTr="00302925">
        <w:trPr>
          <w:trHeight w:val="257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894AD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C9CBE" w14:textId="5C46FED5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22.09% (36)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61472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77.91% (127)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B10C9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68442B" w:rsidRPr="00AD0EE2" w14:paraId="011B928C" w14:textId="77777777" w:rsidTr="00302925">
        <w:trPr>
          <w:trHeight w:val="257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8234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E69A" w14:textId="2AAB1FFA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19.11% (56)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5006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80.89% (237)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EB38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68442B" w:rsidRPr="00AD0EE2" w14:paraId="66CC5F0E" w14:textId="77777777" w:rsidTr="00302925">
        <w:trPr>
          <w:trHeight w:val="257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1B81D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2023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ED4E" w14:textId="01F67CA9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11.72% (15)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943A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88.28% (113)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50D3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68442B" w:rsidRPr="00AD0EE2" w14:paraId="1BB0528B" w14:textId="77777777" w:rsidTr="00302925">
        <w:trPr>
          <w:trHeight w:val="257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82F6" w14:textId="6570ADC1" w:rsidR="0068442B" w:rsidRPr="00AD0EE2" w:rsidRDefault="008F0A01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Overal</w:t>
            </w:r>
            <w:proofErr w:type="spellEnd"/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80045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20.61% (142)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15EE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79.39% (547)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3483" w14:textId="77777777" w:rsidR="0068442B" w:rsidRPr="00AD0EE2" w:rsidRDefault="0068442B" w:rsidP="0068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2EFE880C" w14:textId="77777777" w:rsidR="0022649E" w:rsidRDefault="0022649E" w:rsidP="001C47D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B66F3" w14:textId="203511F4" w:rsidR="003911B5" w:rsidRPr="0022649E" w:rsidRDefault="008F0A01" w:rsidP="001C47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Figure#. Annual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Rate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Microcalculi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demonstrations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counts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(n),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percentages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E23DB3" w14:textId="6D8DEF96" w:rsidR="00903443" w:rsidRPr="00AD0EE2" w:rsidRDefault="00280A35" w:rsidP="001735CF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E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5737D6" wp14:editId="3FD82ADE">
            <wp:extent cx="5400000" cy="3243527"/>
            <wp:effectExtent l="0" t="0" r="0" b="0"/>
            <wp:docPr id="17555385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EAA6" w14:textId="48BCB2AC" w:rsidR="008F0A01" w:rsidRDefault="008F0A01" w:rsidP="008F0A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F0A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microcalculus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(P &lt; 0.001, chi-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). The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revealed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trend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microstones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subsequently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validated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upward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trend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(P &lt; 0.001).</w:t>
      </w:r>
    </w:p>
    <w:p w14:paraId="17EBE7E0" w14:textId="7DB125D9" w:rsidR="0068442B" w:rsidRPr="0022649E" w:rsidRDefault="00421B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#.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Age (Mean ± Standard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Deviation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Between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Patients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Without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Microcalculus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W w:w="73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0"/>
        <w:gridCol w:w="1697"/>
        <w:gridCol w:w="1532"/>
        <w:gridCol w:w="1568"/>
        <w:gridCol w:w="1254"/>
      </w:tblGrid>
      <w:tr w:rsidR="00BB325B" w:rsidRPr="00AD0EE2" w14:paraId="41ACF7C3" w14:textId="174C0F69" w:rsidTr="00302925">
        <w:trPr>
          <w:trHeight w:val="188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90DC" w14:textId="478A6725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Variable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80E5A" w14:textId="3623FBEE" w:rsidR="00BB325B" w:rsidRPr="00AD0EE2" w:rsidRDefault="0022649E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Overall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8902" w14:textId="3A922EA2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E460" w14:textId="48B342C1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Yes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F7E3F8" w14:textId="5213C6E2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P-</w:t>
            </w:r>
            <w:proofErr w:type="spellStart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BB325B" w:rsidRPr="00AD0EE2" w14:paraId="6937CA93" w14:textId="4FF1941C" w:rsidTr="00302925">
        <w:trPr>
          <w:trHeight w:val="188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D938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Age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09F7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49.00 ± 13.93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33A7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53.00 ± 10.60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06F39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54.00 ± 14.60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CBC90C" w14:textId="795DDFBB" w:rsidR="00BB325B" w:rsidRPr="00AD0EE2" w:rsidRDefault="001E1AF2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0.</w:t>
            </w:r>
            <w:r w:rsidR="008F0A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70</w:t>
            </w:r>
          </w:p>
        </w:tc>
      </w:tr>
      <w:tr w:rsidR="00BB325B" w:rsidRPr="00AD0EE2" w14:paraId="3A966F5B" w14:textId="01EC80CB" w:rsidTr="00302925">
        <w:trPr>
          <w:trHeight w:val="188"/>
          <w:jc w:val="center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53922" w14:textId="0F9247D5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Gender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DC7A2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7C7A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41A02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59E66" w14:textId="5B419F4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0.45</w:t>
            </w:r>
          </w:p>
        </w:tc>
      </w:tr>
      <w:tr w:rsidR="00BB325B" w:rsidRPr="00AD0EE2" w14:paraId="217E1EB1" w14:textId="7D6A97CC" w:rsidTr="00302925">
        <w:trPr>
          <w:trHeight w:val="188"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45A30" w14:textId="55AE0236" w:rsidR="00BB325B" w:rsidRPr="008F0A01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8F0A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Female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BA95" w14:textId="591F74A8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46.88% (323)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6A31F" w14:textId="58E4AA49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50.00% (71)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CB08E" w14:textId="08A9A14B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46.07% (252)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4E631E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BB325B" w:rsidRPr="00AD0EE2" w14:paraId="7131044C" w14:textId="433D7966" w:rsidTr="00302925">
        <w:trPr>
          <w:trHeight w:val="188"/>
          <w:jc w:val="center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DFB4" w14:textId="00788D26" w:rsidR="00BB325B" w:rsidRPr="008F0A01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F0A0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Male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BF27" w14:textId="303B4CE9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53.12 (366)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B0EF0" w14:textId="70A3761D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50.00% (71)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E9E0" w14:textId="5AF60000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53.93% (295)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670F81" w14:textId="77777777" w:rsidR="00BB325B" w:rsidRPr="00AD0EE2" w:rsidRDefault="00BB325B" w:rsidP="00E65A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15260381" w14:textId="77777777" w:rsidR="00420E23" w:rsidRPr="00AD0EE2" w:rsidRDefault="00420E23">
      <w:pPr>
        <w:rPr>
          <w:rFonts w:ascii="Times New Roman" w:hAnsi="Times New Roman" w:cs="Times New Roman"/>
          <w:sz w:val="24"/>
          <w:szCs w:val="24"/>
        </w:rPr>
      </w:pPr>
    </w:p>
    <w:p w14:paraId="711BC677" w14:textId="34B4C7F9" w:rsidR="008F0A01" w:rsidRDefault="008F0A01" w:rsidP="008F0A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F0A01">
        <w:rPr>
          <w:rFonts w:ascii="Times New Roman" w:hAnsi="Times New Roman" w:cs="Times New Roman"/>
          <w:sz w:val="24"/>
          <w:szCs w:val="24"/>
        </w:rPr>
        <w:t xml:space="preserve">Patients in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microstones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mean age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standard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10.60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contrast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microcalculations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mean age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a standard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13.93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groups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respectively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>, t-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(P = 0.</w:t>
      </w:r>
      <w:r w:rsidR="0000310B">
        <w:rPr>
          <w:rFonts w:ascii="Times New Roman" w:hAnsi="Times New Roman" w:cs="Times New Roman"/>
          <w:sz w:val="24"/>
          <w:szCs w:val="24"/>
        </w:rPr>
        <w:t>70</w:t>
      </w:r>
      <w:r w:rsidRPr="008F0A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F0A0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F0A01">
        <w:rPr>
          <w:rFonts w:ascii="Times New Roman" w:hAnsi="Times New Roman" w:cs="Times New Roman"/>
          <w:sz w:val="24"/>
          <w:szCs w:val="24"/>
        </w:rPr>
        <w:t xml:space="preserve"> Chi-Square (P = 0.45).</w:t>
      </w:r>
    </w:p>
    <w:p w14:paraId="1FE400DA" w14:textId="699E186C" w:rsidR="00E65ABB" w:rsidRPr="0022649E" w:rsidRDefault="00421B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#.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Microcalculus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rates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stratified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by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sex,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demonstrations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counts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(n),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percentages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W w:w="63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0"/>
        <w:gridCol w:w="1533"/>
        <w:gridCol w:w="1533"/>
        <w:gridCol w:w="1533"/>
      </w:tblGrid>
      <w:tr w:rsidR="00903443" w:rsidRPr="00AD0EE2" w14:paraId="5939FF20" w14:textId="77777777" w:rsidTr="009D3BE8">
        <w:trPr>
          <w:trHeight w:val="217"/>
          <w:jc w:val="center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35D33" w14:textId="77777777" w:rsidR="00903443" w:rsidRPr="00AD0EE2" w:rsidRDefault="00903443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Microcalculos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1490" w14:textId="7EFEFDBF" w:rsidR="00903443" w:rsidRPr="00AD0EE2" w:rsidRDefault="00903443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Overall</w:t>
            </w:r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0CA82" w14:textId="1218F616" w:rsidR="00903443" w:rsidRPr="00AD0EE2" w:rsidRDefault="00903443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Female</w:t>
            </w:r>
            <w:proofErr w:type="spellEnd"/>
          </w:p>
        </w:tc>
        <w:tc>
          <w:tcPr>
            <w:tcW w:w="1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5A0E4" w14:textId="34E9BFE9" w:rsidR="00903443" w:rsidRPr="00AD0EE2" w:rsidRDefault="00903443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Male</w:t>
            </w:r>
          </w:p>
        </w:tc>
      </w:tr>
      <w:tr w:rsidR="00903443" w:rsidRPr="00AD0EE2" w14:paraId="52368B30" w14:textId="77777777" w:rsidTr="009D3BE8">
        <w:trPr>
          <w:trHeight w:val="217"/>
          <w:jc w:val="center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6696" w14:textId="77777777" w:rsidR="00903443" w:rsidRPr="00AD0EE2" w:rsidRDefault="00903443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AEA" w14:textId="77777777" w:rsidR="00903443" w:rsidRPr="00AD0EE2" w:rsidRDefault="00903443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20.61% (142)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955B" w14:textId="597478A4" w:rsidR="00903443" w:rsidRPr="00AD0EE2" w:rsidRDefault="00EA72FE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21.98</w:t>
            </w:r>
            <w:r w:rsidR="00903443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 (7</w:t>
            </w: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  <w:r w:rsidR="00903443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8F6F" w14:textId="152CFAB2" w:rsidR="00903443" w:rsidRPr="00AD0EE2" w:rsidRDefault="00EA72FE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19.40</w:t>
            </w:r>
            <w:r w:rsidR="00903443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 (</w:t>
            </w: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71</w:t>
            </w:r>
            <w:r w:rsidR="00903443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903443" w:rsidRPr="00AD0EE2" w14:paraId="715B35A3" w14:textId="77777777" w:rsidTr="009D3BE8">
        <w:trPr>
          <w:trHeight w:val="217"/>
          <w:jc w:val="center"/>
        </w:trPr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7F91" w14:textId="77777777" w:rsidR="00903443" w:rsidRPr="00AD0EE2" w:rsidRDefault="00903443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Yes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89F5" w14:textId="77777777" w:rsidR="00903443" w:rsidRPr="00AD0EE2" w:rsidRDefault="00903443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79.39% (547)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6341" w14:textId="4AD03ECC" w:rsidR="00903443" w:rsidRPr="00AD0EE2" w:rsidRDefault="00EA72FE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78.02</w:t>
            </w:r>
            <w:r w:rsidR="00903443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 (</w:t>
            </w: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252</w:t>
            </w:r>
            <w:r w:rsidR="00903443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9A24" w14:textId="23FE02EE" w:rsidR="00903443" w:rsidRPr="00AD0EE2" w:rsidRDefault="00EA72FE" w:rsidP="00903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80.60</w:t>
            </w:r>
            <w:r w:rsidR="00903443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% (</w:t>
            </w: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295</w:t>
            </w:r>
            <w:r w:rsidR="00903443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</w:tbl>
    <w:p w14:paraId="492C4E58" w14:textId="25209F39" w:rsidR="0000310B" w:rsidRDefault="0000310B" w:rsidP="0000310B">
      <w:pPr>
        <w:rPr>
          <w:rFonts w:ascii="Times New Roman" w:hAnsi="Times New Roman" w:cs="Times New Roman"/>
          <w:sz w:val="24"/>
          <w:szCs w:val="24"/>
        </w:rPr>
      </w:pPr>
      <w:r w:rsidRPr="0000310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rate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microstones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female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78.02% (n=252),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in male patients it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80.60% (n=295).</w:t>
      </w:r>
    </w:p>
    <w:p w14:paraId="77FEE2B9" w14:textId="77777777" w:rsidR="0000310B" w:rsidRDefault="000031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E7E13" w14:textId="0D877235" w:rsidR="008B04C2" w:rsidRPr="0022649E" w:rsidRDefault="0022649E">
      <w:pPr>
        <w:rPr>
          <w:rFonts w:ascii="Times New Roman" w:hAnsi="Times New Roman" w:cs="Times New Roman"/>
          <w:b/>
          <w:bCs/>
          <w:sz w:val="44"/>
          <w:szCs w:val="44"/>
          <w:vertAlign w:val="subscript"/>
        </w:rPr>
      </w:pPr>
      <w:proofErr w:type="spellStart"/>
      <w:r w:rsidRPr="0022649E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lastRenderedPageBreak/>
        <w:t>Evaluative</w:t>
      </w:r>
      <w:proofErr w:type="spellEnd"/>
      <w:r w:rsidRPr="0022649E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44"/>
          <w:szCs w:val="44"/>
          <w:vertAlign w:val="subscript"/>
        </w:rPr>
        <w:t>Research</w:t>
      </w:r>
      <w:proofErr w:type="spellEnd"/>
    </w:p>
    <w:p w14:paraId="35A55BFD" w14:textId="0306DAE9" w:rsidR="00A71D44" w:rsidRPr="00AD0EE2" w:rsidRDefault="0000310B" w:rsidP="0000310B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00310B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patients in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whom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vesicular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microcalculi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identified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, a total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349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participated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evaluative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respondents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, 58.3% (n=203)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elected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undergo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intervention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proportion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41.7% (n=145)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undergo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procedure.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52.9% (n=184)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underwent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due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manifestation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clinical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symptoms,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47.1% (n=164)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underwent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routine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check-up. .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(p &lt; 0.001;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Chisq-Squared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Odds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Ration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3.68 (2.36 – 5.81, P &lt; 0.001).</w:t>
      </w:r>
    </w:p>
    <w:p w14:paraId="73323C11" w14:textId="3378F4C1" w:rsidR="007C79C4" w:rsidRPr="00AD0EE2" w:rsidRDefault="0000310B" w:rsidP="00882A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Pr="000031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03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10B">
        <w:rPr>
          <w:rFonts w:ascii="Times New Roman" w:hAnsi="Times New Roman" w:cs="Times New Roman"/>
          <w:sz w:val="24"/>
          <w:szCs w:val="24"/>
        </w:rPr>
        <w:t>Exam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668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8"/>
        <w:gridCol w:w="1540"/>
        <w:gridCol w:w="1465"/>
        <w:gridCol w:w="1540"/>
        <w:gridCol w:w="943"/>
      </w:tblGrid>
      <w:tr w:rsidR="007C79C4" w:rsidRPr="00AD0EE2" w14:paraId="541465EA" w14:textId="77777777" w:rsidTr="001C47D2">
        <w:trPr>
          <w:trHeight w:val="157"/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5561" w14:textId="77777777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5829" w14:textId="68DC3BB7" w:rsidR="007C79C4" w:rsidRPr="00AD0EE2" w:rsidRDefault="001C47D2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Geral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E247" w14:textId="20E60AF3" w:rsidR="007C79C4" w:rsidRPr="00AD0EE2" w:rsidRDefault="001C47D2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No </w:t>
            </w:r>
            <w:proofErr w:type="spellStart"/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Operated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9F46" w14:textId="379CADE5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Op</w:t>
            </w:r>
            <w:r w:rsidR="001C47D2"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erated</w:t>
            </w:r>
            <w:proofErr w:type="spellEnd"/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2656" w14:textId="77777777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P-</w:t>
            </w:r>
            <w:proofErr w:type="spellStart"/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value</w:t>
            </w:r>
            <w:proofErr w:type="spellEnd"/>
          </w:p>
        </w:tc>
      </w:tr>
      <w:tr w:rsidR="007C79C4" w:rsidRPr="00AD0EE2" w14:paraId="188A60B0" w14:textId="77777777" w:rsidTr="001C47D2">
        <w:trPr>
          <w:trHeight w:val="157"/>
          <w:jc w:val="center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B673" w14:textId="77777777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Checkup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1799" w14:textId="77777777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47.13% (164)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F670" w14:textId="7A36E3B1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65.52% (95)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06D3" w14:textId="2A6319D4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33.99% (69)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81DA" w14:textId="77777777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 0.001</w:t>
            </w:r>
          </w:p>
        </w:tc>
      </w:tr>
      <w:tr w:rsidR="007C79C4" w:rsidRPr="00AD0EE2" w14:paraId="74384849" w14:textId="77777777" w:rsidTr="001C47D2">
        <w:trPr>
          <w:trHeight w:val="157"/>
          <w:jc w:val="center"/>
        </w:trPr>
        <w:tc>
          <w:tcPr>
            <w:tcW w:w="1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0746" w14:textId="4DD16D43" w:rsidR="007C79C4" w:rsidRPr="00AD0EE2" w:rsidRDefault="001C47D2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Symptoms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B8E8" w14:textId="77777777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52.87% (184)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8A20" w14:textId="26C9E501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34.48% (50)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D266" w14:textId="77777777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66.01% (134)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9F19" w14:textId="77777777" w:rsidR="007C79C4" w:rsidRPr="00AD0EE2" w:rsidRDefault="007C79C4" w:rsidP="007C7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D0EE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</w:tbl>
    <w:p w14:paraId="1D6CC77E" w14:textId="1E65186B" w:rsidR="00280A35" w:rsidRDefault="0038426B" w:rsidP="00882AA3">
      <w:pPr>
        <w:rPr>
          <w:rFonts w:ascii="Times New Roman" w:hAnsi="Times New Roman" w:cs="Times New Roman"/>
          <w:sz w:val="24"/>
          <w:szCs w:val="24"/>
        </w:rPr>
      </w:pPr>
      <w:r w:rsidRPr="00AD0EE2">
        <w:rPr>
          <w:rFonts w:ascii="Times New Roman" w:hAnsi="Times New Roman" w:cs="Times New Roman"/>
          <w:sz w:val="24"/>
          <w:szCs w:val="24"/>
        </w:rPr>
        <w:t>Odds: 3,68 (2,36 – 5,81, P &lt; 0,001)</w:t>
      </w:r>
    </w:p>
    <w:p w14:paraId="32E0BCAC" w14:textId="56C76C19" w:rsidR="0000310B" w:rsidRPr="0022649E" w:rsidRDefault="0000310B" w:rsidP="00882A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Figure #: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Patients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According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Surgical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Exam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E012AF7" w14:textId="29AAF426" w:rsidR="00280A35" w:rsidRPr="00AD0EE2" w:rsidRDefault="00280A35" w:rsidP="00280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82965" wp14:editId="0DC0ECE3">
            <wp:extent cx="5400000" cy="3814864"/>
            <wp:effectExtent l="0" t="0" r="0" b="0"/>
            <wp:docPr id="119895623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1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3AE3" w14:textId="77777777" w:rsidR="003619C9" w:rsidRDefault="003619C9" w:rsidP="003619C9">
      <w:pPr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symptoms, 72.2% (n=143)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experiencing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pain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hypochondrium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44.7% (n=89)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reflux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Nausea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vomiting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26.7% (n=51), gastric symptoms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13.2% (n=25), fatigue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3.2% (n=6),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diarrhea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2.7% (n= 5),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fever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in 1.1% (n=2)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other symptoms in 2.2% (n=4)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patients.</w:t>
      </w:r>
      <w:r w:rsidRPr="003619C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EF78F0B" w14:textId="0CC90D60" w:rsidR="003619C9" w:rsidRPr="0022649E" w:rsidRDefault="003619C9" w:rsidP="00361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49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Figure #: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Symptoms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Motivating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Exam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CCA06A" w14:textId="4A36C5E8" w:rsidR="003619C9" w:rsidRDefault="003619C9" w:rsidP="003619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D0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5CCD61" wp14:editId="0F6E44E6">
            <wp:extent cx="5400000" cy="3243527"/>
            <wp:effectExtent l="0" t="0" r="0" b="0"/>
            <wp:docPr id="1692840920" name="Imagem 5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40920" name="Imagem 5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4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994C5" w14:textId="573657A1" w:rsidR="00AD0EE2" w:rsidRPr="00AD0EE2" w:rsidRDefault="00AD0EE2" w:rsidP="00A71D4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D0E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OBS: ESSAS TAXAS NÃO SÃO COMPLEMENTARES, SÃO VARIAVEIS DISTINSTAS DOS SINTOMAS QUE MOTIVARAM O PACIENTE A FAZER A ECO, POR ISSO O SOMATORIO NÃO É 100%</w:t>
      </w:r>
    </w:p>
    <w:p w14:paraId="2A5D7F2B" w14:textId="48ADC4ED" w:rsidR="00AD0EE2" w:rsidRPr="00AD0EE2" w:rsidRDefault="00AD0EE2" w:rsidP="00AD0EE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D0EE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SE ACHAR UMA </w:t>
      </w:r>
      <w:r w:rsidR="003619C9" w:rsidRPr="00AD0E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ANÁLISE</w:t>
      </w:r>
      <w:r w:rsidRPr="00AD0EE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COMPLEMENTAR DOS SINTOMAS, QUE SERIA “PRINCIPAL MOTIVAÇÃO PARA FAZER O EXAME”, SÓ FALA COMIGO QUE EU FAÇO.</w:t>
      </w:r>
    </w:p>
    <w:p w14:paraId="23B3C886" w14:textId="0204D225" w:rsidR="00FB2F9F" w:rsidRDefault="003619C9" w:rsidP="00FB2F9F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opted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due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symptoms (</w:t>
      </w:r>
      <w:r w:rsidR="0015229C">
        <w:rPr>
          <w:rFonts w:ascii="Times New Roman" w:hAnsi="Times New Roman" w:cs="Times New Roman"/>
          <w:sz w:val="24"/>
          <w:szCs w:val="24"/>
        </w:rPr>
        <w:t>72.8</w:t>
      </w:r>
      <w:r w:rsidR="00676AB0">
        <w:rPr>
          <w:rFonts w:ascii="Times New Roman" w:hAnsi="Times New Roman" w:cs="Times New Roman"/>
          <w:sz w:val="24"/>
          <w:szCs w:val="24"/>
        </w:rPr>
        <w:t>0</w:t>
      </w:r>
      <w:r w:rsidRPr="003619C9">
        <w:rPr>
          <w:rFonts w:ascii="Times New Roman" w:hAnsi="Times New Roman" w:cs="Times New Roman"/>
          <w:sz w:val="24"/>
          <w:szCs w:val="24"/>
        </w:rPr>
        <w:t xml:space="preserve">%, n=134), a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portion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73.9% (n=99)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postoperative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symptoms</w:t>
      </w:r>
      <w:r w:rsidR="00FB2F9F">
        <w:rPr>
          <w:rFonts w:ascii="Times New Roman" w:hAnsi="Times New Roman" w:cs="Times New Roman"/>
          <w:sz w:val="24"/>
          <w:szCs w:val="24"/>
        </w:rPr>
        <w:t>,</w:t>
      </w:r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F9F">
        <w:rPr>
          <w:rFonts w:ascii="Times New Roman" w:hAnsi="Times New Roman" w:cs="Times New Roman"/>
          <w:sz w:val="24"/>
          <w:szCs w:val="24"/>
        </w:rPr>
        <w:t>a</w:t>
      </w:r>
      <w:r w:rsidRPr="003619C9">
        <w:rPr>
          <w:rFonts w:ascii="Times New Roman" w:hAnsi="Times New Roman" w:cs="Times New Roman"/>
          <w:sz w:val="24"/>
          <w:szCs w:val="24"/>
        </w:rPr>
        <w:t>dditionally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22.4% (n=30)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3.7% (n=5)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symptoms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surgical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procedure.</w:t>
      </w:r>
      <w:r w:rsidR="00FB2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chose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undergo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(27.20%, n=50),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20.00% (n=10)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symptoms.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, 44.00% (n=22)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experienced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considerable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proportion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36.00% (n=18)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observe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symptoms.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evidenced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Chi-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EF5" w:rsidRPr="00897EF5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897EF5" w:rsidRPr="00897EF5">
        <w:rPr>
          <w:rFonts w:ascii="Times New Roman" w:hAnsi="Times New Roman" w:cs="Times New Roman"/>
          <w:sz w:val="24"/>
          <w:szCs w:val="24"/>
        </w:rPr>
        <w:t xml:space="preserve"> (P &lt; 0.001).</w:t>
      </w:r>
    </w:p>
    <w:p w14:paraId="608992CF" w14:textId="0386A3FB" w:rsidR="002628C6" w:rsidRPr="002628C6" w:rsidRDefault="002628C6" w:rsidP="00262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Figure #: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2649E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2264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81C08" w:rsidRPr="00381C08">
        <w:rPr>
          <w:rFonts w:ascii="Times New Roman" w:hAnsi="Times New Roman" w:cs="Times New Roman"/>
          <w:b/>
          <w:bCs/>
          <w:sz w:val="24"/>
          <w:szCs w:val="24"/>
        </w:rPr>
        <w:t>Current</w:t>
      </w:r>
      <w:proofErr w:type="spellEnd"/>
      <w:r w:rsidR="00381C08" w:rsidRPr="00381C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81C08" w:rsidRPr="00381C08">
        <w:rPr>
          <w:rFonts w:ascii="Times New Roman" w:hAnsi="Times New Roman" w:cs="Times New Roman"/>
          <w:b/>
          <w:bCs/>
          <w:sz w:val="24"/>
          <w:szCs w:val="24"/>
        </w:rPr>
        <w:t>vs</w:t>
      </w:r>
      <w:proofErr w:type="spellEnd"/>
      <w:r w:rsidR="00381C08" w:rsidRPr="00381C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81C08" w:rsidRPr="00381C08">
        <w:rPr>
          <w:rFonts w:ascii="Times New Roman" w:hAnsi="Times New Roman" w:cs="Times New Roman"/>
          <w:b/>
          <w:bCs/>
          <w:sz w:val="24"/>
          <w:szCs w:val="24"/>
        </w:rPr>
        <w:t>Operated</w:t>
      </w:r>
      <w:proofErr w:type="spellEnd"/>
      <w:r w:rsidR="00381C08" w:rsidRPr="00381C08">
        <w:rPr>
          <w:rFonts w:ascii="Times New Roman" w:hAnsi="Times New Roman" w:cs="Times New Roman"/>
          <w:b/>
          <w:bCs/>
          <w:sz w:val="24"/>
          <w:szCs w:val="24"/>
        </w:rPr>
        <w:t xml:space="preserve"> Status </w:t>
      </w:r>
      <w:proofErr w:type="spellStart"/>
      <w:r w:rsidR="00381C08" w:rsidRPr="00381C08"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spellEnd"/>
    </w:p>
    <w:p w14:paraId="458B0E16" w14:textId="0486C71A" w:rsidR="00FB0ECF" w:rsidRDefault="00C51509" w:rsidP="00C5150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7D3167" wp14:editId="6C71ECB7">
            <wp:extent cx="4014829" cy="2836333"/>
            <wp:effectExtent l="0" t="0" r="5080" b="2540"/>
            <wp:docPr id="20385128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415" cy="28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F565" w14:textId="0BB760CC" w:rsidR="00121CB3" w:rsidRPr="001F7712" w:rsidRDefault="001F7712" w:rsidP="002316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Fiz o mesmo calculo depois com </w:t>
      </w:r>
      <w:r w:rsidR="001C1DD2">
        <w:rPr>
          <w:rFonts w:ascii="Times New Roman" w:hAnsi="Times New Roman" w:cs="Times New Roman"/>
          <w:b/>
          <w:bCs/>
          <w:sz w:val="24"/>
          <w:szCs w:val="24"/>
        </w:rPr>
        <w:t xml:space="preserve">esses dados em binário para possibilitar o calculo do tamanho do efeito (odds </w:t>
      </w:r>
      <w:proofErr w:type="spellStart"/>
      <w:r w:rsidR="001C1DD2">
        <w:rPr>
          <w:rFonts w:ascii="Times New Roman" w:hAnsi="Times New Roman" w:cs="Times New Roman"/>
          <w:b/>
          <w:bCs/>
          <w:sz w:val="24"/>
          <w:szCs w:val="24"/>
        </w:rPr>
        <w:t>ratio</w:t>
      </w:r>
      <w:proofErr w:type="spellEnd"/>
      <w:r w:rsidR="007F0C4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45E5B">
        <w:rPr>
          <w:rFonts w:ascii="Times New Roman" w:hAnsi="Times New Roman" w:cs="Times New Roman"/>
          <w:b/>
          <w:bCs/>
          <w:sz w:val="24"/>
          <w:szCs w:val="24"/>
        </w:rPr>
        <w:t>, segue abaixo.</w:t>
      </w:r>
      <w:r w:rsidR="008712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6469A0" wp14:editId="4E074A57">
            <wp:extent cx="4013200" cy="2835182"/>
            <wp:effectExtent l="0" t="0" r="6350" b="3810"/>
            <wp:docPr id="16008539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13" cy="283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3E48" w14:textId="2D0858AE" w:rsidR="00531C1E" w:rsidRDefault="00531C1E" w:rsidP="003619C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31C1E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binarizing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rates,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symptoms, a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(P &lt; 0.001)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Chi-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test. The Odds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11.31 (95%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: 5.29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26.18),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demonstrating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tendency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complete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symptoms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undergoes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C1E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Pr="00531C1E">
        <w:rPr>
          <w:rFonts w:ascii="Times New Roman" w:hAnsi="Times New Roman" w:cs="Times New Roman"/>
          <w:sz w:val="24"/>
          <w:szCs w:val="24"/>
        </w:rPr>
        <w:t>.</w:t>
      </w:r>
    </w:p>
    <w:p w14:paraId="4FADEF5D" w14:textId="744E91BF" w:rsidR="003619C9" w:rsidRPr="003619C9" w:rsidRDefault="003619C9" w:rsidP="003619C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patients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underwent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surgery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54.8% (n=110)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faced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complications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late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postoperative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difficulties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eating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fatty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foods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>.</w:t>
      </w:r>
    </w:p>
    <w:p w14:paraId="7F28F1E4" w14:textId="5EC4A131" w:rsidR="003619C9" w:rsidRDefault="003619C9" w:rsidP="003619C9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hospital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majority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81.6% (n=284),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evaluated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it as “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14.9% (n=52)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1.4% (n=5)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a “Neutral”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perception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2.0% (n=7)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classified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it as “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Unsatisfactory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” . It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highlight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lastRenderedPageBreak/>
        <w:t>that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experiences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unsatisfactory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were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administrative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as delays in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hospitalization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undue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charges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9C9">
        <w:rPr>
          <w:rFonts w:ascii="Times New Roman" w:hAnsi="Times New Roman" w:cs="Times New Roman"/>
          <w:sz w:val="24"/>
          <w:szCs w:val="24"/>
        </w:rPr>
        <w:t>inadequate</w:t>
      </w:r>
      <w:proofErr w:type="spellEnd"/>
      <w:r w:rsidRPr="003619C9">
        <w:rPr>
          <w:rFonts w:ascii="Times New Roman" w:hAnsi="Times New Roman" w:cs="Times New Roman"/>
          <w:sz w:val="24"/>
          <w:szCs w:val="24"/>
        </w:rPr>
        <w:t xml:space="preserve"> hospital management.</w:t>
      </w:r>
    </w:p>
    <w:p w14:paraId="76777A4F" w14:textId="17CF1A19" w:rsidR="008B348B" w:rsidRPr="00AD0EE2" w:rsidRDefault="00280A35" w:rsidP="002C0F1F">
      <w:pPr>
        <w:rPr>
          <w:rFonts w:ascii="Times New Roman" w:hAnsi="Times New Roman" w:cs="Times New Roman"/>
          <w:sz w:val="24"/>
          <w:szCs w:val="24"/>
        </w:rPr>
      </w:pPr>
      <w:r w:rsidRPr="00AD0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DEB99" wp14:editId="02A84DE5">
            <wp:extent cx="5400000" cy="3814864"/>
            <wp:effectExtent l="0" t="0" r="0" b="0"/>
            <wp:docPr id="4002596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1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AF06" w14:textId="6EA66B4B" w:rsidR="00B37BC8" w:rsidRPr="00AD0EE2" w:rsidRDefault="00B37BC8" w:rsidP="0054299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B37BC8" w:rsidRPr="00AD0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16"/>
    <w:rsid w:val="0000310B"/>
    <w:rsid w:val="00014022"/>
    <w:rsid w:val="00030F21"/>
    <w:rsid w:val="00046C5A"/>
    <w:rsid w:val="00081317"/>
    <w:rsid w:val="00121CB3"/>
    <w:rsid w:val="00127222"/>
    <w:rsid w:val="0015229C"/>
    <w:rsid w:val="001735CF"/>
    <w:rsid w:val="001C1DD2"/>
    <w:rsid w:val="001C47D2"/>
    <w:rsid w:val="001E1AF2"/>
    <w:rsid w:val="001E61A6"/>
    <w:rsid w:val="001F0C32"/>
    <w:rsid w:val="001F7712"/>
    <w:rsid w:val="0022649E"/>
    <w:rsid w:val="0023166C"/>
    <w:rsid w:val="002628C6"/>
    <w:rsid w:val="00280A35"/>
    <w:rsid w:val="002B6C9B"/>
    <w:rsid w:val="002C0F1F"/>
    <w:rsid w:val="00302925"/>
    <w:rsid w:val="00311738"/>
    <w:rsid w:val="00344D25"/>
    <w:rsid w:val="003619C9"/>
    <w:rsid w:val="00381C08"/>
    <w:rsid w:val="0038426B"/>
    <w:rsid w:val="003911B5"/>
    <w:rsid w:val="003E08C6"/>
    <w:rsid w:val="003F09A2"/>
    <w:rsid w:val="003F7B8F"/>
    <w:rsid w:val="00420E23"/>
    <w:rsid w:val="00421649"/>
    <w:rsid w:val="00421B88"/>
    <w:rsid w:val="0046771F"/>
    <w:rsid w:val="004A37CF"/>
    <w:rsid w:val="004A3845"/>
    <w:rsid w:val="00510CFB"/>
    <w:rsid w:val="00531C1E"/>
    <w:rsid w:val="0054299E"/>
    <w:rsid w:val="00586E69"/>
    <w:rsid w:val="00647043"/>
    <w:rsid w:val="00676AB0"/>
    <w:rsid w:val="00681BDF"/>
    <w:rsid w:val="0068442B"/>
    <w:rsid w:val="00693716"/>
    <w:rsid w:val="006E7BB5"/>
    <w:rsid w:val="007C3030"/>
    <w:rsid w:val="007C79C4"/>
    <w:rsid w:val="007E7869"/>
    <w:rsid w:val="007F0C48"/>
    <w:rsid w:val="008133A3"/>
    <w:rsid w:val="00830CFD"/>
    <w:rsid w:val="008712E2"/>
    <w:rsid w:val="00874393"/>
    <w:rsid w:val="00882AA3"/>
    <w:rsid w:val="00897EF5"/>
    <w:rsid w:val="008B04C2"/>
    <w:rsid w:val="008B1631"/>
    <w:rsid w:val="008B348B"/>
    <w:rsid w:val="008E4472"/>
    <w:rsid w:val="008F0A01"/>
    <w:rsid w:val="00903443"/>
    <w:rsid w:val="009211B6"/>
    <w:rsid w:val="009742A1"/>
    <w:rsid w:val="0099501C"/>
    <w:rsid w:val="009D3BE8"/>
    <w:rsid w:val="009F069E"/>
    <w:rsid w:val="009F42AC"/>
    <w:rsid w:val="00A34755"/>
    <w:rsid w:val="00A3509A"/>
    <w:rsid w:val="00A378D8"/>
    <w:rsid w:val="00A71D44"/>
    <w:rsid w:val="00AD0EE2"/>
    <w:rsid w:val="00B37BC8"/>
    <w:rsid w:val="00B971E3"/>
    <w:rsid w:val="00BB325B"/>
    <w:rsid w:val="00BF52F7"/>
    <w:rsid w:val="00C10DD7"/>
    <w:rsid w:val="00C1785B"/>
    <w:rsid w:val="00C51509"/>
    <w:rsid w:val="00D76830"/>
    <w:rsid w:val="00D76ABA"/>
    <w:rsid w:val="00DE5D15"/>
    <w:rsid w:val="00DF4408"/>
    <w:rsid w:val="00E44BFC"/>
    <w:rsid w:val="00E600C9"/>
    <w:rsid w:val="00E65ABB"/>
    <w:rsid w:val="00EA3EF8"/>
    <w:rsid w:val="00EA72FE"/>
    <w:rsid w:val="00EB0E8F"/>
    <w:rsid w:val="00EE5022"/>
    <w:rsid w:val="00EF7F13"/>
    <w:rsid w:val="00F44A10"/>
    <w:rsid w:val="00F45E5B"/>
    <w:rsid w:val="00F56C13"/>
    <w:rsid w:val="00F87E5E"/>
    <w:rsid w:val="00F91D9A"/>
    <w:rsid w:val="00FB0ECF"/>
    <w:rsid w:val="00F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0E3A"/>
  <w15:chartTrackingRefBased/>
  <w15:docId w15:val="{12C33BEC-4A0B-4BB9-9C9B-272FAEDE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A">
    <w:name w:val="Corpo A"/>
    <w:rsid w:val="00693716"/>
    <w:pPr>
      <w:spacing w:after="0" w:line="276" w:lineRule="auto"/>
    </w:pPr>
    <w:rPr>
      <w:rFonts w:ascii="Arial" w:eastAsia="Arial Unicode MS" w:hAnsi="Arial" w:cs="Arial Unicode MS"/>
      <w:color w:val="000000"/>
      <w:kern w:val="0"/>
      <w:u w:color="000000"/>
      <w:lang w:val="es-ES_tradnl" w:eastAsia="pt-BR"/>
      <w14:textOutline w14:w="12700" w14:cap="flat" w14:cmpd="sng" w14:algn="ctr">
        <w14:noFill/>
        <w14:prstDash w14:val="solid"/>
        <w14:miter w14:lim="100000"/>
      </w14:textOutline>
      <w14:ligatures w14:val="none"/>
    </w:rPr>
  </w:style>
  <w:style w:type="character" w:customStyle="1" w:styleId="NenhumA">
    <w:name w:val="Nenhum A"/>
    <w:rsid w:val="00693716"/>
  </w:style>
  <w:style w:type="character" w:customStyle="1" w:styleId="Nenhum">
    <w:name w:val="Nenhum"/>
    <w:rsid w:val="00693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7</Pages>
  <Words>1400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47</cp:revision>
  <dcterms:created xsi:type="dcterms:W3CDTF">2023-09-12T23:00:00Z</dcterms:created>
  <dcterms:modified xsi:type="dcterms:W3CDTF">2023-09-30T00:35:00Z</dcterms:modified>
</cp:coreProperties>
</file>