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Análisis de Inversión</w:t>
      </w:r>
    </w:p>
    <w:p>
      <w:r>
        <w:t>Este informe contiene un análisis de los pesos óptimos del portafolio, estadísticas descriptivas de los activos y gráficos visuales de su rendimiento.</w:t>
      </w:r>
    </w:p>
    <w:p>
      <w:pPr>
        <w:pStyle w:val="Heading2"/>
      </w:pPr>
      <w:r>
        <w:t>Estadísticas Descriptivas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Ticker</w:t>
            </w:r>
          </w:p>
        </w:tc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max</w:t>
            </w:r>
          </w:p>
        </w:tc>
      </w:tr>
      <w:tr>
        <w:tc>
          <w:tcPr>
            <w:tcW w:type="dxa" w:w="960"/>
          </w:tcPr>
          <w:p>
            <w:r>
              <w:t>HOOD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16.04</w:t>
            </w:r>
          </w:p>
        </w:tc>
        <w:tc>
          <w:tcPr>
            <w:tcW w:type="dxa" w:w="960"/>
          </w:tcPr>
          <w:p>
            <w:r>
              <w:t>10.08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9.64</w:t>
            </w:r>
          </w:p>
        </w:tc>
        <w:tc>
          <w:tcPr>
            <w:tcW w:type="dxa" w:w="960"/>
          </w:tcPr>
          <w:p>
            <w:r>
              <w:t>11.28</w:t>
            </w:r>
          </w:p>
        </w:tc>
        <w:tc>
          <w:tcPr>
            <w:tcW w:type="dxa" w:w="960"/>
          </w:tcPr>
          <w:p>
            <w:r>
              <w:t>19.18</w:t>
            </w:r>
          </w:p>
        </w:tc>
        <w:tc>
          <w:tcPr>
            <w:tcW w:type="dxa" w:w="960"/>
          </w:tcPr>
          <w:p>
            <w:r>
              <w:t>70.39</w:t>
            </w:r>
          </w:p>
        </w:tc>
      </w:tr>
      <w:tr>
        <w:tc>
          <w:tcPr>
            <w:tcW w:type="dxa" w:w="960"/>
          </w:tcPr>
          <w:p>
            <w:r>
              <w:t>META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305.87</w:t>
            </w:r>
          </w:p>
        </w:tc>
        <w:tc>
          <w:tcPr>
            <w:tcW w:type="dxa" w:w="960"/>
          </w:tcPr>
          <w:p>
            <w:r>
              <w:t>132.51</w:t>
            </w:r>
          </w:p>
        </w:tc>
        <w:tc>
          <w:tcPr>
            <w:tcW w:type="dxa" w:w="960"/>
          </w:tcPr>
          <w:p>
            <w:r>
              <w:t>88.64</w:t>
            </w:r>
          </w:p>
        </w:tc>
        <w:tc>
          <w:tcPr>
            <w:tcW w:type="dxa" w:w="960"/>
          </w:tcPr>
          <w:p>
            <w:r>
              <w:t>190.8</w:t>
            </w:r>
          </w:p>
        </w:tc>
        <w:tc>
          <w:tcPr>
            <w:tcW w:type="dxa" w:w="960"/>
          </w:tcPr>
          <w:p>
            <w:r>
              <w:t>304.48</w:t>
            </w:r>
          </w:p>
        </w:tc>
        <w:tc>
          <w:tcPr>
            <w:tcW w:type="dxa" w:w="960"/>
          </w:tcPr>
          <w:p>
            <w:r>
              <w:t>375.39</w:t>
            </w:r>
          </w:p>
        </w:tc>
        <w:tc>
          <w:tcPr>
            <w:tcW w:type="dxa" w:w="960"/>
          </w:tcPr>
          <w:p>
            <w:r>
              <w:t>595.94</w:t>
            </w:r>
          </w:p>
        </w:tc>
      </w:tr>
      <w:tr>
        <w:tc>
          <w:tcPr>
            <w:tcW w:type="dxa" w:w="960"/>
          </w:tcPr>
          <w:p>
            <w:r>
              <w:t>MSFT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322.9</w:t>
            </w:r>
          </w:p>
        </w:tc>
        <w:tc>
          <w:tcPr>
            <w:tcW w:type="dxa" w:w="960"/>
          </w:tcPr>
          <w:p>
            <w:r>
              <w:t>65.54</w:t>
            </w:r>
          </w:p>
        </w:tc>
        <w:tc>
          <w:tcPr>
            <w:tcW w:type="dxa" w:w="960"/>
          </w:tcPr>
          <w:p>
            <w:r>
              <w:t>210.62</w:t>
            </w:r>
          </w:p>
        </w:tc>
        <w:tc>
          <w:tcPr>
            <w:tcW w:type="dxa" w:w="960"/>
          </w:tcPr>
          <w:p>
            <w:r>
              <w:t>271.48</w:t>
            </w:r>
          </w:p>
        </w:tc>
        <w:tc>
          <w:tcPr>
            <w:tcW w:type="dxa" w:w="960"/>
          </w:tcPr>
          <w:p>
            <w:r>
              <w:t>311.18</w:t>
            </w:r>
          </w:p>
        </w:tc>
        <w:tc>
          <w:tcPr>
            <w:tcW w:type="dxa" w:w="960"/>
          </w:tcPr>
          <w:p>
            <w:r>
              <w:t>376.84</w:t>
            </w:r>
          </w:p>
        </w:tc>
        <w:tc>
          <w:tcPr>
            <w:tcW w:type="dxa" w:w="960"/>
          </w:tcPr>
          <w:p>
            <w:r>
              <w:t>466.72</w:t>
            </w:r>
          </w:p>
        </w:tc>
      </w:tr>
      <w:tr>
        <w:tc>
          <w:tcPr>
            <w:tcW w:type="dxa" w:w="960"/>
          </w:tcPr>
          <w:p>
            <w:r>
              <w:t>NVDA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46.03</w:t>
            </w:r>
          </w:p>
        </w:tc>
        <w:tc>
          <w:tcPr>
            <w:tcW w:type="dxa" w:w="960"/>
          </w:tcPr>
          <w:p>
            <w:r>
              <w:t>36.07</w:t>
            </w:r>
          </w:p>
        </w:tc>
        <w:tc>
          <w:tcPr>
            <w:tcW w:type="dxa" w:w="960"/>
          </w:tcPr>
          <w:p>
            <w:r>
              <w:t>11.22</w:t>
            </w:r>
          </w:p>
        </w:tc>
        <w:tc>
          <w:tcPr>
            <w:tcW w:type="dxa" w:w="960"/>
          </w:tcPr>
          <w:p>
            <w:r>
              <w:t>20.15</w:t>
            </w:r>
          </w:p>
        </w:tc>
        <w:tc>
          <w:tcPr>
            <w:tcW w:type="dxa" w:w="960"/>
          </w:tcPr>
          <w:p>
            <w:r>
              <w:t>28.64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143.71</w:t>
            </w:r>
          </w:p>
        </w:tc>
      </w:tr>
      <w:tr>
        <w:tc>
          <w:tcPr>
            <w:tcW w:type="dxa" w:w="960"/>
          </w:tcPr>
          <w:p>
            <w:r>
              <w:t>TSLA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238.46</w:t>
            </w:r>
          </w:p>
        </w:tc>
        <w:tc>
          <w:tcPr>
            <w:tcW w:type="dxa" w:w="960"/>
          </w:tcPr>
          <w:p>
            <w:r>
              <w:t>57.47</w:t>
            </w:r>
          </w:p>
        </w:tc>
        <w:tc>
          <w:tcPr>
            <w:tcW w:type="dxa" w:w="960"/>
          </w:tcPr>
          <w:p>
            <w:r>
              <w:t>108.1</w:t>
            </w:r>
          </w:p>
        </w:tc>
        <w:tc>
          <w:tcPr>
            <w:tcW w:type="dxa" w:w="960"/>
          </w:tcPr>
          <w:p>
            <w:r>
              <w:t>193.77</w:t>
            </w:r>
          </w:p>
        </w:tc>
        <w:tc>
          <w:tcPr>
            <w:tcW w:type="dxa" w:w="960"/>
          </w:tcPr>
          <w:p>
            <w:r>
              <w:t>236.92</w:t>
            </w:r>
          </w:p>
        </w:tc>
        <w:tc>
          <w:tcPr>
            <w:tcW w:type="dxa" w:w="960"/>
          </w:tcPr>
          <w:p>
            <w:r>
              <w:t>268.38</w:t>
            </w:r>
          </w:p>
        </w:tc>
        <w:tc>
          <w:tcPr>
            <w:tcW w:type="dxa" w:w="960"/>
          </w:tcPr>
          <w:p>
            <w:r>
              <w:t>409.97</w:t>
            </w:r>
          </w:p>
        </w:tc>
      </w:tr>
      <w:tr>
        <w:tc>
          <w:tcPr>
            <w:tcW w:type="dxa" w:w="960"/>
          </w:tcPr>
          <w:p>
            <w:r>
              <w:t>RMSFT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RTSLA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</w:tr>
      <w:tr>
        <w:tc>
          <w:tcPr>
            <w:tcW w:type="dxa" w:w="960"/>
          </w:tcPr>
          <w:p>
            <w:r>
              <w:t>RNVDA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</w:tr>
      <w:tr>
        <w:tc>
          <w:tcPr>
            <w:tcW w:type="dxa" w:w="960"/>
          </w:tcPr>
          <w:p>
            <w:r>
              <w:t>RMETA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</w:tr>
      <w:tr>
        <w:tc>
          <w:tcPr>
            <w:tcW w:type="dxa" w:w="960"/>
          </w:tcPr>
          <w:p>
            <w:r>
              <w:t>RHOOD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</w:tbl>
    <w:p>
      <w:pPr>
        <w:pStyle w:val="Heading2"/>
      </w:pPr>
      <w:r>
        <w:t>Gráficos de Rendimiento</w:t>
      </w:r>
    </w:p>
    <w:p>
      <w:r>
        <w:t>Gráfico de Series Temporales:</w:t>
      </w:r>
    </w:p>
    <w:p>
      <w:r>
        <w:drawing>
          <wp:inline xmlns:a="http://schemas.openxmlformats.org/drawingml/2006/main" xmlns:pic="http://schemas.openxmlformats.org/drawingml/2006/picture">
            <wp:extent cx="5486400" cy="37582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ot_line_se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8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de Box Plot:</w:t>
      </w:r>
    </w:p>
    <w:p>
      <w:r>
        <w:drawing>
          <wp:inline xmlns:a="http://schemas.openxmlformats.org/drawingml/2006/main" xmlns:pic="http://schemas.openxmlformats.org/drawingml/2006/picture">
            <wp:extent cx="5486400" cy="35169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ot_box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6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Pesos Óptimos del Portafolio</w:t>
      </w:r>
    </w:p>
    <w:p>
      <w:r>
        <w:t>MSFT: 0.00%</w:t>
      </w:r>
    </w:p>
    <w:p>
      <w:r>
        <w:t>TSLA: 0.00%</w:t>
      </w:r>
    </w:p>
    <w:p>
      <w:r>
        <w:t>NVDA: 100.00%</w:t>
      </w:r>
    </w:p>
    <w:p>
      <w:r>
        <w:t>META: 0.00%</w:t>
      </w:r>
    </w:p>
    <w:p>
      <w:r>
        <w:t>HOOD: 0.00%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