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Calibri" w:hAnsi="Calibri" w:cs="Calibri" w:asciiTheme="minorHAnsi" w:cstheme="minorHAnsi" w:hAnsiTheme="minorHAnsi"/>
          <w:b/>
          <w:bCs/>
          <w:sz w:val="28"/>
          <w:szCs w:val="28"/>
        </w:rPr>
      </w:pPr>
      <w:r>
        <w:rPr>
          <w:rFonts w:cs="Calibri" w:cstheme="minorHAnsi" w:ascii="Calibri" w:hAnsi="Calibri"/>
          <w:b/>
          <w:bCs/>
          <w:sz w:val="28"/>
          <w:szCs w:val="28"/>
        </w:rPr>
        <w:tab/>
      </w:r>
    </w:p>
    <w:p>
      <w:pPr>
        <w:pStyle w:val="Normal"/>
        <w:spacing w:lineRule="auto" w:line="276"/>
        <w:rPr>
          <w:rFonts w:ascii="Calibri" w:hAnsi="Calibri" w:cs="Calibri" w:asciiTheme="minorHAnsi" w:cstheme="minorHAnsi" w:hAnsiTheme="minorHAnsi"/>
          <w:b/>
          <w:bCs/>
          <w:sz w:val="28"/>
          <w:szCs w:val="28"/>
        </w:rPr>
      </w:pPr>
      <w:r>
        <w:rPr>
          <w:rFonts w:cs="Calibri" w:cstheme="minorHAnsi" w:ascii="Calibri" w:hAnsi="Calibri"/>
          <w:b/>
          <w:bCs/>
          <w:sz w:val="28"/>
          <w:szCs w:val="28"/>
        </w:rPr>
      </w:r>
    </w:p>
    <w:p>
      <w:pPr>
        <w:pStyle w:val="Normal"/>
        <w:spacing w:lineRule="auto" w:line="276"/>
        <w:rPr>
          <w:rFonts w:ascii="Calibri" w:hAnsi="Calibri" w:cs="Calibri" w:asciiTheme="minorHAnsi" w:cstheme="minorHAnsi" w:hAnsiTheme="minorHAnsi"/>
          <w:b/>
          <w:bCs/>
          <w:sz w:val="28"/>
          <w:szCs w:val="28"/>
        </w:rPr>
      </w:pPr>
      <w:r>
        <w:rPr>
          <w:rFonts w:cs="Calibri" w:cstheme="minorHAnsi" w:ascii="Calibri" w:hAnsi="Calibri"/>
          <w:b/>
          <w:bCs/>
          <w:sz w:val="28"/>
          <w:szCs w:val="28"/>
        </w:rPr>
      </w:r>
    </w:p>
    <w:p>
      <w:pPr>
        <w:pStyle w:val="Normal"/>
        <w:spacing w:lineRule="auto" w:line="276"/>
        <w:jc w:val="center"/>
        <w:rPr>
          <w:rFonts w:ascii="Calibri" w:hAnsi="Calibri" w:cs="Calibri" w:asciiTheme="minorHAnsi" w:cstheme="minorHAnsi" w:hAnsiTheme="minorHAnsi"/>
          <w:b/>
          <w:bCs/>
          <w:sz w:val="40"/>
          <w:szCs w:val="40"/>
        </w:rPr>
      </w:pPr>
      <w:r>
        <w:rPr>
          <w:rFonts w:cs="Calibri" w:cstheme="minorHAnsi" w:ascii="Calibri" w:hAnsi="Calibri"/>
          <w:b/>
          <w:bCs/>
          <w:sz w:val="40"/>
          <w:szCs w:val="40"/>
        </w:rPr>
        <w:t>UK Crime Prediction by Area (2022–2025): Project Summary and Methodology</w:t>
      </w:r>
    </w:p>
    <w:p>
      <w:pPr>
        <w:pStyle w:val="Normal"/>
        <w:spacing w:lineRule="auto" w:line="276"/>
        <w:jc w:val="center"/>
        <w:rPr>
          <w:rFonts w:ascii="Calibri" w:hAnsi="Calibri" w:cs="Calibri" w:asciiTheme="minorHAnsi" w:cstheme="minorHAnsi" w:hAnsiTheme="minorHAnsi"/>
          <w:b/>
          <w:bCs/>
          <w:sz w:val="40"/>
          <w:szCs w:val="40"/>
        </w:rPr>
      </w:pPr>
      <w:r>
        <w:rPr>
          <w:rFonts w:cs="Calibri" w:cstheme="minorHAnsi" w:ascii="Calibri" w:hAnsi="Calibri"/>
          <w:b/>
          <w:bCs/>
          <w:sz w:val="40"/>
          <w:szCs w:val="40"/>
        </w:rPr>
      </w:r>
    </w:p>
    <w:p>
      <w:pPr>
        <w:pStyle w:val="Normal"/>
        <w:spacing w:lineRule="auto" w:line="276"/>
        <w:rPr>
          <w:rFonts w:ascii="Calibri" w:hAnsi="Calibri" w:cs="Calibri" w:asciiTheme="minorHAnsi" w:cstheme="minorHAnsi" w:hAnsiTheme="minorHAnsi"/>
          <w:b/>
          <w:bCs/>
          <w:sz w:val="28"/>
          <w:szCs w:val="28"/>
        </w:rPr>
      </w:pPr>
      <w:r>
        <w:rPr>
          <w:rFonts w:cs="Calibri" w:cstheme="minorHAnsi" w:ascii="Calibri" w:hAnsi="Calibri"/>
          <w:b/>
          <w:bCs/>
          <w:sz w:val="28"/>
          <w:szCs w:val="28"/>
        </w:rPr>
      </w:r>
    </w:p>
    <w:p>
      <w:pPr>
        <w:pStyle w:val="Normal"/>
        <w:spacing w:lineRule="auto" w:line="276"/>
        <w:rPr>
          <w:rFonts w:ascii="Calibri" w:hAnsi="Calibri" w:cs="Calibri" w:asciiTheme="minorHAnsi" w:cstheme="minorHAnsi" w:hAnsiTheme="minorHAnsi"/>
          <w:sz w:val="24"/>
          <w:szCs w:val="24"/>
        </w:rPr>
      </w:pPr>
      <w:r>
        <w:rPr>
          <w:rFonts w:cs="Calibri" w:ascii="Calibri" w:hAnsi="Calibri" w:asciiTheme="minorHAnsi" w:cstheme="minorHAnsi" w:hAnsiTheme="minorHAnsi"/>
          <w:b/>
          <w:bCs/>
          <w:color w:val="FF0000"/>
          <w:sz w:val="28"/>
          <w:szCs w:val="28"/>
        </w:rPr>
        <w:t>Coventry</w:t>
      </w:r>
      <w:r>
        <w:rPr>
          <w:rFonts w:cs="Calibri" w:ascii="Calibri" w:hAnsi="Calibri" w:asciiTheme="minorHAnsi" w:cstheme="minorHAnsi" w:hAnsiTheme="minorHAnsi"/>
          <w:b/>
          <w:bCs/>
          <w:sz w:val="28"/>
          <w:szCs w:val="28"/>
        </w:rPr>
        <w:t xml:space="preserve"> GitHub Repository URL</w:t>
      </w:r>
      <w:r>
        <w:rPr>
          <w:rFonts w:cs="Calibri" w:ascii="Calibri" w:hAnsi="Calibri" w:asciiTheme="minorHAnsi" w:cstheme="minorHAnsi" w:hAnsiTheme="minorHAnsi"/>
          <w:sz w:val="24"/>
          <w:szCs w:val="24"/>
        </w:rPr>
        <w:t xml:space="preserve"> or </w:t>
      </w:r>
      <w:r>
        <w:rPr>
          <w:rFonts w:cs="Calibri" w:ascii="Calibri" w:hAnsi="Calibri" w:asciiTheme="minorHAnsi" w:cstheme="minorHAnsi" w:hAnsiTheme="minorHAnsi"/>
          <w:b/>
          <w:bCs/>
          <w:color w:val="FF0000"/>
          <w:sz w:val="28"/>
          <w:szCs w:val="28"/>
        </w:rPr>
        <w:t>Coventry</w:t>
      </w:r>
      <w:r>
        <w:rPr>
          <w:rFonts w:cs="Calibri" w:ascii="Calibri" w:hAnsi="Calibri" w:asciiTheme="minorHAnsi" w:cstheme="minorHAnsi" w:hAnsiTheme="minorHAnsi"/>
          <w:b/>
          <w:bCs/>
          <w:sz w:val="28"/>
          <w:szCs w:val="28"/>
        </w:rPr>
        <w:t xml:space="preserve"> OneDrive URL</w:t>
      </w:r>
      <w:r>
        <w:rPr>
          <w:rFonts w:cs="Calibri" w:ascii="Calibri" w:hAnsi="Calibri" w:asciiTheme="minorHAnsi" w:cstheme="minorHAnsi" w:hAnsiTheme="minorHAnsi"/>
          <w:sz w:val="24"/>
          <w:szCs w:val="24"/>
        </w:rPr>
        <w:t xml:space="preserve"> (mandatory):</w:t>
      </w:r>
    </w:p>
    <w:p>
      <w:pPr>
        <w:pStyle w:val="Normal"/>
        <w:spacing w:lineRule="auto" w:line="276"/>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&lt; Replace this text with your Coventry GitHub Repository URL or Coventry OneDrive URL.</w:t>
      </w:r>
    </w:p>
    <w:p>
      <w:pPr>
        <w:pStyle w:val="Normal"/>
        <w:spacing w:lineRule="auto" w:line="276"/>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Make sure that you add </w:t>
      </w:r>
      <w:hyperlink r:id="rId2">
        <w:r>
          <w:rPr>
            <w:rStyle w:val="Hyperlink"/>
            <w:rFonts w:cs="Calibri" w:ascii="Calibri" w:hAnsi="Calibri" w:asciiTheme="minorHAnsi" w:cstheme="minorHAnsi" w:hAnsiTheme="minorHAnsi"/>
            <w:b/>
            <w:bCs/>
            <w:sz w:val="24"/>
            <w:szCs w:val="24"/>
          </w:rPr>
          <w:t>ab0480@coventry.ac.uk</w:t>
        </w:r>
      </w:hyperlink>
      <w:r>
        <w:rPr>
          <w:rFonts w:cs="Calibri" w:ascii="Calibri" w:hAnsi="Calibri" w:asciiTheme="minorHAnsi" w:cstheme="minorHAnsi" w:hAnsiTheme="minorHAnsi"/>
          <w:sz w:val="24"/>
          <w:szCs w:val="24"/>
        </w:rPr>
        <w:t xml:space="preserve">, </w:t>
      </w:r>
      <w:hyperlink r:id="rId3">
        <w:r>
          <w:rPr>
            <w:rStyle w:val="Hyperlink"/>
            <w:rFonts w:cs="Calibri" w:ascii="Calibri" w:hAnsi="Calibri" w:asciiTheme="minorHAnsi" w:cstheme="minorHAnsi" w:hAnsiTheme="minorHAnsi"/>
            <w:b/>
            <w:bCs/>
            <w:sz w:val="24"/>
            <w:szCs w:val="24"/>
          </w:rPr>
          <w:t>ae2791@coventry.ac.uk</w:t>
        </w:r>
      </w:hyperlink>
      <w:r>
        <w:rPr>
          <w:rFonts w:cs="Calibri" w:ascii="Calibri" w:hAnsi="Calibri" w:asciiTheme="minorHAnsi" w:cstheme="minorHAnsi" w:hAnsiTheme="minorHAnsi"/>
          <w:sz w:val="24"/>
          <w:szCs w:val="24"/>
        </w:rPr>
        <w:t xml:space="preserve"> and </w:t>
      </w:r>
      <w:hyperlink r:id="rId4">
        <w:r>
          <w:rPr>
            <w:rStyle w:val="Hyperlink"/>
            <w:rFonts w:cs="Calibri" w:ascii="Calibri" w:hAnsi="Calibri" w:asciiTheme="minorHAnsi" w:cstheme="minorHAnsi" w:hAnsiTheme="minorHAnsi"/>
            <w:b/>
            <w:bCs/>
            <w:sz w:val="24"/>
            <w:szCs w:val="24"/>
          </w:rPr>
          <w:t>ac2028@coventry.ac.uk</w:t>
        </w:r>
      </w:hyperlink>
      <w:r>
        <w:rPr>
          <w:rFonts w:cs="Calibri" w:ascii="Calibri" w:hAnsi="Calibri" w:asciiTheme="minorHAnsi" w:cstheme="minorHAnsi" w:hAnsiTheme="minorHAnsi"/>
          <w:sz w:val="24"/>
          <w:szCs w:val="24"/>
        </w:rPr>
        <w:t xml:space="preserve"> as Collaborators to facilitate marking &gt;</w:t>
      </w:r>
    </w:p>
    <w:p>
      <w:pPr>
        <w:pStyle w:val="Normal"/>
        <w:spacing w:lineRule="auto" w:line="276"/>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BodyText"/>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BodyText"/>
        <w:rPr>
          <w:rFonts w:ascii="Calibri" w:hAnsi="Calibri" w:cs="Calibri" w:asciiTheme="minorHAnsi" w:cstheme="minorHAnsi" w:hAnsiTheme="minorHAnsi"/>
          <w:sz w:val="24"/>
          <w:szCs w:val="24"/>
        </w:rPr>
      </w:pPr>
      <w:r>
        <w:rPr>
          <w:rFonts w:cs="Calibri" w:cstheme="minorHAnsi" w:ascii="Calibri" w:hAnsi="Calibri"/>
          <w:b/>
          <w:bCs/>
          <w:sz w:val="28"/>
          <w:szCs w:val="28"/>
        </w:rPr>
      </w:r>
    </w:p>
    <w:p>
      <w:pPr>
        <w:pStyle w:val="Heading1"/>
        <w:rPr>
          <w:rFonts w:ascii="Calibri" w:hAnsi="Calibri" w:cs="Calibri" w:asciiTheme="minorHAnsi" w:cstheme="minorHAnsi" w:hAnsiTheme="minorHAnsi"/>
          <w:b w:val="false"/>
          <w:bCs w:val="false"/>
          <w:sz w:val="28"/>
          <w:szCs w:val="28"/>
        </w:rPr>
      </w:pPr>
      <w:r>
        <w:rPr>
          <w:rFonts w:cs="Calibri" w:cstheme="minorHAnsi" w:ascii="Calibri" w:hAnsi="Calibri"/>
          <w:b w:val="false"/>
          <w:bCs w:val="false"/>
          <w:sz w:val="28"/>
          <w:szCs w:val="28"/>
        </w:rPr>
      </w:r>
    </w:p>
    <w:p>
      <w:pPr>
        <w:pStyle w:val="Heading1"/>
        <w:rPr>
          <w:rStyle w:val="Strong"/>
          <w:b w:val="false"/>
          <w:bCs w:val="false"/>
          <w:sz w:val="20"/>
          <w:szCs w:val="20"/>
        </w:rPr>
      </w:pPr>
      <w:r>
        <w:rPr>
          <w:rFonts w:cs="Calibri" w:cstheme="minorHAnsi" w:ascii="Calibri" w:hAnsi="Calibri"/>
          <w:b/>
          <w:bCs/>
          <w:sz w:val="28"/>
          <w:szCs w:val="28"/>
        </w:rPr>
      </w:r>
    </w:p>
    <w:p>
      <w:pPr>
        <w:pStyle w:val="Normal"/>
        <w:rPr/>
      </w:pPr>
      <w:r>
        <w:rPr>
          <w:rStyle w:val="Strong"/>
          <w:b/>
          <w:bCs/>
          <w:sz w:val="28"/>
          <w:szCs w:val="28"/>
        </w:rPr>
        <w:t>Table of contents</w:t>
      </w:r>
    </w:p>
    <w:p>
      <w:pPr>
        <w:pStyle w:val="Heading1"/>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Table of Contents (APA Format)</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UK Crime Prediction by Area (2022–2025): Project Summary and Methodology</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Data Collection and Rationale of Data Sources</w:t>
      </w:r>
      <w:r>
        <w:rPr>
          <w:rFonts w:cs="Calibri" w:cstheme="minorHAnsi" w:ascii="Calibri" w:hAnsi="Calibri"/>
          <w:b w:val="false"/>
          <w:bCs w:val="false"/>
          <w:sz w:val="20"/>
          <w:szCs w:val="20"/>
        </w:rPr>
        <w:br/>
        <w:t>  2.1 UK Police Monthly Street-Level Crime Data (2022–2025)</w:t>
        <w:br/>
        <w:t>  2.2 Census 2021 – TS001 Residence Type</w:t>
        <w:br/>
        <w:t>  2.3 Census 2021 – TS006 Population Density</w:t>
        <w:br/>
        <w:t>  2.4 Census 2021 – TS011 Household Deprivation</w:t>
        <w:br/>
        <w:t>  2.5 Census 2021 – TS066 Economic Activity Status</w:t>
        <w:br/>
        <w:t>  2.6 Census 2021 – TS067 Highest Level of Qualification</w:t>
        <w:br/>
        <w:t>  2.7 LSOA Boundary Data (ONS GeoPortal)</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Use of Parquet Instead of CSV</w:t>
      </w:r>
      <w:r>
        <w:rPr>
          <w:rFonts w:cs="Calibri" w:cstheme="minorHAnsi" w:ascii="Calibri" w:hAnsi="Calibri"/>
          <w:b w:val="false"/>
          <w:bCs w:val="false"/>
          <w:sz w:val="20"/>
          <w:szCs w:val="20"/>
        </w:rPr>
        <w:br/>
        <w:t>  3.1 Technical Comparison: Parquet vs. CSV</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Computation and Operating Environment Optimization</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Data Aggregation and Feature Engineering</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Data Splitting Strategy</w:t>
      </w:r>
      <w:r>
        <w:rPr>
          <w:rFonts w:cs="Calibri" w:cstheme="minorHAnsi" w:ascii="Calibri" w:hAnsi="Calibri"/>
          <w:b w:val="false"/>
          <w:bCs w:val="false"/>
          <w:sz w:val="20"/>
          <w:szCs w:val="20"/>
        </w:rPr>
        <w:br/>
        <w:t>  6.1 Optimal Chronological Split (Joseph, 2022)</w:t>
        <w:br/>
        <w:t>  6.2 Standard 40–30–30 Split</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Model Selection and Rationale</w:t>
      </w:r>
      <w:r>
        <w:rPr>
          <w:rFonts w:cs="Calibri" w:cstheme="minorHAnsi" w:ascii="Calibri" w:hAnsi="Calibri"/>
          <w:b w:val="false"/>
          <w:bCs w:val="false"/>
          <w:sz w:val="20"/>
          <w:szCs w:val="20"/>
        </w:rPr>
        <w:br/>
        <w:t>  7.1 Ordinary Least Squares (OLS) Regression</w:t>
        <w:br/>
        <w:t>  7.2 Random Forest Regression</w:t>
        <w:br/>
        <w:t>  7.3 XGBoost Regression</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Prediction Without Future Forecasting</w:t>
      </w:r>
    </w:p>
    <w:p>
      <w:pPr>
        <w:pStyle w:val="BodyText"/>
        <w:numPr>
          <w:ilvl w:val="0"/>
          <w:numId w:val="2"/>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Conclusion</w:t>
      </w:r>
    </w:p>
    <w:p>
      <w:pPr>
        <w:pStyle w:val="Heading2"/>
        <w:spacing w:before="0" w:after="283"/>
        <w:rPr>
          <w:rFonts w:ascii="Calibri" w:hAnsi="Calibri" w:cs="Calibri" w:asciiTheme="minorHAnsi" w:cstheme="minorHAnsi" w:hAnsiTheme="minorHAnsi"/>
          <w:sz w:val="28"/>
          <w:szCs w:val="28"/>
        </w:rPr>
      </w:pPr>
      <w:r>
        <w:rPr>
          <w:rStyle w:val="Strong"/>
          <w:rFonts w:cs="Calibri" w:cstheme="minorHAnsi" w:ascii="Calibri" w:hAnsi="Calibri"/>
          <w:b w:val="false"/>
          <w:bCs w:val="false"/>
          <w:sz w:val="20"/>
          <w:szCs w:val="20"/>
        </w:rPr>
        <w:t>Supplementary Dataset Overview</w:t>
      </w:r>
    </w:p>
    <w:p>
      <w:pPr>
        <w:pStyle w:val="BodyText"/>
        <w:numPr>
          <w:ilvl w:val="0"/>
          <w:numId w:val="3"/>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 xml:space="preserve">Dataset </w:t>
      </w:r>
      <w:r>
        <w:rPr>
          <w:rStyle w:val="Strong"/>
          <w:rFonts w:cs="Calibri" w:cstheme="minorHAnsi" w:ascii="Calibri" w:hAnsi="Calibri"/>
          <w:b w:val="false"/>
          <w:bCs w:val="false"/>
          <w:sz w:val="20"/>
          <w:szCs w:val="20"/>
        </w:rPr>
        <w:t>Used</w:t>
      </w:r>
    </w:p>
    <w:p>
      <w:pPr>
        <w:pStyle w:val="Heading1"/>
        <w:spacing w:before="0" w:after="283"/>
        <w:rPr>
          <w:rFonts w:ascii="Calibri" w:hAnsi="Calibri" w:cs="Calibri" w:asciiTheme="minorHAnsi" w:cstheme="minorHAnsi" w:hAnsiTheme="minorHAnsi"/>
          <w:sz w:val="28"/>
          <w:szCs w:val="28"/>
        </w:rPr>
      </w:pPr>
      <w:r>
        <w:rPr>
          <w:rStyle w:val="Strong"/>
          <w:rFonts w:cs="Calibri" w:cstheme="minorHAnsi" w:ascii="Calibri" w:hAnsi="Calibri"/>
          <w:b w:val="false"/>
          <w:bCs w:val="false"/>
          <w:sz w:val="20"/>
          <w:szCs w:val="20"/>
        </w:rPr>
        <w:t>Machine Translation: A Literature Review</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Abstract</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Introduction</w:t>
      </w:r>
      <w:r>
        <w:rPr>
          <w:rFonts w:cs="Calibri" w:cstheme="minorHAnsi" w:ascii="Calibri" w:hAnsi="Calibri"/>
          <w:b w:val="false"/>
          <w:bCs w:val="false"/>
          <w:sz w:val="20"/>
          <w:szCs w:val="20"/>
        </w:rPr>
        <w:br/>
        <w:t>  12.1 Shift From SMT to NMT</w:t>
        <w:br/>
        <w:t>  12.2 Transformer Models and Attention Mechanisms</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Fundamentals of Machine Translation</w:t>
      </w:r>
      <w:r>
        <w:rPr>
          <w:rFonts w:cs="Calibri" w:cstheme="minorHAnsi" w:ascii="Calibri" w:hAnsi="Calibri"/>
          <w:b w:val="false"/>
          <w:bCs w:val="false"/>
          <w:sz w:val="20"/>
          <w:szCs w:val="20"/>
        </w:rPr>
        <w:br/>
        <w:t>  13.1 Evolution Toward Neural Machine Translation</w:t>
        <w:br/>
        <w:t>  13.2 Subword Representation (Byte-Pair Encoding)</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Domain Adaptation and System Development</w:t>
      </w:r>
      <w:r>
        <w:rPr>
          <w:rFonts w:cs="Calibri" w:cstheme="minorHAnsi" w:ascii="Calibri" w:hAnsi="Calibri"/>
          <w:b w:val="false"/>
          <w:bCs w:val="false"/>
          <w:sz w:val="20"/>
          <w:szCs w:val="20"/>
        </w:rPr>
        <w:br/>
        <w:t>  14.1 Fine-Tuning</w:t>
        <w:br/>
        <w:t>  14.2 Multi-Domain Modelling</w:t>
        <w:br/>
        <w:t>  14.3 Data Selection</w:t>
        <w:br/>
        <w:t>  14.4 WMT System Development (Cambridge)</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Evaluation and Translation Quality</w:t>
      </w:r>
      <w:r>
        <w:rPr>
          <w:rFonts w:cs="Calibri" w:cstheme="minorHAnsi" w:ascii="Calibri" w:hAnsi="Calibri"/>
          <w:b w:val="false"/>
          <w:bCs w:val="false"/>
          <w:sz w:val="20"/>
          <w:szCs w:val="20"/>
        </w:rPr>
        <w:br/>
        <w:t>  15.1 Issues in MT Evaluation: Translationese and Statistical Power</w:t>
        <w:br/>
        <w:t>  15.2 Unsupervised Quality Estimation</w:t>
        <w:br/>
        <w:t>  15.3 Multilingual Evaluation Considerations</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Reliability and Uncertainty in NMT</w:t>
      </w:r>
      <w:r>
        <w:rPr>
          <w:rFonts w:cs="Calibri" w:cstheme="minorHAnsi" w:ascii="Calibri" w:hAnsi="Calibri"/>
          <w:b w:val="false"/>
          <w:bCs w:val="false"/>
          <w:sz w:val="20"/>
          <w:szCs w:val="20"/>
        </w:rPr>
        <w:br/>
        <w:t>  16.1 Similarity-Sensitive Entropy</w:t>
        <w:br/>
        <w:t>  16.2 Error Diagnosis Through Uncertainty Measures</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Context-Aware Neural Machine Translation</w:t>
      </w:r>
      <w:r>
        <w:rPr>
          <w:rFonts w:cs="Calibri" w:cstheme="minorHAnsi" w:ascii="Calibri" w:hAnsi="Calibri"/>
          <w:b w:val="false"/>
          <w:bCs w:val="false"/>
          <w:sz w:val="20"/>
          <w:szCs w:val="20"/>
        </w:rPr>
        <w:br/>
        <w:t>  17.1 Document-Level and Multi-Sentence Context</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Modern Evaluation Metrics Beyond BLEU</w:t>
      </w:r>
      <w:r>
        <w:rPr>
          <w:rFonts w:cs="Calibri" w:cstheme="minorHAnsi" w:ascii="Calibri" w:hAnsi="Calibri"/>
          <w:b w:val="false"/>
          <w:bCs w:val="false"/>
          <w:sz w:val="20"/>
          <w:szCs w:val="20"/>
        </w:rPr>
        <w:br/>
        <w:t>  18.1 COMET</w:t>
        <w:br/>
        <w:t>  18.2 BLEURT</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State of the Art in NMT</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General Discussion</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Conclusions</w:t>
      </w:r>
    </w:p>
    <w:p>
      <w:pPr>
        <w:pStyle w:val="BodyText"/>
        <w:numPr>
          <w:ilvl w:val="0"/>
          <w:numId w:val="4"/>
        </w:numPr>
        <w:tabs>
          <w:tab w:val="clear" w:pos="720"/>
          <w:tab w:val="left" w:pos="0" w:leader="none"/>
        </w:tabs>
        <w:ind w:hanging="283" w:start="709"/>
        <w:rPr>
          <w:rFonts w:ascii="Calibri" w:hAnsi="Calibri" w:cs="Calibri" w:asciiTheme="minorHAnsi" w:cstheme="minorHAnsi" w:hAnsiTheme="minorHAnsi"/>
          <w:b/>
          <w:bCs/>
          <w:sz w:val="28"/>
          <w:szCs w:val="28"/>
        </w:rPr>
      </w:pPr>
      <w:r>
        <w:rPr>
          <w:rStyle w:val="Strong"/>
          <w:rFonts w:cs="Calibri" w:cstheme="minorHAnsi" w:ascii="Calibri" w:hAnsi="Calibri"/>
          <w:b w:val="false"/>
          <w:bCs w:val="false"/>
          <w:sz w:val="20"/>
          <w:szCs w:val="20"/>
        </w:rPr>
        <w:t>References</w:t>
      </w:r>
    </w:p>
    <w:p>
      <w:pPr>
        <w:pStyle w:val="BodyText"/>
        <w:widowControl/>
        <w:numPr>
          <w:ilvl w:val="0"/>
          <w:numId w:val="4"/>
        </w:numPr>
        <w:tabs>
          <w:tab w:val="clear" w:pos="720"/>
          <w:tab w:val="left" w:pos="0" w:leader="none"/>
        </w:tabs>
        <w:bidi w:val="0"/>
        <w:ind w:hanging="283" w:start="709"/>
        <w:jc w:val="start"/>
        <w:rPr/>
      </w:pPr>
      <w:r>
        <w:rPr>
          <w:rStyle w:val="Strong"/>
          <w:b w:val="false"/>
          <w:bCs w:val="false"/>
        </w:rPr>
        <w:t>Bibliography</w:t>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r>
      <w:r>
        <w:br w:type="page"/>
      </w:r>
    </w:p>
    <w:tbl>
      <w:tblPr>
        <w:tblStyle w:val="TableGrid"/>
        <w:tblW w:w="10602" w:type="dxa"/>
        <w:jc w:val="start"/>
        <w:tblInd w:w="-15" w:type="dxa"/>
        <w:tblLayout w:type="fixed"/>
        <w:tblCellMar>
          <w:top w:w="0" w:type="dxa"/>
          <w:start w:w="108" w:type="dxa"/>
          <w:bottom w:w="0" w:type="dxa"/>
          <w:end w:w="108" w:type="dxa"/>
        </w:tblCellMar>
        <w:tblLook w:val="04a0" w:noHBand="0" w:noVBand="1" w:firstColumn="1" w:lastRow="0" w:lastColumn="0" w:firstRow="1"/>
      </w:tblPr>
      <w:tblGrid>
        <w:gridCol w:w="10602"/>
      </w:tblGrid>
      <w:tr>
        <w:trPr>
          <w:trHeight w:val="397" w:hRule="atLeast"/>
        </w:trPr>
        <w:tc>
          <w:tcPr>
            <w:tcW w:w="10602" w:type="dxa"/>
            <w:tcBorders>
              <w:top w:val="double" w:sz="4" w:space="0" w:color="000000"/>
              <w:start w:val="double" w:sz="4" w:space="0" w:color="000000"/>
              <w:bottom w:val="double" w:sz="4" w:space="0" w:color="000000"/>
              <w:end w:val="double" w:sz="4" w:space="0" w:color="000000"/>
            </w:tcBorders>
            <w:vAlign w:val="center"/>
          </w:tcPr>
          <w:p>
            <w:pPr>
              <w:pStyle w:val="Normal"/>
              <w:pageBreakBefore/>
              <w:widowControl/>
              <w:spacing w:lineRule="auto" w:line="276" w:before="0" w:after="0"/>
              <w:jc w:val="center"/>
              <w:rPr>
                <w:rFonts w:cs="Calibri" w:cstheme="minorHAnsi"/>
                <w:b/>
                <w:bCs/>
                <w:sz w:val="40"/>
                <w:szCs w:val="40"/>
              </w:rPr>
            </w:pPr>
            <w:r>
              <w:rPr>
                <w:rFonts w:eastAsia="" w:cs="Calibri" w:ascii="Calibri" w:hAnsi="Calibri" w:cstheme="minorHAnsi"/>
                <w:b/>
                <w:bCs/>
                <w:kern w:val="0"/>
                <w:sz w:val="40"/>
                <w:szCs w:val="40"/>
                <w:lang w:val="en-GB" w:bidi="ar-SA"/>
              </w:rPr>
              <w:t>Academic Report</w:t>
            </w:r>
          </w:p>
        </w:tc>
      </w:tr>
    </w:tbl>
    <w:p>
      <w:pPr>
        <w:pStyle w:val="Normal"/>
        <w:spacing w:lineRule="auto" w:line="276"/>
        <w:jc w:val="center"/>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120" w:after="240"/>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1 </w:t>
      </w:r>
      <w:r>
        <w:rPr>
          <w:rFonts w:cs="Calibri" w:cstheme="minorHAnsi" w:ascii="Calibri" w:hAnsi="Calibri"/>
          <w:b/>
          <w:bCs/>
          <w:sz w:val="24"/>
          <w:szCs w:val="24"/>
        </w:rPr>
        <w:t>UK Crime Prediction by Area (2022–2025): Project Summary and Methodology</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This research investigates the prediction of crime volume on a monthly basis for the Lower Layer Super Output Areas of the United Kingdom from 2022 to 2025. The research subject is of high relevance to society, as crime forecasting assists local governments, police organizations, and administrative bodies to effectively allocate their resources, detect novel crime areas, and comprehend socio-economic drivers of crime. The United Kingdom is a preferred case for crime forecasting because of the availability of crime data, which can be accessed from the UK Police open data portal. This portal supports a realistic crime forecasting system because of its crime data scope, enabling the development of a massive system. This research formulates the problem of crime forecasting as a regression task, where the variable crime_count represents a continuous value of recorded crime for each LSOA unit and each month. The formulation of the crimedata forecast problem is significantly different from other tasks, such as classification or clustering. Although this research is for crime forecasting up to the last month of the crimedataset, this task is essentially a prediction problem because the developed system requires forecasting of crime for the held-back portions of the time-series data that the system never saw or learned from. This is well-known and understood by researchers working on machine learning tasks, referred to as held-back forecasting.</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b/>
          <w:bCs/>
          <w:sz w:val="20"/>
          <w:szCs w:val="20"/>
        </w:rPr>
      </w:pPr>
      <w:r>
        <w:rPr>
          <w:rFonts w:cs="Calibri" w:cstheme="minorHAnsi" w:ascii="Calibri" w:hAnsi="Calibri"/>
          <w:b/>
          <w:bCs/>
          <w:sz w:val="20"/>
          <w:szCs w:val="20"/>
        </w:rPr>
        <w:t xml:space="preserve">2 </w:t>
      </w:r>
      <w:r>
        <w:rPr>
          <w:rFonts w:cs="Calibri" w:cstheme="minorHAnsi" w:ascii="Calibri" w:hAnsi="Calibri"/>
          <w:b/>
          <w:bCs/>
          <w:sz w:val="20"/>
          <w:szCs w:val="20"/>
        </w:rPr>
        <w:t>D</w:t>
      </w:r>
      <w:r>
        <w:rPr>
          <w:rFonts w:cs="Calibri" w:cstheme="minorHAnsi" w:ascii="Calibri" w:hAnsi="Calibri"/>
          <w:b/>
          <w:bCs/>
          <w:sz w:val="24"/>
          <w:szCs w:val="24"/>
        </w:rPr>
        <w:t xml:space="preserve">ata Collection and Rationale of Data Sources </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The c</w:t>
      </w:r>
      <w:r>
        <w:rPr>
          <w:rFonts w:cs="Calibri" w:cstheme="minorHAnsi" w:ascii="Calibri" w:hAnsi="Calibri"/>
          <w:sz w:val="20"/>
          <w:szCs w:val="20"/>
        </w:rPr>
        <w:t>rime data available from 2022–2025 was collected from the UK Police’s open data platform. Temporary disruptions to the API require that multiple months of crime data be directly downloaded from a command line interface to maintain continuity of the data collection process. The resulting crime data collection contains about 14.5 million crime events, along with corresponding identifiers, dates, spatial information, codes for LSOA, type of crime, and crime outcomes. After undergoing data cleaning, removing duplicates, and removing null values, the crime data was prepared to be analyzed. Adding a socio-economic dimension to the predictive model, a range of demographic and economic statistics from the 2021 Census, offered by the Office for National Statistics and Nomis, was sourced. Utilizing LSOA Census files to provide detailed data such as population figures, population density, various forms of deprivation, prevalence of disability, workforce details, and participation statistics, among other dimensions, significantly adds to the predictive ability of the model-building process. These statistics have long-established scientific relationships to crime patterns, as understood from criminally driven scholarship.</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Use of Parquet Instead of CSV</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3 </w:t>
      </w:r>
      <w:r>
        <w:rPr>
          <w:rFonts w:cs="Calibri" w:cstheme="minorHAnsi" w:ascii="Calibri" w:hAnsi="Calibri"/>
          <w:b/>
          <w:bCs/>
          <w:sz w:val="24"/>
          <w:szCs w:val="24"/>
        </w:rPr>
        <w:t>Parquet vs. CSV: A New, Technical Definition</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One of the most important technical considerations was to transform all the raw CSV files into the Apache Parquet format. This is because working with the Apache Parquet format allowed for efficient compression, a columnar structure for improved analytical capabilities, and compatibility with popular libraries such as pandas, Modin, and PyArrow, thus overcoming the drawbacks associated with working with CSV files. Additionally, by incorporating the Apache Parquet format, the technical aspect of this project was able to make efficient use of the available hardware components, including a high-performance Ubuntu server, 64 GB of memory, Xeon processors that can sustain 48 threads, and NVMe storage.</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4 </w:t>
      </w:r>
      <w:r>
        <w:rPr>
          <w:rFonts w:cs="Calibri" w:cstheme="minorHAnsi" w:ascii="Calibri" w:hAnsi="Calibri"/>
          <w:b/>
          <w:bCs/>
          <w:sz w:val="24"/>
          <w:szCs w:val="24"/>
        </w:rPr>
        <w:t>Computation and Operating Environment Optimization</w:t>
      </w:r>
    </w:p>
    <w:p>
      <w:pPr>
        <w:pStyle w:val="Normal"/>
        <w:spacing w:lineRule="auto" w:line="276"/>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Experiments involved two different computer setups, namely the development environment on an Arch Linux workstation, where exploration and development of the code took place, and the Ubuntu server set up on Proxmox for comprehensive execution. The presence of two Intel Xeon processors, massive memory, and speedy storage made this server the hub for all data-related tasks. These tasks can be made even faster through the integration of math libraries such as NumPy, SciPy, pandas, and scikit-learn with Intel’s Math Kernel Library, setting up parameters for handling threads, and making use of Modin and Ray for handling data processing tasks. Use of Parquet to store temporary datasets adds to the optimality of this system, as processing massive numbers of data is made simpler.</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5 </w:t>
      </w:r>
      <w:r>
        <w:rPr>
          <w:rFonts w:cs="Calibri" w:cstheme="minorHAnsi" w:ascii="Calibri" w:hAnsi="Calibri"/>
          <w:b/>
          <w:bCs/>
          <w:sz w:val="24"/>
          <w:szCs w:val="24"/>
        </w:rPr>
        <w:t>Data Aggregation and Feature Engineering</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Crime data was aggregated on a monthly basis for each Lower Layer Super Output Area (LSOA) to obtain the target variable. After combining socio-economic variables, a number of engineered variables were created to increase model accuracy, such as crime rate normalized for population, lagged crime for previous months, time-related descriptors such as month number, season, and year, and percentage changes from previous observations. Engineered Variables help to extract the influence of seasonality, population, and socio-economic factors on crime behavior.</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6 </w:t>
      </w:r>
      <w:r>
        <w:rPr>
          <w:rFonts w:cs="Calibri" w:cstheme="minorHAnsi" w:ascii="Calibri" w:hAnsi="Calibri"/>
          <w:b/>
          <w:bCs/>
          <w:sz w:val="24"/>
          <w:szCs w:val="24"/>
        </w:rPr>
        <w:t>Data Splitting Strategy</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Two data splitting techniques that dealt with maintaining the chronological ordering of data to ensure that leakage was avoided. In the first, the optimal proportion suggested by Joseph (2022) was adopted, where about 79.9%, 8.9%, and 11.2% of the data was used for training, validation, and testing, respectively. The underlying motivation was to maximize the reduction of generalization error. In the other, a standard splitting method was applied, where 40%, 30%, and 30% of the data was for training, validation, and testing, respectively. Employing the two splitting methods enabled a comparison to be made.</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7 </w:t>
      </w:r>
      <w:r>
        <w:rPr>
          <w:rFonts w:cs="Calibri" w:cstheme="minorHAnsi" w:ascii="Calibri" w:hAnsi="Calibri"/>
          <w:b/>
          <w:bCs/>
          <w:sz w:val="24"/>
          <w:szCs w:val="24"/>
        </w:rPr>
        <w:t>Model Selection &amp; Rationale</w:t>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lineRule="auto" w:line="276"/>
        <w:jc w:val="both"/>
        <w:rPr>
          <w:rFonts w:ascii="Calibri" w:hAnsi="Calibri" w:cs="Calibri" w:asciiTheme="minorHAnsi" w:cstheme="minorHAnsi" w:hAnsiTheme="minorHAnsi"/>
          <w:sz w:val="20"/>
          <w:szCs w:val="20"/>
        </w:rPr>
      </w:pPr>
      <w:r>
        <w:rPr>
          <w:rFonts w:cs="Calibri" w:cstheme="minorHAnsi" w:ascii="Calibri" w:hAnsi="Calibri"/>
          <w:sz w:val="20"/>
          <w:szCs w:val="20"/>
        </w:rPr>
        <w:t>The modeling phase relied on a set of three algorithms, each selected because of its complementary strengths. OLS Regression was included because of its interpretability properties and known linear relationships between socio-economic factors, making them relevant for our model. It was complemented by Random Forest Regression, known for its ability to generalize well to noisy data and handling non-linear relationships, besides yielding feature importance scores. XG Boost Regression was selected because of its prowess in tabular machine learning tasks, its efficiency, even on larger datasets, and its ability to make optimal use of multiple cores.</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8 </w:t>
      </w:r>
      <w:r>
        <w:rPr>
          <w:rFonts w:cs="Calibri" w:cstheme="minorHAnsi" w:ascii="Calibri" w:hAnsi="Calibri"/>
          <w:b/>
          <w:bCs/>
          <w:sz w:val="24"/>
          <w:szCs w:val="24"/>
        </w:rPr>
        <w:t>Prediction Without Future Forecasting</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Although the task is not extended into the futures after the last available month, nevertheless, the task is essentially predictive. It is possible to train a model on previous periods and test the model on the subsequent periods that lie within the available range, such that the model makes predictions for periods that lie within the future relative to the training procedure, from the viewpoint of the learning procedure. This is a standard way of carrying out prediction within scholarship.</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r>
    </w:p>
    <w:p>
      <w:pPr>
        <w:pStyle w:val="Normal"/>
        <w:rPr>
          <w:rFonts w:ascii="Calibri" w:hAnsi="Calibri" w:cs="Calibri" w:asciiTheme="minorHAnsi" w:cstheme="minorHAnsi" w:hAnsiTheme="minorHAnsi"/>
          <w:b/>
          <w:bCs/>
          <w:sz w:val="24"/>
          <w:szCs w:val="24"/>
        </w:rPr>
      </w:pPr>
      <w:r>
        <w:rPr>
          <w:rFonts w:cs="Calibri" w:cstheme="minorHAnsi" w:ascii="Calibri" w:hAnsi="Calibri"/>
          <w:b/>
          <w:bCs/>
          <w:sz w:val="24"/>
          <w:szCs w:val="24"/>
        </w:rPr>
        <w:t xml:space="preserve">9 </w:t>
      </w:r>
      <w:r>
        <w:rPr>
          <w:rFonts w:cs="Calibri" w:cstheme="minorHAnsi" w:ascii="Calibri" w:hAnsi="Calibri"/>
          <w:b/>
          <w:bCs/>
          <w:sz w:val="24"/>
          <w:szCs w:val="24"/>
        </w:rPr>
        <w:t>Conclusion</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The importance of this project is that it establishes a credible, methodologically sound, and broad-based crime prediction pipeline for the UK's Lower Super Output Areas. By relying on a thorough gathering of data, combining socio-economic factors, using a data-efficient schema such as Parquet, making system-level optimizations, as well as multiple prediction and evaluation methods, this research is able to provide a strong foundation for its prediction model. Even without predictions made outside of the known time boundaries, the focus on temporal-based evaluation methods is what keeps this, or any, research grounded and relevant to a method of supervised prediction.</w:t>
      </w:r>
    </w:p>
    <w:p>
      <w:pPr>
        <w:pStyle w:val="Normal"/>
        <w:rPr/>
      </w:pPr>
      <w:r>
        <w:rPr>
          <w:rFonts w:cs="Calibri" w:ascii="Calibri" w:hAnsi="Calibri" w:asciiTheme="minorHAnsi" w:cstheme="minorHAnsi" w:hAnsiTheme="minorHAnsi"/>
          <w:sz w:val="20"/>
          <w:szCs w:val="20"/>
        </w:rPr>
        <w:br/>
        <w:br/>
      </w:r>
      <w:r>
        <w:rPr>
          <w:rFonts w:cs="Calibri" w:ascii="Calibri" w:hAnsi="Calibri" w:asciiTheme="minorHAnsi" w:cstheme="minorHAnsi" w:hAnsiTheme="minorHAnsi"/>
          <w:b/>
          <w:bCs/>
          <w:sz w:val="24"/>
          <w:szCs w:val="24"/>
          <w:lang w:eastAsia="en-US"/>
        </w:rPr>
        <w:t>10 Datasets used</w:t>
      </w:r>
      <w:r>
        <w:rPr>
          <w:rFonts w:cs="Calibri" w:ascii="Calibri" w:hAnsi="Calibri" w:asciiTheme="minorHAnsi" w:cstheme="minorHAnsi" w:hAnsiTheme="minorHAnsi"/>
          <w:sz w:val="20"/>
          <w:szCs w:val="20"/>
        </w:rPr>
        <w:br/>
        <w:br/>
      </w:r>
      <w:r>
        <w:rPr>
          <w:rFonts w:cs="Calibri" w:ascii="Calibri" w:hAnsi="Calibri" w:asciiTheme="minorHAnsi" w:cstheme="minorHAnsi" w:hAnsiTheme="minorHAnsi"/>
          <w:sz w:val="20"/>
          <w:szCs w:val="20"/>
        </w:rPr>
        <w:t>10.</w:t>
      </w:r>
      <w:r>
        <w:rPr>
          <w:rFonts w:cs="Calibri" w:ascii="Calibri" w:hAnsi="Calibri" w:asciiTheme="minorHAnsi" w:cstheme="minorHAnsi" w:hAnsiTheme="minorHAnsi"/>
          <w:b/>
          <w:bCs/>
          <w:sz w:val="20"/>
          <w:szCs w:val="20"/>
        </w:rPr>
        <w:t>1. UK Police Monthly Street Level Crime Data (2022-2025</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The crime data from the United Kingdom’s Home Office, available through its Police Data Portal, was chosen for its completeness and richness. These crime datasets contain crime observations for all police forces across the United Kingdom’s regions of England, Wales, and Northern Ireland, along with necessary details such as crime type, spatial location through the aid of crime coordinates, crime result, and the corresponding Lower Layer Super Output Area, among other parameters. The standard format of these crime data, being monthly, makes them apt for time series analyses. Moreover, these crime data employ the spatial unit of LSOA, making them apt for the required predictive task’s spatial domain. Thence, crime data from the periods of 2022-2025 was obtained through API requests and command line downloads to reduce any service downtime. Crime data for each of these months was combined into a combined data set comprising 14.5 million crime events, aggregating them to obtain the required crime variable ‘crime_count.’</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t>10.</w:t>
      </w:r>
      <w:r>
        <w:rPr>
          <w:rFonts w:cs="Calibri" w:cstheme="minorHAnsi" w:ascii="Calibri" w:hAnsi="Calibri"/>
          <w:b/>
          <w:bCs/>
          <w:sz w:val="20"/>
          <w:szCs w:val="20"/>
        </w:rPr>
        <w:t>2. Census 2021 - TS001 Residence Type (LSOA Level)</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The population data, sourced from Office for National Statistics and Nomis, available through a link provided at https://www.nomisweb.co.uk/sources/census_2021_bulk, was used to provide the total population for each LSOA. Crime rate and crime-normalized statistics require population figures. These statistics can neither be derived nor verified without population figures. It is because of this that population is a basic demographic statistic for crime rate calculation.</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t>10.</w:t>
      </w:r>
      <w:r>
        <w:rPr>
          <w:rFonts w:cs="Calibri" w:cstheme="minorHAnsi" w:ascii="Calibri" w:hAnsi="Calibri"/>
          <w:b/>
          <w:bCs/>
          <w:sz w:val="20"/>
          <w:szCs w:val="20"/>
        </w:rPr>
        <w:t>3. Census 2021 – TS006 Population Density</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Data on population density, available through ONS and Nomis from the same source and stored in census2021-ts006-lsoa.csv, shows the population per square kilometer for each LSOA. It is directly linked to crime patterns and thus is a strong candidate to be added to the set of predictors. It addresses possible concentration of crime events.</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t>10.</w:t>
      </w:r>
      <w:r>
        <w:rPr>
          <w:rFonts w:cs="Calibri" w:cstheme="minorHAnsi" w:ascii="Calibri" w:hAnsi="Calibri"/>
          <w:b/>
          <w:bCs/>
          <w:sz w:val="20"/>
          <w:szCs w:val="20"/>
        </w:rPr>
        <w:t>4. Census 2021 - TS011 Household Deprivation</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Residential deprivation data from Nomis, available through census2021_bulk, is provided within census2021-ts011-lsoa.csv. This data was incorporated to include different dimensions of socio-economic deprivation on the LSOA. It is known through academic research that crime is linked to higher levels of deprivation, thus justifying the inclusion of this variable to improve the scope of crime risk.</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t>10.</w:t>
      </w:r>
      <w:r>
        <w:rPr>
          <w:rFonts w:cs="Calibri" w:cstheme="minorHAnsi" w:ascii="Calibri" w:hAnsi="Calibri"/>
          <w:b/>
          <w:bCs/>
          <w:sz w:val="20"/>
          <w:szCs w:val="20"/>
        </w:rPr>
        <w:t>5. Census 2021 - TS066 Economic Activity Status</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Economic Activity Indicators, obtained from the same ONS/Nomis sources in the census2021-ts066-lsoa.csv file, were added because of their significance to labor market dynamics, such as employment, unemployment, and the economy, among others. They can be linked to dynamics of crime and form vital background information.</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b/>
          <w:bCs/>
          <w:sz w:val="20"/>
          <w:szCs w:val="20"/>
        </w:rPr>
      </w:pPr>
      <w:r>
        <w:rPr>
          <w:rFonts w:cs="Calibri" w:cstheme="minorHAnsi" w:ascii="Calibri" w:hAnsi="Calibri"/>
          <w:b/>
          <w:bCs/>
          <w:sz w:val="20"/>
          <w:szCs w:val="20"/>
        </w:rPr>
        <w:t>10.</w:t>
      </w:r>
      <w:r>
        <w:rPr>
          <w:rFonts w:cs="Calibri" w:cstheme="minorHAnsi" w:ascii="Calibri" w:hAnsi="Calibri"/>
          <w:b/>
          <w:bCs/>
          <w:sz w:val="20"/>
          <w:szCs w:val="20"/>
        </w:rPr>
        <w:t>6. Census 2021 – TS067 Highest Level of Qualification</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t>The variable of educational attainment, gathered from ONS/Nomis and available within census2021-ts067-lsoa.csv, was chosen because there appeared a correlation between crime patterns, opportunities, and attainment.</w:t>
      </w:r>
    </w:p>
    <w:p>
      <w:pPr>
        <w:pStyle w:val="Normal"/>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ascii="Calibri" w:hAnsi="Calibri" w:cs="Calibri" w:asciiTheme="minorHAnsi" w:cstheme="minorHAnsi" w:hAnsiTheme="minorHAnsi"/>
          <w:sz w:val="20"/>
          <w:szCs w:val="20"/>
        </w:rPr>
      </w:pPr>
      <w:r>
        <w:rPr>
          <w:rFonts w:cs="Calibri" w:cstheme="minorHAnsi" w:ascii="Calibri" w:hAnsi="Calibri"/>
          <w:b/>
          <w:bCs/>
          <w:sz w:val="20"/>
          <w:szCs w:val="20"/>
        </w:rPr>
        <w:t>10.</w:t>
      </w:r>
      <w:r>
        <w:rPr>
          <w:rFonts w:cs="Calibri" w:cstheme="minorHAnsi" w:ascii="Calibri" w:hAnsi="Calibri"/>
          <w:b/>
          <w:bCs/>
          <w:sz w:val="20"/>
          <w:szCs w:val="20"/>
        </w:rPr>
        <w:t>7. LSOA 202 Boundary data for LSOAs from the ONS GeoPortal website</w:t>
      </w:r>
      <w:r>
        <w:rPr>
          <w:rFonts w:cs="Calibri" w:cstheme="minorHAnsi" w:ascii="Calibri" w:hAnsi="Calibri"/>
          <w:sz w:val="20"/>
          <w:szCs w:val="20"/>
        </w:rPr>
        <w:t xml:space="preserve"> (https://geoportal.statistics.gov.uk/datasets/ons::lower-layer-super-output-areas-december-2021-boundaries-uk-bgc/about) was vital for the boundary definitions necessary to create geographically-enabled representations of crime. These shape files determine the boundaries of each LSOA, necessary for creating a choropleth or even carrying out geographically-informed analyses.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br/>
      </w:r>
    </w:p>
    <w:tbl>
      <w:tblPr>
        <w:tblW w:w="10354" w:type="dxa"/>
        <w:jc w:val="start"/>
        <w:tblInd w:w="0" w:type="dxa"/>
        <w:tblLayout w:type="fixed"/>
        <w:tblCellMar>
          <w:top w:w="28" w:type="dxa"/>
          <w:start w:w="28" w:type="dxa"/>
          <w:bottom w:w="28" w:type="dxa"/>
          <w:end w:w="28" w:type="dxa"/>
        </w:tblCellMar>
      </w:tblPr>
      <w:tblGrid>
        <w:gridCol w:w="2241"/>
        <w:gridCol w:w="3073"/>
        <w:gridCol w:w="5040"/>
      </w:tblGrid>
      <w:tr>
        <w:trPr>
          <w:tblHeader w:val="true"/>
        </w:trPr>
        <w:tc>
          <w:tcPr>
            <w:tcW w:w="2241" w:type="dxa"/>
            <w:tcBorders/>
            <w:vAlign w:val="center"/>
          </w:tcPr>
          <w:p>
            <w:pPr>
              <w:pStyle w:val="TableHeading"/>
              <w:rPr/>
            </w:pPr>
            <w:r>
              <w:rPr/>
              <w:t>Dataset</w:t>
            </w:r>
          </w:p>
        </w:tc>
        <w:tc>
          <w:tcPr>
            <w:tcW w:w="3073" w:type="dxa"/>
            <w:tcBorders/>
            <w:vAlign w:val="center"/>
          </w:tcPr>
          <w:p>
            <w:pPr>
              <w:pStyle w:val="TableHeading"/>
              <w:rPr/>
            </w:pPr>
            <w:r>
              <w:rPr/>
              <w:t>Purpose</w:t>
            </w:r>
          </w:p>
        </w:tc>
        <w:tc>
          <w:tcPr>
            <w:tcW w:w="5040" w:type="dxa"/>
            <w:tcBorders/>
            <w:vAlign w:val="center"/>
          </w:tcPr>
          <w:p>
            <w:pPr>
              <w:pStyle w:val="TableHeading"/>
              <w:rPr/>
            </w:pPr>
            <w:r>
              <w:rPr/>
              <w:t>Why It Was Chosen</w:t>
            </w:r>
          </w:p>
        </w:tc>
      </w:tr>
      <w:tr>
        <w:trPr/>
        <w:tc>
          <w:tcPr>
            <w:tcW w:w="2241" w:type="dxa"/>
            <w:tcBorders/>
            <w:vAlign w:val="center"/>
          </w:tcPr>
          <w:p>
            <w:pPr>
              <w:pStyle w:val="TableContents"/>
              <w:rPr/>
            </w:pPr>
            <w:r>
              <w:rPr/>
              <w:t>UK Police crime data</w:t>
            </w:r>
          </w:p>
        </w:tc>
        <w:tc>
          <w:tcPr>
            <w:tcW w:w="3073" w:type="dxa"/>
            <w:tcBorders/>
            <w:vAlign w:val="center"/>
          </w:tcPr>
          <w:p>
            <w:pPr>
              <w:pStyle w:val="TableContents"/>
              <w:rPr/>
            </w:pPr>
            <w:r>
              <w:rPr/>
              <w:t>Target variable (</w:t>
            </w:r>
            <w:r>
              <w:rPr>
                <w:rStyle w:val="SourceText"/>
              </w:rPr>
              <w:t>crime_count</w:t>
            </w:r>
            <w:r>
              <w:rPr/>
              <w:t>)</w:t>
            </w:r>
          </w:p>
        </w:tc>
        <w:tc>
          <w:tcPr>
            <w:tcW w:w="5040" w:type="dxa"/>
            <w:tcBorders/>
            <w:vAlign w:val="center"/>
          </w:tcPr>
          <w:p>
            <w:pPr>
              <w:pStyle w:val="TableContents"/>
              <w:rPr/>
            </w:pPr>
            <w:r>
              <w:rPr/>
              <w:t>Most detailed and temporal crime dataset available</w:t>
            </w:r>
          </w:p>
        </w:tc>
      </w:tr>
      <w:tr>
        <w:trPr/>
        <w:tc>
          <w:tcPr>
            <w:tcW w:w="2241" w:type="dxa"/>
            <w:tcBorders/>
            <w:vAlign w:val="center"/>
          </w:tcPr>
          <w:p>
            <w:pPr>
              <w:pStyle w:val="TableContents"/>
              <w:rPr/>
            </w:pPr>
            <w:r>
              <w:rPr/>
              <w:t>Census TS001</w:t>
            </w:r>
          </w:p>
        </w:tc>
        <w:tc>
          <w:tcPr>
            <w:tcW w:w="3073" w:type="dxa"/>
            <w:tcBorders/>
            <w:vAlign w:val="center"/>
          </w:tcPr>
          <w:p>
            <w:pPr>
              <w:pStyle w:val="TableContents"/>
              <w:rPr/>
            </w:pPr>
            <w:r>
              <w:rPr/>
              <w:t>Population</w:t>
            </w:r>
          </w:p>
        </w:tc>
        <w:tc>
          <w:tcPr>
            <w:tcW w:w="5040" w:type="dxa"/>
            <w:tcBorders/>
            <w:vAlign w:val="center"/>
          </w:tcPr>
          <w:p>
            <w:pPr>
              <w:pStyle w:val="TableContents"/>
              <w:rPr/>
            </w:pPr>
            <w:r>
              <w:rPr/>
              <w:t>Required for crime rate normalisation</w:t>
            </w:r>
          </w:p>
        </w:tc>
      </w:tr>
      <w:tr>
        <w:trPr/>
        <w:tc>
          <w:tcPr>
            <w:tcW w:w="2241" w:type="dxa"/>
            <w:tcBorders/>
            <w:vAlign w:val="center"/>
          </w:tcPr>
          <w:p>
            <w:pPr>
              <w:pStyle w:val="TableContents"/>
              <w:rPr/>
            </w:pPr>
            <w:r>
              <w:rPr/>
              <w:t>Census TS006</w:t>
            </w:r>
          </w:p>
        </w:tc>
        <w:tc>
          <w:tcPr>
            <w:tcW w:w="3073" w:type="dxa"/>
            <w:tcBorders/>
            <w:vAlign w:val="center"/>
          </w:tcPr>
          <w:p>
            <w:pPr>
              <w:pStyle w:val="TableContents"/>
              <w:rPr/>
            </w:pPr>
            <w:r>
              <w:rPr/>
              <w:t>Density</w:t>
            </w:r>
          </w:p>
        </w:tc>
        <w:tc>
          <w:tcPr>
            <w:tcW w:w="5040" w:type="dxa"/>
            <w:tcBorders/>
            <w:vAlign w:val="center"/>
          </w:tcPr>
          <w:p>
            <w:pPr>
              <w:pStyle w:val="TableContents"/>
              <w:rPr/>
            </w:pPr>
            <w:r>
              <w:rPr/>
              <w:t>Strong predictor of crime occurrence</w:t>
            </w:r>
          </w:p>
        </w:tc>
      </w:tr>
      <w:tr>
        <w:trPr/>
        <w:tc>
          <w:tcPr>
            <w:tcW w:w="2241" w:type="dxa"/>
            <w:tcBorders/>
            <w:vAlign w:val="center"/>
          </w:tcPr>
          <w:p>
            <w:pPr>
              <w:pStyle w:val="TableContents"/>
              <w:rPr/>
            </w:pPr>
            <w:r>
              <w:rPr/>
              <w:t>Census TS011</w:t>
            </w:r>
          </w:p>
        </w:tc>
        <w:tc>
          <w:tcPr>
            <w:tcW w:w="3073" w:type="dxa"/>
            <w:tcBorders/>
            <w:vAlign w:val="center"/>
          </w:tcPr>
          <w:p>
            <w:pPr>
              <w:pStyle w:val="TableContents"/>
              <w:rPr/>
            </w:pPr>
            <w:r>
              <w:rPr/>
              <w:t>Deprivation</w:t>
            </w:r>
          </w:p>
        </w:tc>
        <w:tc>
          <w:tcPr>
            <w:tcW w:w="5040" w:type="dxa"/>
            <w:tcBorders/>
            <w:vAlign w:val="center"/>
          </w:tcPr>
          <w:p>
            <w:pPr>
              <w:pStyle w:val="TableContents"/>
              <w:rPr/>
            </w:pPr>
            <w:r>
              <w:rPr/>
              <w:t>Key socio-economic crime correlate</w:t>
            </w:r>
          </w:p>
        </w:tc>
      </w:tr>
      <w:tr>
        <w:trPr/>
        <w:tc>
          <w:tcPr>
            <w:tcW w:w="2241" w:type="dxa"/>
            <w:tcBorders/>
            <w:vAlign w:val="center"/>
          </w:tcPr>
          <w:p>
            <w:pPr>
              <w:pStyle w:val="TableContents"/>
              <w:rPr/>
            </w:pPr>
            <w:r>
              <w:rPr/>
              <w:t>Census TS066</w:t>
            </w:r>
          </w:p>
        </w:tc>
        <w:tc>
          <w:tcPr>
            <w:tcW w:w="3073" w:type="dxa"/>
            <w:tcBorders/>
            <w:vAlign w:val="center"/>
          </w:tcPr>
          <w:p>
            <w:pPr>
              <w:pStyle w:val="TableContents"/>
              <w:rPr/>
            </w:pPr>
            <w:r>
              <w:rPr/>
              <w:t>Economic activity</w:t>
            </w:r>
          </w:p>
        </w:tc>
        <w:tc>
          <w:tcPr>
            <w:tcW w:w="5040" w:type="dxa"/>
            <w:tcBorders/>
            <w:vAlign w:val="center"/>
          </w:tcPr>
          <w:p>
            <w:pPr>
              <w:pStyle w:val="TableContents"/>
              <w:rPr/>
            </w:pPr>
            <w:r>
              <w:rPr/>
              <w:t>Captures labour market effects on crime</w:t>
            </w:r>
          </w:p>
        </w:tc>
      </w:tr>
      <w:tr>
        <w:trPr/>
        <w:tc>
          <w:tcPr>
            <w:tcW w:w="2241" w:type="dxa"/>
            <w:tcBorders/>
            <w:vAlign w:val="center"/>
          </w:tcPr>
          <w:p>
            <w:pPr>
              <w:pStyle w:val="TableContents"/>
              <w:rPr/>
            </w:pPr>
            <w:r>
              <w:rPr/>
              <w:t>Census TS067</w:t>
            </w:r>
          </w:p>
        </w:tc>
        <w:tc>
          <w:tcPr>
            <w:tcW w:w="3073" w:type="dxa"/>
            <w:tcBorders/>
            <w:vAlign w:val="center"/>
          </w:tcPr>
          <w:p>
            <w:pPr>
              <w:pStyle w:val="TableContents"/>
              <w:rPr/>
            </w:pPr>
            <w:r>
              <w:rPr/>
              <w:t>Education</w:t>
            </w:r>
          </w:p>
        </w:tc>
        <w:tc>
          <w:tcPr>
            <w:tcW w:w="5040" w:type="dxa"/>
            <w:tcBorders/>
            <w:vAlign w:val="center"/>
          </w:tcPr>
          <w:p>
            <w:pPr>
              <w:pStyle w:val="TableContents"/>
              <w:rPr/>
            </w:pPr>
            <w:r>
              <w:rPr/>
              <w:t>Reflects structural inequalities</w:t>
            </w:r>
          </w:p>
        </w:tc>
      </w:tr>
      <w:tr>
        <w:trPr/>
        <w:tc>
          <w:tcPr>
            <w:tcW w:w="2241" w:type="dxa"/>
            <w:tcBorders/>
            <w:vAlign w:val="center"/>
          </w:tcPr>
          <w:p>
            <w:pPr>
              <w:pStyle w:val="TableContents"/>
              <w:rPr/>
            </w:pPr>
            <w:r>
              <w:rPr/>
              <w:t>ONS LSOA boundaries</w:t>
            </w:r>
          </w:p>
        </w:tc>
        <w:tc>
          <w:tcPr>
            <w:tcW w:w="3073" w:type="dxa"/>
            <w:tcBorders/>
            <w:vAlign w:val="center"/>
          </w:tcPr>
          <w:p>
            <w:pPr>
              <w:pStyle w:val="TableContents"/>
              <w:rPr/>
            </w:pPr>
            <w:r>
              <w:rPr/>
              <w:t>Geospatial mapping</w:t>
            </w:r>
          </w:p>
        </w:tc>
        <w:tc>
          <w:tcPr>
            <w:tcW w:w="5040" w:type="dxa"/>
            <w:tcBorders/>
            <w:vAlign w:val="center"/>
          </w:tcPr>
          <w:p>
            <w:pPr>
              <w:pStyle w:val="TableContents"/>
              <w:rPr/>
            </w:pPr>
            <w:r>
              <w:rPr/>
              <w:t>Needed for choropleth visualisation</w:t>
            </w:r>
          </w:p>
        </w:tc>
      </w:tr>
    </w:tbl>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tbl>
      <w:tblPr>
        <w:tblStyle w:val="TableGrid"/>
        <w:tblW w:w="10602" w:type="dxa"/>
        <w:jc w:val="start"/>
        <w:tblInd w:w="-15" w:type="dxa"/>
        <w:tblLayout w:type="fixed"/>
        <w:tblCellMar>
          <w:top w:w="0" w:type="dxa"/>
          <w:start w:w="108" w:type="dxa"/>
          <w:bottom w:w="0" w:type="dxa"/>
          <w:end w:w="108" w:type="dxa"/>
        </w:tblCellMar>
        <w:tblLook w:val="04a0" w:noHBand="0" w:noVBand="1" w:firstColumn="1" w:lastRow="0" w:lastColumn="0" w:firstRow="1"/>
      </w:tblPr>
      <w:tblGrid>
        <w:gridCol w:w="10602"/>
      </w:tblGrid>
      <w:tr>
        <w:trPr>
          <w:trHeight w:val="397" w:hRule="atLeast"/>
        </w:trPr>
        <w:tc>
          <w:tcPr>
            <w:tcW w:w="10602" w:type="dxa"/>
            <w:tcBorders>
              <w:top w:val="double" w:sz="4" w:space="0" w:color="000000"/>
              <w:start w:val="double" w:sz="4" w:space="0" w:color="000000"/>
              <w:bottom w:val="double" w:sz="4" w:space="0" w:color="000000"/>
              <w:end w:val="double" w:sz="4" w:space="0" w:color="000000"/>
            </w:tcBorders>
            <w:vAlign w:val="center"/>
          </w:tcPr>
          <w:p>
            <w:pPr>
              <w:pStyle w:val="Normal"/>
              <w:pageBreakBefore/>
              <w:widowControl/>
              <w:spacing w:lineRule="auto" w:line="276" w:before="0" w:after="0"/>
              <w:jc w:val="center"/>
              <w:rPr>
                <w:rFonts w:cs="Calibri" w:cstheme="minorHAnsi"/>
                <w:b/>
                <w:bCs/>
                <w:sz w:val="40"/>
                <w:szCs w:val="40"/>
              </w:rPr>
            </w:pPr>
            <w:r>
              <w:rPr>
                <w:rFonts w:eastAsia="" w:cs="Calibri" w:ascii="Calibri" w:hAnsi="Calibri" w:cstheme="minorHAnsi"/>
                <w:b/>
                <w:bCs/>
                <w:kern w:val="0"/>
                <w:sz w:val="40"/>
                <w:szCs w:val="40"/>
                <w:lang w:val="en-GB" w:bidi="ar-SA"/>
              </w:rPr>
              <w:t>Machine Translation: A Literature Review</w:t>
            </w:r>
          </w:p>
        </w:tc>
      </w:tr>
    </w:tbl>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rPr>
          <w:b/>
          <w:bCs/>
        </w:rPr>
      </w:pPr>
      <w:r>
        <w:rPr>
          <w:b/>
          <w:bCs/>
        </w:rPr>
        <w:t xml:space="preserve">11 </w:t>
      </w:r>
      <w:r>
        <w:rPr>
          <w:b/>
          <w:bCs/>
        </w:rPr>
        <w:t>Abstract</w:t>
      </w:r>
    </w:p>
    <w:p>
      <w:pPr>
        <w:pStyle w:val="BodyText"/>
        <w:rPr/>
      </w:pPr>
      <w:r>
        <w:rPr/>
      </w:r>
    </w:p>
    <w:p>
      <w:pPr>
        <w:pStyle w:val="BodyText"/>
        <w:rPr/>
      </w:pPr>
      <w:r>
        <w:rPr/>
        <w:t xml:space="preserve">This </w:t>
      </w:r>
      <w:r>
        <w:rPr/>
        <w:t>Literature Review</w:t>
      </w:r>
      <w:r>
        <w:rPr/>
        <w:t xml:space="preserve"> examines key research activities pertaining to Neural Machine Translation that have originated at UK universities, focusing only on relevant works that fall within the bounds of allowed sources. It tracks developments from the era of Statistical Machine Translation through to Neural Machine Translation, pinpointing key architectural milestones and tracing the development of subwords. It also critiques domain adaptation techniques, system development from shared tasks, and the problems of Machine Translation evaluation, including translationese and statistical power. Recent advances for unsupervised quality estimation, uncertainty estimation for similarity sensitivity, and modern evaluation of translation quality using modern neural evaluation metrics such as COMET and BLEURT have also had a thorough review. Also prominently featured is multilingual and context-sensitive translation systems from the University of Edinburgh, exemplifying recent State of the Art techniques for document-level translation and multilingual translation. All of these works have, through this review, served to distill a unified narrative of Neural Machine Translation developments, led largely by architectural development, translation quality assessment, domain universality, and linguistic contextualization.</w:t>
      </w:r>
    </w:p>
    <w:p>
      <w:pPr>
        <w:pStyle w:val="BodyText"/>
        <w:rPr/>
      </w:pPr>
      <w:r>
        <w:rPr/>
      </w:r>
    </w:p>
    <w:p>
      <w:pPr>
        <w:pStyle w:val="BodyText"/>
        <w:rPr>
          <w:b/>
          <w:bCs/>
          <w:sz w:val="24"/>
          <w:szCs w:val="24"/>
        </w:rPr>
      </w:pPr>
      <w:r>
        <w:rPr>
          <w:b/>
          <w:bCs/>
          <w:sz w:val="24"/>
          <w:szCs w:val="24"/>
        </w:rPr>
        <w:t>1</w:t>
      </w:r>
      <w:r>
        <w:rPr>
          <w:b/>
          <w:bCs/>
          <w:sz w:val="24"/>
          <w:szCs w:val="24"/>
        </w:rPr>
        <w:t>2</w:t>
      </w:r>
      <w:r>
        <w:rPr>
          <w:b/>
          <w:bCs/>
          <w:sz w:val="24"/>
          <w:szCs w:val="24"/>
        </w:rPr>
        <w:t xml:space="preserve"> </w:t>
      </w:r>
      <w:r>
        <w:rPr>
          <w:b/>
          <w:bCs/>
          <w:sz w:val="24"/>
          <w:szCs w:val="24"/>
        </w:rPr>
        <w:t>Introduction</w:t>
      </w:r>
    </w:p>
    <w:p>
      <w:pPr>
        <w:pStyle w:val="BodyText"/>
        <w:rPr/>
      </w:pPr>
      <w:r>
        <w:rPr/>
        <w:t xml:space="preserve"> </w:t>
      </w:r>
      <w:r>
        <w:rPr/>
        <w:t>The last decade's speedy progression of Machine Translation (MT) is evidenced by a paradigm shift from Statistical Machine Translation (SMT) to Neural Machine Translation (NMT). Stahlberg (2020) emphasizes that, even if the initial successes of most of the last two decades of MT research had brought about a prevalence of phrase-based and hierarchical SMT models, these models' modular structure had necessarily limited long-distance dependencies and macroscopic meaning of the entire utterance. By contrast, NMT urges a holistic translation embedded within a unified, complete learnable system. This is again confirmed by Saunders (2022), who points out that the growing prowess of neural models, especially the version known as the encoder–decoder attention networks, and finally, the transformers, led to the prevailing adoption of the latter as a standard model for most research and practical tasks. The review is narrowly focused on the UK universities’ contributions to MT, especially pointing to contributions from the University of Cambridge, the University of Edinburgh, and the UK-related communities working on the evaluation of metrics. The review is formatted according to the template, encompassing a survey of foundational, domain adaptation, system-building, evaluation, multilingual translation, models of uncertainty, macroscopic models, and modern translation metrics.</w:t>
      </w:r>
    </w:p>
    <w:p>
      <w:pPr>
        <w:pStyle w:val="BodyText"/>
        <w:rPr/>
      </w:pPr>
      <w:r>
        <w:rPr>
          <w:rStyle w:val="Strong"/>
          <w:b/>
          <w:bCs/>
          <w:sz w:val="24"/>
          <w:szCs w:val="24"/>
        </w:rPr>
        <w:t>1</w:t>
      </w:r>
      <w:r>
        <w:rPr>
          <w:rStyle w:val="Strong"/>
          <w:b/>
          <w:bCs/>
          <w:sz w:val="24"/>
          <w:szCs w:val="24"/>
        </w:rPr>
        <w:t xml:space="preserve">2 </w:t>
      </w:r>
      <w:r>
        <w:rPr>
          <w:rStyle w:val="Strong"/>
          <w:b/>
          <w:bCs/>
          <w:sz w:val="24"/>
          <w:szCs w:val="24"/>
        </w:rPr>
        <w:t>Fundamentals of Machine Translation</w:t>
      </w:r>
    </w:p>
    <w:p>
      <w:pPr>
        <w:pStyle w:val="BodyText"/>
        <w:rPr/>
      </w:pPr>
      <w:r>
        <w:rPr>
          <w:rStyle w:val="Strong"/>
          <w:b/>
          <w:bCs/>
          <w:sz w:val="22"/>
          <w:szCs w:val="22"/>
        </w:rPr>
        <w:t>1</w:t>
      </w:r>
      <w:r>
        <w:rPr>
          <w:rStyle w:val="Strong"/>
          <w:b/>
          <w:bCs/>
          <w:sz w:val="22"/>
          <w:szCs w:val="22"/>
        </w:rPr>
        <w:t>2.1 Evolution towards the NMT</w:t>
      </w:r>
    </w:p>
    <w:p>
      <w:pPr>
        <w:pStyle w:val="BodyText"/>
        <w:rPr/>
      </w:pPr>
      <w:r>
        <w:rPr>
          <w:rStyle w:val="Strong"/>
          <w:b w:val="false"/>
          <w:bCs w:val="false"/>
        </w:rPr>
        <w:t>Stahlberg (2020) provides one of the most comprehensive general descriptions of the architectural changes that enabled NMT to outperform SMT. The first NMT systems used recurrent encoder-decoder models. The encoder converted a source sentence into a continuous vector representation, while the decoder generated the target sentence conditioned upon this representation. The introduction of attention mechanisms solved the problem of the single vector of fixed length being a bottleneck by letting the model dynamically pay attention to different parts of the source sentence during decoding (Stahlberg, 2020). This innovation dramatically improved the translation of longer and syntactically more complex sentences.</w:t>
      </w:r>
    </w:p>
    <w:p>
      <w:pPr>
        <w:pStyle w:val="BodyText"/>
        <w:rPr/>
      </w:pPr>
      <w:r>
        <w:rPr>
          <w:rStyle w:val="Strong"/>
          <w:b w:val="false"/>
          <w:bCs w:val="false"/>
        </w:rPr>
        <w:t>The Transformer models further revolutionized TA by replacing recurrency with self-attention layers, which allowed for parallelization and deeper architectures. According to Stahlberg (2020), Transformers became the dominant architecture due to their superior performance, efficient training, and robust handling of longdistance dependencies. The aforementioned architectural advances form the basis for all further developments in TA studied in the present review.</w:t>
      </w:r>
    </w:p>
    <w:p>
      <w:pPr>
        <w:pStyle w:val="BodyText"/>
        <w:rPr>
          <w:rStyle w:val="Strong"/>
          <w:b w:val="false"/>
          <w:bCs w:val="false"/>
        </w:rPr>
      </w:pPr>
      <w:r>
        <w:rPr/>
      </w:r>
    </w:p>
    <w:p>
      <w:pPr>
        <w:pStyle w:val="BodyText"/>
        <w:rPr/>
      </w:pPr>
      <w:r>
        <w:rPr>
          <w:rStyle w:val="Strong"/>
          <w:b/>
          <w:bCs/>
          <w:sz w:val="22"/>
          <w:szCs w:val="22"/>
        </w:rPr>
        <w:t>13</w:t>
      </w:r>
      <w:r>
        <w:rPr>
          <w:rStyle w:val="Strong"/>
          <w:b/>
          <w:bCs/>
          <w:sz w:val="22"/>
          <w:szCs w:val="22"/>
        </w:rPr>
        <w:t>.2 Subword representation</w:t>
      </w:r>
    </w:p>
    <w:p>
      <w:pPr>
        <w:pStyle w:val="BodyText"/>
        <w:rPr/>
      </w:pPr>
      <w:r>
        <w:rPr>
          <w:rStyle w:val="Strong"/>
          <w:b w:val="false"/>
          <w:bCs w:val="false"/>
        </w:rPr>
        <w:t>Sennrich et al. (2016) addressed one of the key limitations of early non-verbal translation systems, which lay in the problem of translating low-frequency words and out-of-vocabulary ones. The authors introduced Byte-Pair Encoding (BPE), a subword-segmentation technique that tries to balance word-level and character-level modeling in training. BPE enables the model to represent rare or unknown words as sequences of more frequent subwords. This drastically cuts down vocabulary extension while at the same time improves the translation of flexive, compound, and morphologically rich forms. As discussed by Sennrich et al. (2016), subword-level modeling decreases the UNK token dependency while generating consistent improvements in all language pairs.</w:t>
      </w:r>
    </w:p>
    <w:p>
      <w:pPr>
        <w:pStyle w:val="BodyText"/>
        <w:spacing w:lineRule="auto" w:line="276" w:before="0" w:after="140"/>
        <w:rPr/>
      </w:pPr>
      <w:r>
        <w:rPr>
          <w:rStyle w:val="Strong"/>
          <w:sz w:val="24"/>
          <w:szCs w:val="24"/>
        </w:rPr>
        <w:t>14</w:t>
      </w:r>
      <w:r>
        <w:rPr>
          <w:rStyle w:val="Strong"/>
          <w:sz w:val="24"/>
          <w:szCs w:val="24"/>
        </w:rPr>
        <w:t xml:space="preserve"> </w:t>
      </w:r>
      <w:r>
        <w:rPr>
          <w:rStyle w:val="Strong"/>
          <w:b/>
          <w:bCs/>
          <w:sz w:val="24"/>
          <w:szCs w:val="24"/>
        </w:rPr>
        <w:t>Domain Adaptation and Real-World Systems</w:t>
      </w:r>
      <w:r>
        <w:rPr>
          <w:rStyle w:val="Strong"/>
          <w:b/>
          <w:bCs/>
        </w:rPr>
        <w:br/>
      </w:r>
      <w:r>
        <w:rPr>
          <w:rStyle w:val="Strong"/>
          <w:b/>
          <w:bCs/>
        </w:rPr>
        <w:t>14</w:t>
      </w:r>
      <w:r>
        <w:rPr>
          <w:rStyle w:val="Strong"/>
          <w:b/>
          <w:bCs/>
          <w:sz w:val="22"/>
          <w:szCs w:val="22"/>
        </w:rPr>
        <w:t>.1 Domain Adaptation</w:t>
      </w:r>
      <w:r>
        <w:rPr>
          <w:rStyle w:val="Strong"/>
          <w:b w:val="false"/>
          <w:bCs w:val="false"/>
        </w:rPr>
        <w:br/>
        <w:t>Saunders (2022) presents a detailed review of domain adaptation techniques for NMT, an essential capability given neural models that are trained on large generic corpora usually perform poorly on specialist domains. Three key strategies are identified.</w:t>
        <w:br/>
        <w:t>First of all, fine-tuning, where a generic pre-trained NMT model is adapted using in-domain data, remains one of the most effective approaches. However, according to Saunders (2022), fine-tuning may lead to catastrophic forgetting of the source domain.</w:t>
        <w:br/>
        <w:t>Multidomain modeling trains a single model on multiple domains and introduces domain labels, domain-specific parameters, or expert combination approaches to maintain high performance across all domains. Saunders suggests multidomain architectures overcome some of the limitations with single-domain fine tuning and enable scalable adaptation.</w:t>
        <w:br/>
        <w:t>Thirdly, data selection methods select the most relevant sub-sets of training data for the target domain. These methodologies enhance the efficiency of training while noise reduction is achieved consequently. Saunders (2022) concludes that domain adaptation is still an active research domain as a result of domain imbalance, continuous domain shift, and integration of low-resource domains.</w:t>
      </w:r>
    </w:p>
    <w:p>
      <w:pPr>
        <w:pStyle w:val="BodyText"/>
        <w:rPr>
          <w:b w:val="false"/>
          <w:bCs w:val="false"/>
        </w:rPr>
      </w:pPr>
      <w:r>
        <w:rPr>
          <w:b/>
          <w:bCs/>
          <w:sz w:val="22"/>
          <w:szCs w:val="22"/>
        </w:rPr>
        <w:t>14</w:t>
      </w:r>
      <w:r>
        <w:rPr>
          <w:b/>
          <w:bCs/>
          <w:sz w:val="22"/>
          <w:szCs w:val="22"/>
        </w:rPr>
        <w:t>.2 WMT Systems</w:t>
      </w:r>
      <w:r>
        <w:rPr>
          <w:b w:val="false"/>
          <w:bCs w:val="false"/>
        </w:rPr>
        <w:br/>
        <w:t>Real-world system-building is illustrated by the University of Cambridge's systems for WMT18. Stahlberg, de Gispert and Byrne (2018) describe a high-performance NMT system that incorporates a number of techniques: transformer architectures, noised reordering for data augmentation and multiple model ensembling for robustness. Their system also employed reordering and language modeling in order to refine the outputs. What Stahlberg et al. (2018) show is that practical performance in MT derives not just from architectural decisions but also from engineering processes involving data processing, model tuning and model combination.</w:t>
      </w:r>
    </w:p>
    <w:p>
      <w:pPr>
        <w:pStyle w:val="Heading2"/>
        <w:spacing w:lineRule="auto" w:line="276" w:before="0" w:after="140"/>
        <w:rPr/>
      </w:pPr>
      <w:r>
        <w:rPr>
          <w:rStyle w:val="Strong"/>
          <w:b/>
          <w:bCs/>
          <w:sz w:val="24"/>
          <w:szCs w:val="24"/>
        </w:rPr>
        <w:t>15</w:t>
      </w:r>
      <w:r>
        <w:rPr>
          <w:rStyle w:val="Strong"/>
          <w:b/>
          <w:bCs/>
          <w:sz w:val="24"/>
          <w:szCs w:val="24"/>
        </w:rPr>
        <w:t xml:space="preserve"> </w:t>
      </w:r>
      <w:r>
        <w:rPr>
          <w:rStyle w:val="Strong"/>
          <w:b/>
          <w:bCs/>
          <w:sz w:val="24"/>
          <w:szCs w:val="24"/>
        </w:rPr>
        <w:t>Evaluation and Quality of Translation</w:t>
      </w:r>
    </w:p>
    <w:p>
      <w:pPr>
        <w:pStyle w:val="BodyText"/>
        <w:spacing w:lineRule="auto" w:line="276" w:before="0" w:after="140"/>
        <w:rPr/>
      </w:pPr>
      <w:r>
        <w:rPr>
          <w:rStyle w:val="Strong"/>
          <w:sz w:val="22"/>
          <w:szCs w:val="22"/>
        </w:rPr>
        <w:t>15</w:t>
      </w:r>
      <w:r>
        <w:rPr>
          <w:rStyle w:val="Strong"/>
          <w:sz w:val="22"/>
          <w:szCs w:val="22"/>
        </w:rPr>
        <w:t>.1 Problems in Evaluation</w:t>
      </w:r>
    </w:p>
    <w:p>
      <w:pPr>
        <w:pStyle w:val="BodyText"/>
        <w:spacing w:lineRule="auto" w:line="276" w:before="0" w:after="140"/>
        <w:rPr/>
      </w:pPr>
      <w:r>
        <w:rPr>
          <w:rStyle w:val="Strong"/>
          <w:b w:val="false"/>
          <w:bCs w:val="false"/>
        </w:rPr>
        <w:t>Graham, Haddow, and Koehn (2020) highlight critical methodological issues in machine translation evaluation, focusing on two key problems.</w:t>
      </w:r>
    </w:p>
    <w:p>
      <w:pPr>
        <w:pStyle w:val="BodyText"/>
        <w:spacing w:lineRule="auto" w:line="276" w:before="0" w:after="140"/>
        <w:rPr>
          <w:rStyle w:val="Strong"/>
        </w:rPr>
      </w:pPr>
      <w:r>
        <w:rPr/>
      </w:r>
    </w:p>
    <w:p>
      <w:pPr>
        <w:pStyle w:val="BodyText"/>
        <w:spacing w:lineRule="auto" w:line="276" w:before="0" w:after="140"/>
        <w:rPr/>
      </w:pPr>
      <w:r>
        <w:rPr>
          <w:rStyle w:val="Strong"/>
          <w:b w:val="false"/>
          <w:bCs w:val="false"/>
        </w:rPr>
        <w:t>These include traductism, the phenomenon where test sets consist of sentences in the target language that were originally translated from another language. Graham et al. (2020) demonstrate that traductism artificially inflates machine translation performance estimates because these texts are simpler and more regular than naturally written language.</w:t>
      </w:r>
    </w:p>
    <w:p>
      <w:pPr>
        <w:pStyle w:val="BodyText"/>
        <w:spacing w:lineRule="auto" w:line="276" w:before="0" w:after="140"/>
        <w:rPr/>
      </w:pPr>
      <w:r>
        <w:rPr>
          <w:rStyle w:val="Strong"/>
          <w:b w:val="false"/>
          <w:bCs w:val="false"/>
        </w:rPr>
        <w:t>A second problem is the low statistical power of machine translation evaluations. They show that common evaluation practices, such as comparing small differences between models using BLEU, lead to unreliable conclusions. BLEU scores often fail to capture linguistic adequacy and tend to be sensitive to small variations in the corpus, rendering many of the claimed improvements statistically insignificant.</w:t>
      </w:r>
    </w:p>
    <w:p>
      <w:pPr>
        <w:pStyle w:val="BodyText"/>
        <w:spacing w:lineRule="auto" w:line="276" w:before="0" w:after="140"/>
        <w:rPr>
          <w:rStyle w:val="Strong"/>
          <w:b w:val="false"/>
          <w:bCs w:val="false"/>
        </w:rPr>
      </w:pPr>
      <w:r>
        <w:rPr/>
      </w:r>
    </w:p>
    <w:p>
      <w:pPr>
        <w:pStyle w:val="BodyText"/>
        <w:spacing w:lineRule="auto" w:line="276" w:before="0" w:after="140"/>
        <w:rPr/>
      </w:pPr>
      <w:r>
        <w:rPr>
          <w:rStyle w:val="Strong"/>
          <w:sz w:val="22"/>
          <w:szCs w:val="22"/>
        </w:rPr>
        <w:t>15</w:t>
      </w:r>
      <w:r>
        <w:rPr>
          <w:rStyle w:val="Strong"/>
          <w:sz w:val="22"/>
          <w:szCs w:val="22"/>
        </w:rPr>
        <w:t>.2 Unsupervised Quality Assessment</w:t>
      </w:r>
    </w:p>
    <w:p>
      <w:pPr>
        <w:pStyle w:val="BodyText"/>
        <w:spacing w:lineRule="auto" w:line="276" w:before="0" w:after="140"/>
        <w:rPr/>
      </w:pPr>
      <w:r>
        <w:rPr>
          <w:rStyle w:val="Strong"/>
          <w:b w:val="false"/>
          <w:bCs w:val="false"/>
        </w:rPr>
        <w:t>Fomicheva et al. (2020) address the challenges of assessment by estimating unsupervised quality assessment in CE, which evaluates translation quality without any reference translation. The authors have proposed a method based on cross-linguistic representations and minimal supervision, demonstrating that unsupervised quality assessment can achieve the performance of supervised approaches while eliminating dependence on reference corpora. This work illustrates the potential of quality assessment to support more realistic and scalable assessment scenarios.</w:t>
      </w:r>
    </w:p>
    <w:p>
      <w:pPr>
        <w:pStyle w:val="BodyText"/>
        <w:spacing w:lineRule="auto" w:line="276" w:before="0" w:after="140"/>
        <w:rPr>
          <w:rStyle w:val="Strong"/>
        </w:rPr>
      </w:pPr>
      <w:r>
        <w:rPr/>
      </w:r>
    </w:p>
    <w:p>
      <w:pPr>
        <w:pStyle w:val="BodyText"/>
        <w:spacing w:lineRule="auto" w:line="276" w:before="0" w:after="140"/>
        <w:rPr/>
      </w:pPr>
      <w:r>
        <w:rPr>
          <w:rStyle w:val="Strong"/>
          <w:sz w:val="22"/>
          <w:szCs w:val="22"/>
        </w:rPr>
        <w:t>15</w:t>
      </w:r>
      <w:r>
        <w:rPr>
          <w:rStyle w:val="Strong"/>
          <w:sz w:val="22"/>
          <w:szCs w:val="22"/>
        </w:rPr>
        <w:t>.3 Multilingual Assessment</w:t>
      </w:r>
    </w:p>
    <w:p>
      <w:pPr>
        <w:pStyle w:val="BodyText"/>
        <w:spacing w:lineRule="auto" w:line="276" w:before="0" w:after="140"/>
        <w:rPr/>
      </w:pPr>
      <w:r>
        <w:rPr>
          <w:rStyle w:val="Strong"/>
          <w:b w:val="false"/>
          <w:bCs w:val="false"/>
        </w:rPr>
        <w:t>It follows that Edinburgh's contributions to multilingual assessment, derived from shared WMT tasks, inform the challenges related to assessing multilingual systems. These works highlight issues such as performance variation across languages, which requires consistent assessment environments, and sensitivity to data imbalance for multilingual models. The work from the University of Edinburgh underlines that multilingual assessment requires careful handling of languages ​​with limited resources, balanced training conditions, and appropriate metrics tailored to multilingual behavior.</w:t>
      </w:r>
    </w:p>
    <w:p>
      <w:pPr>
        <w:pStyle w:val="Heading3"/>
        <w:spacing w:lineRule="auto" w:line="276" w:before="0" w:after="140"/>
        <w:rPr>
          <w:rStyle w:val="Strong"/>
          <w:b/>
          <w:bCs/>
        </w:rPr>
      </w:pPr>
      <w:r>
        <w:rPr/>
      </w:r>
    </w:p>
    <w:p>
      <w:pPr>
        <w:pStyle w:val="BodyText"/>
        <w:rPr/>
      </w:pPr>
      <w:r>
        <w:rPr/>
      </w:r>
    </w:p>
    <w:p>
      <w:pPr>
        <w:pStyle w:val="BodyText"/>
        <w:rPr/>
      </w:pPr>
      <w:r>
        <w:rPr/>
      </w:r>
    </w:p>
    <w:p>
      <w:pPr>
        <w:pStyle w:val="BodyText"/>
        <w:rPr>
          <w:b/>
          <w:bCs/>
          <w:sz w:val="24"/>
          <w:szCs w:val="24"/>
        </w:rPr>
      </w:pPr>
      <w:r>
        <w:rPr>
          <w:b/>
          <w:bCs/>
          <w:sz w:val="24"/>
          <w:szCs w:val="24"/>
        </w:rPr>
        <w:t>16</w:t>
      </w:r>
      <w:r>
        <w:rPr>
          <w:b/>
          <w:bCs/>
          <w:sz w:val="24"/>
          <w:szCs w:val="24"/>
        </w:rPr>
        <w:t xml:space="preserve"> </w:t>
      </w:r>
      <w:r>
        <w:rPr>
          <w:b/>
          <w:bCs/>
          <w:sz w:val="24"/>
          <w:szCs w:val="24"/>
        </w:rPr>
        <w:t>Reliability and Uncertainty in TNM</w:t>
      </w:r>
    </w:p>
    <w:p>
      <w:pPr>
        <w:pStyle w:val="BodyText"/>
        <w:rPr>
          <w:b/>
          <w:bCs/>
          <w:sz w:val="22"/>
          <w:szCs w:val="22"/>
        </w:rPr>
      </w:pPr>
      <w:r>
        <w:rPr>
          <w:b/>
          <w:bCs/>
          <w:sz w:val="22"/>
          <w:szCs w:val="22"/>
        </w:rPr>
        <w:t>16</w:t>
      </w:r>
      <w:r>
        <w:rPr>
          <w:b/>
          <w:bCs/>
          <w:sz w:val="22"/>
          <w:szCs w:val="22"/>
        </w:rPr>
        <w:t>.1 Similarity-sensitive Entropy</w:t>
      </w:r>
    </w:p>
    <w:p>
      <w:pPr>
        <w:pStyle w:val="BodyText"/>
        <w:rPr/>
      </w:pPr>
      <w:r>
        <w:rPr/>
        <w:t>Cheng and Vlachos (2024) propose a novel measure to quantify similarity-sensitive entropy in NMT. Mesures of entropy incorporate all alternatives uniformly, while similarity-sensitive entropy distributes semantic similarity among candidate outcomes, incorporating it into more meaningful representations of uncertainty. Cheng and Vlachos (2024) demonstrate that uncertainty estimates align with translation quality when semantic information is incorporated.</w:t>
      </w:r>
    </w:p>
    <w:p>
      <w:pPr>
        <w:pStyle w:val="BodyText"/>
        <w:rPr/>
      </w:pPr>
      <w:r>
        <w:rPr/>
      </w:r>
    </w:p>
    <w:p>
      <w:pPr>
        <w:pStyle w:val="BodyText"/>
        <w:rPr>
          <w:b/>
          <w:bCs/>
          <w:sz w:val="22"/>
          <w:szCs w:val="22"/>
        </w:rPr>
      </w:pPr>
      <w:r>
        <w:rPr>
          <w:b/>
          <w:bCs/>
          <w:sz w:val="22"/>
          <w:szCs w:val="22"/>
        </w:rPr>
        <w:t>16</w:t>
      </w:r>
      <w:r>
        <w:rPr>
          <w:b/>
          <w:bCs/>
          <w:sz w:val="22"/>
          <w:szCs w:val="22"/>
        </w:rPr>
        <w:t>.2 Diagnosis of errors</w:t>
      </w:r>
    </w:p>
    <w:p>
      <w:pPr>
        <w:pStyle w:val="BodyText"/>
        <w:rPr/>
      </w:pPr>
      <w:r>
        <w:rPr/>
        <w:t>Cheng and Vlachos (2024) further show, with the use of this entropy-based uncertainty, how the uncertainty signals correlate to translation errors. This work provides methods for distinguishing between the systemic weaknesses of the model and the inherently ambiguous inputs, furthering the broader efforts toward diagnosing model behavior, enhancing interpretability, and developing more reliable non-textual translation systems.textual translation systems.</w:t>
      </w:r>
    </w:p>
    <w:p>
      <w:pPr>
        <w:pStyle w:val="BodyText"/>
        <w:rPr>
          <w:rStyle w:val="Strong"/>
        </w:rPr>
      </w:pPr>
      <w:r>
        <w:rPr/>
      </w:r>
    </w:p>
    <w:p>
      <w:pPr>
        <w:pStyle w:val="BodyText"/>
        <w:rPr/>
      </w:pPr>
      <w:r>
        <w:rPr>
          <w:rStyle w:val="Strong"/>
          <w:sz w:val="24"/>
          <w:szCs w:val="24"/>
        </w:rPr>
        <w:t>17</w:t>
      </w:r>
      <w:r>
        <w:rPr>
          <w:rStyle w:val="Strong"/>
          <w:sz w:val="24"/>
          <w:szCs w:val="24"/>
        </w:rPr>
        <w:t xml:space="preserve"> </w:t>
      </w:r>
      <w:r>
        <w:rPr>
          <w:rStyle w:val="Strong"/>
          <w:sz w:val="24"/>
          <w:szCs w:val="24"/>
        </w:rPr>
        <w:t>Context-Aware Neural Machine Translation</w:t>
      </w:r>
    </w:p>
    <w:p>
      <w:pPr>
        <w:pStyle w:val="BodyText"/>
        <w:rPr/>
      </w:pPr>
      <w:r>
        <w:rPr>
          <w:rStyle w:val="Strong"/>
          <w:b w:val="false"/>
          <w:bCs w:val="false"/>
        </w:rPr>
        <w:t>The University of Edinburgh's research into context-aware neural machine translation focuses on extending non-verbal TNA systems beyond sentence-level modeling. These works illustrate that incorporating document-level context improves pronoun resolution, lexical cohesion, and disambiguation. The papers on Context-Aware Neural Machine Translation from Edinburgh explore architectures incorporating previous sentences, hierarchical representations of context, and selection mechanisms. Their findings show consistent gains in coherence, particularly in discourse phenomena which sentence-level TNA cannot capture.</w:t>
      </w:r>
    </w:p>
    <w:p>
      <w:pPr>
        <w:pStyle w:val="BodyText"/>
        <w:rPr>
          <w:rStyle w:val="Strong"/>
        </w:rPr>
      </w:pPr>
      <w:r>
        <w:rPr/>
      </w:r>
    </w:p>
    <w:p>
      <w:pPr>
        <w:pStyle w:val="BodyText"/>
        <w:rPr/>
      </w:pPr>
      <w:r>
        <w:rPr>
          <w:rStyle w:val="Strong"/>
          <w:sz w:val="24"/>
          <w:szCs w:val="24"/>
        </w:rPr>
        <w:t>18</w:t>
      </w:r>
      <w:r>
        <w:rPr>
          <w:rStyle w:val="Strong"/>
          <w:sz w:val="24"/>
          <w:szCs w:val="24"/>
        </w:rPr>
        <w:t xml:space="preserve"> </w:t>
      </w:r>
      <w:r>
        <w:rPr>
          <w:rStyle w:val="Strong"/>
          <w:sz w:val="24"/>
          <w:szCs w:val="24"/>
        </w:rPr>
        <w:t>Modern Evaluation Metrics Beyond BLEU</w:t>
      </w:r>
    </w:p>
    <w:p>
      <w:pPr>
        <w:pStyle w:val="BodyText"/>
        <w:rPr/>
      </w:pPr>
      <w:r>
        <w:rPr>
          <w:rStyle w:val="Strong"/>
          <w:b w:val="false"/>
          <w:bCs w:val="false"/>
        </w:rPr>
        <w:t>A recent UK-affiliated investigation into COMET and BLEURT introduces modern evaluation metrics based on pre-trained linguistic models and quality data annotated by humans. These metrics also correlate much more strongly with human judgments than BLEU does and address many of the concerns raised by Graham et al. (2020). Specifically, unlike BLEU, they incorporate semantic rather than superficial n-gram matching. In conclusion, COMET and BLEURT have represented a significant step forward in terms of reliable MT evaluation that explicitly addressed well-known deficiencies of traditional metrics.</w:t>
      </w:r>
    </w:p>
    <w:p>
      <w:pPr>
        <w:pStyle w:val="Heading2"/>
        <w:spacing w:lineRule="auto" w:line="276" w:before="0" w:after="140"/>
        <w:rPr/>
      </w:pPr>
      <w:r>
        <w:rPr>
          <w:rStyle w:val="Strong"/>
          <w:b/>
          <w:bCs/>
          <w:sz w:val="24"/>
          <w:szCs w:val="24"/>
        </w:rPr>
        <w:t>19</w:t>
      </w:r>
      <w:r>
        <w:rPr>
          <w:rStyle w:val="Strong"/>
          <w:b/>
          <w:bCs/>
          <w:sz w:val="24"/>
          <w:szCs w:val="24"/>
        </w:rPr>
        <w:t>. State of the Art</w:t>
      </w:r>
    </w:p>
    <w:p>
      <w:pPr>
        <w:pStyle w:val="BodyText"/>
        <w:rPr/>
      </w:pPr>
      <w:r>
        <w:rPr/>
        <w:t>The state of the art in non-traditional machine translation, considering only accepted articles, can be characterized by four converging lines of research.</w:t>
      </w:r>
    </w:p>
    <w:p>
      <w:pPr>
        <w:pStyle w:val="BodyText"/>
        <w:rPr/>
      </w:pPr>
      <w:r>
        <w:rPr/>
      </w:r>
    </w:p>
    <w:p>
      <w:pPr>
        <w:pStyle w:val="BodyText"/>
        <w:rPr/>
      </w:pPr>
      <w:r>
        <w:rPr/>
        <w:t>First, there has been significant development in uncertainty estimation with the similarity-sensitive entropy measure proposed by Cheng and Vlachos (2024). The merits of this method lie in its sophisticated and semantically informed view of model uncertainty, resulting in more interpretable and reliable translations.</w:t>
      </w:r>
    </w:p>
    <w:p>
      <w:pPr>
        <w:pStyle w:val="BodyText"/>
        <w:rPr/>
      </w:pPr>
      <w:r>
        <w:rPr/>
        <w:t>Second, COMET and BLEURT constitute a set of modern evaluation metrics that have become the gold standard for assessing machine translation performance in UK-based research. These metrics address the statistical power and translationality issues noted by Graham et al. (2020) and are more aligned with human preferences, as well as being more robust.</w:t>
      </w:r>
    </w:p>
    <w:p>
      <w:pPr>
        <w:pStyle w:val="BodyText"/>
        <w:rPr/>
      </w:pPr>
      <w:r>
        <w:rPr/>
        <w:t>Third, the multilingual and contextual machine translation systems at the University of Edinburgh represent cutting-edge modeling approaches. Multilingual machine translation research places a strong emphasis on effective cross-language sharing and robust evaluations in diverse environments. Contextual machine translation, on the other hand, improves consistency and disambiguation through document-level modeling. Domain adaptation, analyzed by Saunders (2022), remains a challenge, as fine-tuning, multi-domain modeling, and data selection continue to be the current tools for creating adaptive systems. This approach remains crucial for achieving practical implementation in real-world, multi-domain scenarios.</w:t>
      </w:r>
    </w:p>
    <w:p>
      <w:pPr>
        <w:pStyle w:val="BodyText"/>
        <w:rPr/>
      </w:pPr>
      <w:r>
        <w:rPr/>
        <w:t>Taken together, these areas represent the cutting edge of machine translation research, as reflected in the accepted articles.</w:t>
      </w:r>
    </w:p>
    <w:p>
      <w:pPr>
        <w:pStyle w:val="Heading2"/>
        <w:spacing w:lineRule="auto" w:line="276" w:before="0" w:after="140"/>
        <w:rPr/>
      </w:pPr>
      <w:r>
        <w:rPr>
          <w:rStyle w:val="Strong"/>
          <w:b/>
          <w:bCs/>
          <w:sz w:val="24"/>
          <w:szCs w:val="24"/>
        </w:rPr>
        <w:t>20</w:t>
      </w:r>
      <w:r>
        <w:rPr>
          <w:rStyle w:val="Strong"/>
          <w:b/>
          <w:bCs/>
          <w:sz w:val="24"/>
          <w:szCs w:val="24"/>
        </w:rPr>
        <w:t>. General Discussion</w:t>
      </w:r>
    </w:p>
    <w:p>
      <w:pPr>
        <w:pStyle w:val="BodyText"/>
        <w:rPr/>
      </w:pPr>
      <w:r>
        <w:rPr/>
        <w:t>The literature reviewed reveals a cohesive landscape of NMT research within UK universities. The shift from SMT to NMT (Stahlberg, 2020; Saunders, 2022) provides the foundation for all subsequent work, which builds on the strengths and limitations of neural models. Subword methods (Sennrich et al., 2016) remain critical for vocabulary efficiency and rare word handling, while domain adaptation techniques (Saunders, 2022) enable NMT systems to generalize across heterogeneous application domains.</w:t>
      </w:r>
    </w:p>
    <w:p>
      <w:pPr>
        <w:pStyle w:val="BodyText"/>
        <w:rPr/>
      </w:pPr>
      <w:r>
        <w:rPr/>
        <w:t>System-building work, such as Cambridge’s WMT18 system (Stahlberg et al., 2018), demonstrates the interplay between model architecture, data augmentation, and engineering refinements. However, evaluating MT outputs continues to pose challenges: translationese and low statistical power undermine traditional metrics like BLEU (Graham et al., 2020), motivating research into more robust alternatives.</w:t>
      </w:r>
    </w:p>
    <w:p>
      <w:pPr>
        <w:pStyle w:val="BodyText"/>
        <w:rPr/>
      </w:pPr>
      <w:r>
        <w:rPr/>
        <w:t>This is where unsupervised QE (Fomicheva et al., 2020) and advanced metrics such as COMET and BLEURT become crucial. They complement uncertainty estimation work by Cheng and Vlachos (2024), which opens pathways to diagnosing and reducing translation errors. Edinburgh’s multilingual and context-aware systems show how modeling approaches continue to evolve, addressing cross-lingual transfer, discourse context, and coherence.</w:t>
      </w:r>
    </w:p>
    <w:p>
      <w:pPr>
        <w:pStyle w:val="BodyText"/>
        <w:rPr/>
      </w:pPr>
      <w:r>
        <w:rPr/>
        <w:t>Together, the reviewed works demonstrate a trajectory toward more adaptable, robust, and interpretable MT systems grounded in neural architectures and enriched with principled evaluation methods.</w:t>
      </w:r>
    </w:p>
    <w:p>
      <w:pPr>
        <w:pStyle w:val="Heading2"/>
        <w:spacing w:lineRule="auto" w:line="276" w:before="0" w:after="140"/>
        <w:rPr/>
      </w:pPr>
      <w:r>
        <w:rPr>
          <w:rStyle w:val="Strong"/>
          <w:b/>
          <w:bCs/>
          <w:sz w:val="24"/>
          <w:szCs w:val="24"/>
        </w:rPr>
        <w:t>20</w:t>
      </w:r>
      <w:r>
        <w:rPr>
          <w:rStyle w:val="Strong"/>
          <w:b/>
          <w:bCs/>
          <w:sz w:val="24"/>
          <w:szCs w:val="24"/>
        </w:rPr>
        <w:t>. Conclusions</w:t>
      </w:r>
    </w:p>
    <w:p>
      <w:pPr>
        <w:pStyle w:val="BodyText"/>
        <w:rPr/>
      </w:pPr>
      <w:r>
        <w:rPr/>
        <w:t>The examined literature, limited to UK university contributions, shows that NMT has become the dominant MT paradigm due to its ability to model complex linguistic relationships (Stahlberg, 2020; Saunders, 2022). Subword modeling (Sennrich et al., 2016) and domain adaptation (Saunders, 2022) remain essential for real-world performance. Cambridge’s WMT18 systems (Stahlberg et al., 2018) highlight the importance of data augmentation and engineering pipelines.</w:t>
      </w:r>
    </w:p>
    <w:p>
      <w:pPr>
        <w:pStyle w:val="BodyText"/>
        <w:rPr/>
      </w:pPr>
      <w:r>
        <w:rPr/>
        <w:t>Evaluation challenges persist, particularly with BLEU’s limitations and translationese effects (Graham et al., 2020). New directions such as unsupervised QE (Fomicheva et al., 2020), advanced uncertainty modeling (Cheng &amp; Vlachos, 2024), and modern metrics like COMET and BLEURT show promising solutions. Finally, multilingual and context-aware systems from Edinburgh represent progressive modeling strategies that push MT closer to human-like translation capabilities.</w:t>
      </w:r>
    </w:p>
    <w:p>
      <w:pPr>
        <w:pStyle w:val="BodyText"/>
        <w:rPr/>
      </w:pPr>
      <w:r>
        <w:rPr>
          <w:rStyle w:val="Strong"/>
          <w:b w:val="false"/>
          <w:bCs w:val="false"/>
        </w:rPr>
        <w:t>All of these works collectively indicate that the future of MT lies in building models that are context-aware, domain-adaptable, uncertainty-informed, and evaluated through semantically grounded metrics.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1"/>
        <w:spacing w:lineRule="auto" w:line="276" w:before="0" w:after="140"/>
        <w:rPr/>
      </w:pPr>
      <w:r>
        <w:rPr>
          <w:rStyle w:val="Strong"/>
          <w:b/>
          <w:bCs/>
          <w:sz w:val="24"/>
          <w:szCs w:val="24"/>
        </w:rPr>
        <w:t xml:space="preserve">21 </w:t>
      </w:r>
      <w:r>
        <w:rPr>
          <w:rStyle w:val="Strong"/>
          <w:b/>
          <w:bCs/>
          <w:sz w:val="24"/>
          <w:szCs w:val="24"/>
        </w:rPr>
        <w:t>References</w:t>
      </w:r>
    </w:p>
    <w:p>
      <w:pPr>
        <w:pStyle w:val="BodyText"/>
        <w:rPr/>
      </w:pPr>
      <w:r>
        <w:rPr/>
        <w:t xml:space="preserve">Cheng, J., &amp; Vlachos, A. (2024). </w:t>
      </w:r>
      <w:r>
        <w:rPr>
          <w:rStyle w:val="Emphasis"/>
        </w:rPr>
        <w:t>Measuring Uncertainty in NMT with Similarity-Sensitive Entropy</w:t>
      </w:r>
      <w:r>
        <w:rPr/>
        <w:t>. University of Cambridge.</w:t>
      </w:r>
    </w:p>
    <w:p>
      <w:pPr>
        <w:pStyle w:val="BodyText"/>
        <w:rPr/>
      </w:pPr>
      <w:r>
        <w:rPr/>
        <w:t xml:space="preserve">Fomicheva, M., et al. (2020). </w:t>
      </w:r>
      <w:r>
        <w:rPr>
          <w:rStyle w:val="Emphasis"/>
        </w:rPr>
        <w:t>Unsupervised Quality Estimation for NMT</w:t>
      </w:r>
      <w:r>
        <w:rPr/>
        <w:t>. University of Sheffield / Imperial College London.</w:t>
      </w:r>
    </w:p>
    <w:p>
      <w:pPr>
        <w:pStyle w:val="BodyText"/>
        <w:rPr/>
      </w:pPr>
      <w:r>
        <w:rPr/>
        <w:t xml:space="preserve">Graham, Y., Haddow, B., &amp; Koehn, P. (2020). </w:t>
      </w:r>
      <w:r>
        <w:rPr>
          <w:rStyle w:val="Emphasis"/>
        </w:rPr>
        <w:t>Statistical Power and Translationese in MT Evaluation</w:t>
      </w:r>
      <w:r>
        <w:rPr/>
        <w:t>. University of Edinburgh.</w:t>
      </w:r>
    </w:p>
    <w:p>
      <w:pPr>
        <w:pStyle w:val="BodyText"/>
        <w:rPr/>
      </w:pPr>
      <w:r>
        <w:rPr/>
        <w:t xml:space="preserve">Saunders, D. (2022). </w:t>
      </w:r>
      <w:r>
        <w:rPr>
          <w:rStyle w:val="Emphasis"/>
        </w:rPr>
        <w:t>Domain Adaptation and Multi-Domain Adaptation for NMT: A Survey</w:t>
      </w:r>
      <w:r>
        <w:rPr/>
        <w:t>. University of Cambridge.</w:t>
      </w:r>
    </w:p>
    <w:p>
      <w:pPr>
        <w:pStyle w:val="BodyText"/>
        <w:rPr/>
      </w:pPr>
      <w:r>
        <w:rPr/>
        <w:t xml:space="preserve">Sennrich, R., Haddow, B., &amp; Birch, A. (2016). </w:t>
      </w:r>
      <w:r>
        <w:rPr>
          <w:rStyle w:val="Emphasis"/>
        </w:rPr>
        <w:t>Neural Machine Translation of Rare Words with Subword Units</w:t>
      </w:r>
      <w:r>
        <w:rPr/>
        <w:t>. University of Edinburgh.</w:t>
      </w:r>
    </w:p>
    <w:p>
      <w:pPr>
        <w:pStyle w:val="BodyText"/>
        <w:rPr/>
      </w:pPr>
      <w:r>
        <w:rPr/>
        <w:t xml:space="preserve">Stahlberg, F. (2020). </w:t>
      </w:r>
      <w:r>
        <w:rPr>
          <w:rStyle w:val="Emphasis"/>
        </w:rPr>
        <w:t>Neural Machine Translation: A Review</w:t>
      </w:r>
      <w:r>
        <w:rPr/>
        <w:t>. University of Cambridge.</w:t>
      </w:r>
    </w:p>
    <w:p>
      <w:pPr>
        <w:pStyle w:val="BodyText"/>
        <w:rPr/>
      </w:pPr>
      <w:r>
        <w:rPr/>
        <w:t xml:space="preserve">Stahlberg, F., de Gispert, A., &amp; Byrne, B. (2018). </w:t>
      </w:r>
      <w:r>
        <w:rPr>
          <w:rStyle w:val="Emphasis"/>
        </w:rPr>
        <w:t>The University of Cambridge’s MT Systems for WMT18</w:t>
      </w:r>
      <w:r>
        <w:rPr/>
        <w:t>. University of Cambridge.</w:t>
      </w:r>
    </w:p>
    <w:p>
      <w:pPr>
        <w:pStyle w:val="BodyText"/>
        <w:rPr/>
      </w:pPr>
      <w:r>
        <w:rPr/>
        <w:t xml:space="preserve">University of Edinburgh. </w:t>
      </w:r>
      <w:r>
        <w:rPr>
          <w:rStyle w:val="Emphasis"/>
        </w:rPr>
        <w:t>Multilingual MT papers (WMT Shared Tasks)</w:t>
      </w:r>
      <w:r>
        <w:rPr/>
        <w:t>.</w:t>
      </w:r>
    </w:p>
    <w:p>
      <w:pPr>
        <w:pStyle w:val="BodyText"/>
        <w:rPr/>
      </w:pPr>
      <w:r>
        <w:rPr/>
        <w:t xml:space="preserve">University of Edinburgh. </w:t>
      </w:r>
      <w:r>
        <w:rPr>
          <w:rStyle w:val="Emphasis"/>
        </w:rPr>
        <w:t>Context-Aware MT papers</w:t>
      </w:r>
      <w:r>
        <w:rPr/>
        <w:t>.</w:t>
      </w:r>
    </w:p>
    <w:p>
      <w:pPr>
        <w:pStyle w:val="BodyText"/>
        <w:rPr/>
      </w:pPr>
      <w:r>
        <w:rPr/>
        <w:t xml:space="preserve">UK-affiliated authors. </w:t>
      </w:r>
      <w:r>
        <w:rPr>
          <w:rStyle w:val="Emphasis"/>
        </w:rPr>
        <w:t>COMET &amp; BLEURT metric papers</w:t>
      </w:r>
      <w:r>
        <w:rPr/>
        <w:t>.</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tbl>
      <w:tblPr>
        <w:tblStyle w:val="TableGrid"/>
        <w:tblW w:w="1060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602"/>
      </w:tblGrid>
      <w:tr>
        <w:trPr>
          <w:trHeight w:val="397" w:hRule="atLeast"/>
        </w:trPr>
        <w:tc>
          <w:tcPr>
            <w:tcW w:w="10602" w:type="dxa"/>
            <w:tcBorders>
              <w:top w:val="double" w:sz="4" w:space="0" w:color="000000"/>
              <w:start w:val="double" w:sz="4" w:space="0" w:color="000000"/>
              <w:bottom w:val="double" w:sz="4" w:space="0" w:color="000000"/>
              <w:end w:val="double" w:sz="4" w:space="0" w:color="000000"/>
            </w:tcBorders>
            <w:vAlign w:val="center"/>
          </w:tcPr>
          <w:p>
            <w:pPr>
              <w:pStyle w:val="Normal"/>
              <w:pageBreakBefore/>
              <w:widowControl/>
              <w:spacing w:before="0" w:after="0"/>
              <w:jc w:val="center"/>
              <w:rPr>
                <w:rFonts w:cs="Calibri" w:cstheme="minorHAnsi"/>
                <w:b/>
                <w:bCs/>
                <w:sz w:val="40"/>
                <w:szCs w:val="40"/>
              </w:rPr>
            </w:pPr>
            <w:r>
              <w:rPr>
                <w:rFonts w:eastAsia="" w:cs="Calibri" w:ascii="Calibri" w:hAnsi="Calibri" w:cstheme="minorHAnsi"/>
                <w:b/>
                <w:bCs/>
                <w:kern w:val="0"/>
                <w:sz w:val="40"/>
                <w:szCs w:val="40"/>
                <w:lang w:val="en-GB" w:bidi="ar-SA"/>
              </w:rPr>
              <w:t>Bibliography</w:t>
            </w:r>
          </w:p>
        </w:tc>
      </w:tr>
    </w:tbl>
    <w:p>
      <w:pPr>
        <w:pStyle w:val="Normal"/>
        <w:rPr>
          <w:rFonts w:ascii="Calibri" w:hAnsi="Calibri" w:cs="Calibri" w:asciiTheme="minorHAnsi" w:cstheme="minorHAnsi" w:hAnsiTheme="minorHAnsi"/>
          <w:sz w:val="24"/>
          <w:szCs w:val="24"/>
        </w:rPr>
      </w:pPr>
      <w:r>
        <w:rPr/>
      </w:r>
    </w:p>
    <w:p>
      <w:pPr>
        <w:pStyle w:val="BodyText"/>
        <w:widowControl/>
        <w:bidi w:val="0"/>
        <w:jc w:val="start"/>
        <w:rPr/>
      </w:pPr>
      <w:r>
        <w:rPr>
          <w:rStyle w:val="Emphasis"/>
          <w:lang w:eastAsia="en-US"/>
        </w:rPr>
        <w:t xml:space="preserve">[1 NumPy Developers, “NumPy Documentation,” NumPy, 2024. </w:t>
      </w:r>
      <w:hyperlink r:id="rId5">
        <w:r>
          <w:rPr>
            <w:rStyle w:val="Hyperlink"/>
            <w:i/>
            <w:i/>
            <w:iCs/>
            <w:lang w:eastAsia="en-US"/>
          </w:rPr>
          <w:t>https://numpy.org/doc/</w:t>
        </w:r>
      </w:hyperlink>
    </w:p>
    <w:p>
      <w:pPr>
        <w:pStyle w:val="BodyText"/>
        <w:widowControl/>
        <w:bidi w:val="0"/>
        <w:jc w:val="start"/>
        <w:rPr/>
      </w:pPr>
      <w:r>
        <w:rPr>
          <w:rStyle w:val="Emphasis"/>
          <w:lang w:eastAsia="en-US"/>
        </w:rPr>
        <w:t xml:space="preserve">pandas Development Team, “pandas Documentation,” pandas, 2024.  </w:t>
      </w:r>
      <w:hyperlink r:id="rId6">
        <w:r>
          <w:rPr>
            <w:rStyle w:val="Hyperlink"/>
            <w:i/>
            <w:i/>
            <w:iCs/>
            <w:lang w:eastAsia="en-US"/>
          </w:rPr>
          <w:t>https://pandas.pydata.org/docs/</w:t>
        </w:r>
      </w:hyperlink>
    </w:p>
    <w:p>
      <w:pPr>
        <w:pStyle w:val="BodyText"/>
        <w:widowControl/>
        <w:bidi w:val="0"/>
        <w:jc w:val="start"/>
        <w:rPr/>
      </w:pPr>
      <w:r>
        <w:rPr>
          <w:rStyle w:val="Emphasis"/>
          <w:lang w:eastAsia="en-US"/>
        </w:rPr>
        <w:t xml:space="preserve">Scikit-learn Developers, “Scikit-learn Documentation,” scikit-learn, 2024.  </w:t>
      </w:r>
      <w:hyperlink r:id="rId7">
        <w:r>
          <w:rPr>
            <w:rStyle w:val="Hyperlink"/>
            <w:i/>
            <w:i/>
            <w:iCs/>
            <w:lang w:eastAsia="en-US"/>
          </w:rPr>
          <w:t>https://scikit-learn.org/stable/documentation.html</w:t>
        </w:r>
      </w:hyperlink>
    </w:p>
    <w:p>
      <w:pPr>
        <w:pStyle w:val="BodyText"/>
        <w:widowControl/>
        <w:bidi w:val="0"/>
        <w:jc w:val="start"/>
        <w:rPr/>
      </w:pPr>
      <w:r>
        <w:rPr>
          <w:rStyle w:val="Emphasis"/>
          <w:lang w:eastAsia="en-US"/>
        </w:rPr>
        <w:t xml:space="preserve">T. da Costa-Luis et al., “tqdm Documentation,” tqdm, 2024. [Online]. Available: </w:t>
      </w:r>
      <w:hyperlink r:id="rId8">
        <w:r>
          <w:rPr>
            <w:rStyle w:val="Hyperlink"/>
            <w:i/>
            <w:i/>
            <w:iCs/>
            <w:lang w:eastAsia="en-US"/>
          </w:rPr>
          <w:t>https://tqdm.github.io/</w:t>
        </w:r>
      </w:hyperlink>
    </w:p>
    <w:p>
      <w:pPr>
        <w:pStyle w:val="BodyText"/>
        <w:widowControl/>
        <w:bidi w:val="0"/>
        <w:jc w:val="start"/>
        <w:rPr/>
      </w:pPr>
      <w:r>
        <w:rPr>
          <w:rStyle w:val="Emphasis"/>
          <w:lang w:eastAsia="en-US"/>
        </w:rPr>
        <w:t xml:space="preserve">Matplotlib Developers, “Matplotlib Documentation,” Matplotlib, 2024.  </w:t>
      </w:r>
      <w:hyperlink r:id="rId9">
        <w:r>
          <w:rPr>
            <w:rStyle w:val="Hyperlink"/>
            <w:i/>
            <w:i/>
            <w:iCs/>
            <w:lang w:eastAsia="en-US"/>
          </w:rPr>
          <w:t>https://matplotlib.org/stable/contents.html</w:t>
        </w:r>
      </w:hyperlink>
    </w:p>
    <w:p>
      <w:pPr>
        <w:pStyle w:val="BodyText"/>
        <w:widowControl/>
        <w:bidi w:val="0"/>
        <w:jc w:val="start"/>
        <w:rPr/>
      </w:pPr>
      <w:r>
        <w:rPr>
          <w:rStyle w:val="Emphasis"/>
          <w:lang w:eastAsia="en-US"/>
        </w:rPr>
        <w:t xml:space="preserve">M. Waskom, “Seaborn Documentation,” Seaborn, 2024. [Online]. Available: </w:t>
      </w:r>
      <w:hyperlink r:id="rId10">
        <w:r>
          <w:rPr>
            <w:rStyle w:val="Hyperlink"/>
            <w:i/>
            <w:i/>
            <w:iCs/>
            <w:lang w:eastAsia="en-US"/>
          </w:rPr>
          <w:t>https://seaborn.pydata.org/</w:t>
        </w:r>
      </w:hyperlink>
    </w:p>
    <w:p>
      <w:pPr>
        <w:pStyle w:val="BodyText"/>
        <w:widowControl/>
        <w:bidi w:val="0"/>
        <w:jc w:val="start"/>
        <w:rPr/>
      </w:pPr>
      <w:r>
        <w:rPr>
          <w:rStyle w:val="Emphasis"/>
          <w:lang w:eastAsia="en-US"/>
        </w:rPr>
        <w:t xml:space="preserve">XGBoost Developers, “XGBoost Documentation,” XGBoost, 2024.  </w:t>
      </w:r>
      <w:hyperlink r:id="rId11">
        <w:r>
          <w:rPr>
            <w:rStyle w:val="Hyperlink"/>
            <w:i/>
            <w:i/>
            <w:iCs/>
            <w:lang w:eastAsia="en-US"/>
          </w:rPr>
          <w:t>https://xgboost.readthedocs.io/en/stable/</w:t>
        </w:r>
      </w:hyperlink>
    </w:p>
    <w:p>
      <w:pPr>
        <w:pStyle w:val="BodyText"/>
        <w:widowControl/>
        <w:bidi w:val="0"/>
        <w:jc w:val="start"/>
        <w:rPr/>
      </w:pPr>
      <w:r>
        <w:rPr>
          <w:rStyle w:val="Emphasis"/>
          <w:lang w:eastAsia="en-US"/>
        </w:rPr>
        <w:t xml:space="preserve">Python Software Foundation, “Python Standard Library Documentation,” Python, 2024.  </w:t>
      </w:r>
      <w:hyperlink r:id="rId12">
        <w:r>
          <w:rPr>
            <w:rStyle w:val="Hyperlink"/>
            <w:i/>
            <w:i/>
            <w:iCs/>
            <w:lang w:eastAsia="en-US"/>
          </w:rPr>
          <w:t>https://docs.python.org/3/library/</w:t>
        </w:r>
      </w:hyperlink>
    </w:p>
    <w:p>
      <w:pPr>
        <w:pStyle w:val="BodyText"/>
        <w:widowControl/>
        <w:bidi w:val="0"/>
        <w:jc w:val="start"/>
        <w:rPr/>
      </w:pPr>
      <w:r>
        <w:rPr>
          <w:rStyle w:val="Emphasis"/>
          <w:lang w:eastAsia="en-US"/>
        </w:rPr>
        <w:t xml:space="preserve">Scikit-learn Developers, “Ensemble Methods: Random Forests,” scikit-learn, 2024. </w:t>
      </w:r>
      <w:r>
        <w:fldChar w:fldCharType="begin"/>
      </w:r>
      <w:r>
        <w:rPr>
          <w:i/>
          <w:i/>
          <w:iCs/>
          <w:rStyle w:val="Hyperlink"/>
          <w:lang w:eastAsia="en-US"/>
        </w:rPr>
        <w:instrText xml:space="preserve"> HYPERLINK "https://scikit-learn.org/stable/modules/ensemble.html" \l "forest"</w:instrText>
      </w:r>
      <w:r>
        <w:rPr>
          <w:i/>
          <w:i/>
          <w:iCs/>
          <w:rStyle w:val="Hyperlink"/>
          <w:lang w:eastAsia="en-US"/>
        </w:rPr>
        <w:fldChar w:fldCharType="separate"/>
      </w:r>
      <w:r>
        <w:rPr>
          <w:rStyle w:val="Hyperlink"/>
          <w:i/>
          <w:i/>
          <w:iCs/>
          <w:lang w:eastAsia="en-US"/>
        </w:rPr>
        <w:t>https://scikit-learn.org/stable/modules/ensemble.html#forest</w:t>
      </w:r>
      <w:r>
        <w:rPr>
          <w:i/>
          <w:i/>
          <w:iCs/>
          <w:rStyle w:val="Hyperlink"/>
          <w:lang w:eastAsia="en-US"/>
        </w:rPr>
        <w:fldChar w:fldCharType="end"/>
      </w:r>
    </w:p>
    <w:p>
      <w:pPr>
        <w:pStyle w:val="BodyText"/>
        <w:widowControl/>
        <w:bidi w:val="0"/>
        <w:jc w:val="start"/>
        <w:rPr/>
      </w:pPr>
      <w:r>
        <w:rPr>
          <w:rStyle w:val="Emphasis"/>
          <w:lang w:eastAsia="en-US"/>
        </w:rPr>
        <w:t xml:space="preserve">Scikit-learn Developers, “Preprocessing and Imputation Tools,” scikit-learn, 2024.: </w:t>
      </w:r>
      <w:hyperlink r:id="rId13" w:tgtFrame="_new">
        <w:r>
          <w:rPr>
            <w:rStyle w:val="Hyperlink"/>
            <w:i/>
            <w:i/>
            <w:iCs/>
            <w:lang w:eastAsia="en-US"/>
          </w:rPr>
          <w:t>https://scikit-learn.org/stable/modules/preprocessing.html</w:t>
        </w:r>
      </w:hyperlink>
    </w:p>
    <w:p>
      <w:pPr>
        <w:pStyle w:val="BodyText"/>
        <w:widowControl/>
        <w:bidi w:val="0"/>
        <w:jc w:val="start"/>
        <w:rPr/>
      </w:pPr>
      <w:r>
        <w:rPr>
          <w:rStyle w:val="Emphasis"/>
          <w:lang w:eastAsia="en-US"/>
        </w:rPr>
        <w:t>L. Breiman, “Random forests,” Machine Learning, vol. 45, no. 1, pp. 5–32, 2001. doi: 10.1023/A:1010933404324.</w:t>
      </w:r>
    </w:p>
    <w:p>
      <w:pPr>
        <w:pStyle w:val="BodyText"/>
        <w:widowControl/>
        <w:bidi w:val="0"/>
        <w:jc w:val="start"/>
        <w:rPr/>
      </w:pPr>
      <w:r>
        <w:rPr>
          <w:rStyle w:val="Emphasis"/>
          <w:lang w:eastAsia="en-US"/>
        </w:rPr>
        <w:t>T. Chen and C. Guestrin, “XGBoost: A scalable tree boosting system,” in Proceedings of the 22nd ACM SIGKDD International Conference on Knowledge Discovery and Data Mining, 2016, pp. 785–794. doi: 10.1145/2939672.2939785.</w:t>
      </w:r>
    </w:p>
    <w:p>
      <w:pPr>
        <w:pStyle w:val="BodyText"/>
        <w:widowControl/>
        <w:bidi w:val="0"/>
        <w:jc w:val="start"/>
        <w:rPr/>
      </w:pPr>
      <w:r>
        <w:rPr>
          <w:rStyle w:val="Emphasis"/>
          <w:lang w:eastAsia="en-US"/>
        </w:rPr>
        <w:t>F. Pedregosa et al., “Scikit-learn: Machine learning in Python,” Journal of Machine Learning Research, vol. 12, pp. 2825–2830, 2011.</w:t>
      </w:r>
    </w:p>
    <w:p>
      <w:pPr>
        <w:pStyle w:val="BodyText"/>
        <w:widowControl/>
        <w:bidi w:val="0"/>
        <w:jc w:val="start"/>
        <w:rPr/>
      </w:pPr>
      <w:r>
        <w:rPr>
          <w:rStyle w:val="Emphasis"/>
          <w:lang w:eastAsia="en-US"/>
        </w:rPr>
        <w:t>W. McKinney, “Data structures for statistical computing in Python,” in Proceedings of the 9th Python in Science Conference, 2010, pp. 51–56. doi: 10.48550/arXiv.1703.02647.</w:t>
      </w:r>
    </w:p>
    <w:p>
      <w:pPr>
        <w:pStyle w:val="BodyText"/>
        <w:widowControl/>
        <w:bidi w:val="0"/>
        <w:jc w:val="start"/>
        <w:rPr/>
      </w:pPr>
      <w:r>
        <w:rPr>
          <w:rStyle w:val="Emphasis"/>
          <w:lang w:eastAsia="en-US"/>
        </w:rPr>
        <w:t>C. R. Harris et al., “Array programming with NumPy,” Nature, vol. 585, pp. 357–362, 2020. doi: 10.1038/s41586-020-2649-2.</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tbl>
      <w:tblPr>
        <w:tblStyle w:val="TableGrid"/>
        <w:tblW w:w="1060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602"/>
      </w:tblGrid>
      <w:tr>
        <w:trPr>
          <w:trHeight w:val="397" w:hRule="atLeast"/>
        </w:trPr>
        <w:tc>
          <w:tcPr>
            <w:tcW w:w="10602" w:type="dxa"/>
            <w:tcBorders>
              <w:top w:val="double" w:sz="4" w:space="0" w:color="000000"/>
              <w:start w:val="double" w:sz="4" w:space="0" w:color="000000"/>
              <w:bottom w:val="double" w:sz="4" w:space="0" w:color="000000"/>
              <w:end w:val="double" w:sz="4" w:space="0" w:color="000000"/>
            </w:tcBorders>
            <w:vAlign w:val="center"/>
          </w:tcPr>
          <w:p>
            <w:pPr>
              <w:pStyle w:val="Normal"/>
              <w:pageBreakBefore/>
              <w:widowControl/>
              <w:spacing w:before="0" w:after="0"/>
              <w:jc w:val="center"/>
              <w:rPr>
                <w:rFonts w:cs="Calibri" w:cstheme="minorHAnsi"/>
                <w:b/>
                <w:bCs/>
                <w:sz w:val="40"/>
                <w:szCs w:val="40"/>
              </w:rPr>
            </w:pPr>
            <w:r>
              <w:rPr>
                <w:rFonts w:eastAsia="" w:cs="Calibri" w:ascii="Calibri" w:hAnsi="Calibri" w:cstheme="minorHAnsi"/>
                <w:b/>
                <w:bCs/>
                <w:kern w:val="0"/>
                <w:sz w:val="40"/>
                <w:szCs w:val="40"/>
                <w:lang w:val="en-GB" w:bidi="ar-SA"/>
              </w:rPr>
              <w:t>Apendix B</w:t>
            </w:r>
          </w:p>
        </w:tc>
      </w:tr>
    </w:tbl>
    <w:p>
      <w:pPr>
        <w:pStyle w:val="Normal"/>
        <w:widowControl/>
        <w:numPr>
          <w:ilvl w:val="0"/>
          <w:numId w:val="0"/>
        </w:numPr>
        <w:bidi w:val="0"/>
        <w:ind w:hanging="0" w:start="0"/>
        <w:jc w:val="start"/>
        <w:rPr>
          <w:rFonts w:cs="Calibri" w:cstheme="minorHAnsi"/>
          <w:color w:themeColor="accent1" w:val="4472C4"/>
          <w:sz w:val="24"/>
          <w:szCs w:val="24"/>
        </w:rPr>
      </w:pPr>
      <w:r>
        <w:rPr>
          <w:rFonts w:cs="Calibri" w:cstheme="minorHAnsi"/>
          <w:color w:themeColor="accent1" w:val="4472C4"/>
          <w:sz w:val="24"/>
          <w:szCs w:val="24"/>
        </w:rPr>
      </w:r>
    </w:p>
    <w:p>
      <w:pPr>
        <w:pStyle w:val="ListParagraph"/>
        <w:widowControl/>
        <w:numPr>
          <w:ilvl w:val="0"/>
          <w:numId w:val="0"/>
        </w:numPr>
        <w:bidi w:val="0"/>
        <w:ind w:hanging="0" w:start="0"/>
        <w:jc w:val="start"/>
        <w:rPr>
          <w:rFonts w:cs="Calibri" w:cstheme="minorHAnsi"/>
          <w:color w:themeColor="accent1" w:val="4472C4"/>
          <w:sz w:val="24"/>
          <w:szCs w:val="24"/>
        </w:rPr>
      </w:pPr>
      <w:r>
        <w:rPr>
          <w:rFonts w:cs="Calibri" w:cstheme="minorHAnsi"/>
          <w:color w:themeColor="accent1" w:val="4472C4"/>
          <w:sz w:val="24"/>
          <w:szCs w:val="24"/>
        </w:rPr>
      </w:r>
    </w:p>
    <w:p>
      <w:pPr>
        <w:pStyle w:val="ListParagraph"/>
        <w:widowControl/>
        <w:numPr>
          <w:ilvl w:val="0"/>
          <w:numId w:val="0"/>
        </w:numPr>
        <w:bidi w:val="0"/>
        <w:ind w:hanging="0" w:start="0"/>
        <w:jc w:val="start"/>
        <w:rPr>
          <w:rFonts w:cs="Calibri" w:cstheme="minorHAnsi"/>
          <w:color w:themeColor="accent1" w:val="4472C4"/>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ab/>
        <w:tab/>
      </w:r>
    </w:p>
    <w:p>
      <w:pPr>
        <w:pStyle w:val="ListParagraph"/>
        <w:widowControl/>
        <w:numPr>
          <w:ilvl w:val="0"/>
          <w:numId w:val="0"/>
        </w:numPr>
        <w:bidi w:val="0"/>
        <w:ind w:hanging="0" w:start="0"/>
        <w:jc w:val="start"/>
        <w:rPr>
          <w:rFonts w:cs="Calibri" w:cstheme="minorHAnsi"/>
          <w:color w:themeColor="accent1" w:val="4472C4"/>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pip install -U numpy scipy pandas scikit-learn numexpr bottleneck</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w:t>
      </w:r>
      <w:r>
        <w:rPr>
          <w:rFonts w:cs="Calibri" w:cstheme="minorHAnsi"/>
          <w:color w:themeColor="accent1" w:val="4472C4"/>
          <w:sz w:val="24"/>
          <w:szCs w:val="24"/>
        </w:rPr>
        <w:t>mport numpy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numpy.__config__.show()</w:t>
      </w:r>
    </w:p>
    <w:p>
      <w:pPr>
        <w:pStyle w:val="ListParagraph"/>
        <w:ind w:hanging="360" w:start="1418"/>
        <w:rPr>
          <w:rFonts w:cs="Calibri" w:cstheme="minorHAnsi"/>
          <w:sz w:val="24"/>
          <w:szCs w:val="24"/>
        </w:rPr>
      </w:pPr>
      <w:r>
        <w:rPr>
          <w:rFonts w:cs="Calibri" w:cstheme="minorHAnsi"/>
          <w:color w:themeColor="accent1" w:val="4472C4"/>
          <w:sz w:val="24"/>
          <w:szCs w:val="24"/>
        </w:rPr>
      </w:r>
    </w:p>
    <w:p>
      <w:pPr>
        <w:pStyle w:val="ListParagraph"/>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export OMP_NUM_THREADS=24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export MKL_NUM_THREADS=24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export NUMEXPR_MAX_THREADS=24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!pip install pandas tqdm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!pip install pandas tqdm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#!/usr/bin/env python3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glob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tqdm import tqdm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Directorio base (ajústalo si lo necesitas)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"/home/clientefinal/SERVIDOR/Jupyter/ARCHIVOS"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CSV final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OUTPUT_FILE = "uk_crime_merged_2025.csv"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Buscar todos los CSV dentro de subcarpetas (recursivamente)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all_csvs = glob.glob(os.path.join(BASE_DIR, "*/*.csv"))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print(f"Archivos encontrados: {len(all_csvs)}")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csv_path in tqdm(all_csvs, desc="Leyendo y uniendo CSVs"):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try: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pd.read_csv(csv_path)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df["source_file"] = os.path.basename(csv_path)  # opcional: saber de qué mes viene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dfs.append(df)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except Exception as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Error leyendo {csv_path}: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Unir todos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 = pd.concat(dfs, ignore_index=True)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Eliminar duplicados (si existen)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"Crime ID" in merged.columns: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merged.drop_duplicates(subset=["Crime ID"], inplace=True)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Guardar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merged.to_csv(OUTPUT_FILE,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print(f"CSV final guardado: {OUTPUT_FILE}")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print(f"Filas totales: {len(merged):,}")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pd.read_csv("/home/clientefinal/SERVIDOR/Jupyter/uk_crime_merged_2025.csv",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print(df.info())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print(df.describe())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print(df.isna().sum())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pd.read_csv("/home/clientefinal/SERVIDOR/Jupyter/uk_crime_merged_2025.csv",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eliminar columnas totalmente vacías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df.dropna(axis=1, how='all')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columnas a conservar manualmente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keep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"Crime ID", "Month", "Longitude", "Latitude",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"LSOA code", "LSOA name", "Crime type", "Last outcome category"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df[keep]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eliminar filas sin coordenadas o sin código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df.dropna(subset=["Longitude", "Latitude", "LSOA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asegurarte de que 'Month' es fecha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df["Month"] = pd.to_datetime(df["Month"], errors="coerce")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df.info()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print(df["Crime type"].value_counts().head())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pd.read_csv("/home/clientefinal/SERVIDOR/Jupyter/uk_crime_merged_2025.csv", parse_dates=["Month"])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crime_agg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df.groupby(["Month", "LSOA code", "LSOA name"])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.size()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.reset_index(name="crime_count")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crime_agg.to_csv("crime_aggregated.csv",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print(crime_agg.head())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 = "/home/clientefinal/SERVIDOR/Jupyter/census2021"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datasets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"ts001_population": "census2021-ts001/census2021-ts001-lsoa.csv",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"ts004_birth_country": "census2021-ts004/census2021-ts004-lsoa.csv",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"ts006_density": "census2021-ts006/census2021-ts006-lsoa.csv",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"ts011_deprivation": "census2021-ts011/census2021-ts011-lsoa.csv",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"ts038_disability": "census2021-ts038/census2021-ts038-lsoa.csv",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"ts063_occupation": "census2021-ts063/census2021-ts063-lsoa.csv",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"ts065_unemployment_history": "census2021-ts065/census2021-ts065-lsoa.csv",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"ts066_economic": "census2021-ts066/census2021-ts066-lsoa.csv",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"ts067_education": "census2021-ts067/census2021-ts067-lsoa.csv",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def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"""Lee CSV y selecciona columnas representativas automáticamente"""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pd.read_csv(path, dtype=str,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first_col = df.columns[0]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df.rename(columns={first_col: "LSOA_code"})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df["LSOA_code"] = df["LSOA_code"].astype(str).str.strip()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Mantén LSOA y columnas que parezcan totales o sumarios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 = ["LSOA_code"]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for c in 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re.search(r"(?i)(total|all|overall|density|count|population)", c):</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keep_cols.append(c)</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elif c.endswith("0001") or c.endswith("001"):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keep_cols.append(c)</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df[keep_cols].drop_duplicates(subset=["LSOA_code"])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 =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name, rel_path in datasets.items():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path = os.path.join(base, rel_path)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print(f"Loading {name}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 {df.shape[0]} rows, {df.shape[1]} cols: {list(df.columns)[:5]}...")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merged is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merged.merge(df, on="LSOA_code", how="left")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print(f"Merged shape: {merged.shape}")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out_path = f"{base}/census_features_full.csv"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merged.to_csv(out_path,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Done! Saved to: {out_path}")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 = "/home/clientefinal/SERVIDOR/Jupyter/census2021"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datasets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"ts001_population": "census2021-ts001/census2021-ts001-lsoa.csv",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"ts004_birth_country": "census2021-ts004/census2021-ts004-lsoa.csv",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"ts006_density": "census2021-ts006/census2021-ts006-lsoa.csv",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"ts011_deprivation": "census2021-ts011/census2021-ts011-lsoa.csv",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"ts038_disability": "census2021-ts038/census2021-ts038-lsoa.csv",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"ts063_occupation": "census2021-ts063/census2021-ts063-lsoa.csv",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"ts065_unemployment_history": "census2021-ts065/census2021-ts065-lsoa.csv",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"ts066_economic": "census2021-ts066/census2021-ts066-lsoa.csv",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"ts067_education": "census2021-ts067/census2021-ts067-lsoa.csv",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def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"""Lee solo columnas necesarias y limpia IDs"""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pd.read_csv(path, dtype=str,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first_col = df.columns[0]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df.rename(columns={first_col: "LSOA_code"})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df["LSOA_code"] = df["LSOA_code"].astype(str).str.strip()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 = [c for c in df.columns if c == "LSOA_code" or c.endswith("0001")]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df[keep_cols].drop_duplicates(subset=["LSOA_code"])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 =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name, rel_path in datasets.items():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path = os.path.join(base, rel_path)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Loading {name}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 {df.shape[0]} rows, {df.shape[1]} 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merged is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Unión progresiva segura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merged.merge(df, on="LSOA_code", how="left", validate="1:1")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Merged shape: {merged.shape}")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out_path = f"{base}/census_features_full.csv"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merged.to_csv(out_path,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Done! Saved to: {out_path}")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os.cpu_count()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#!/usr/bin/env python3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UK Census 2021 (LSOA) → Parquet unificado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Autor: [Tu nombre]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Descripción: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Fusiona todos los archivos -lsoa.csv del Censo 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en un único archivo Parquet optimizado por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sys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glob import glob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ray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modin.pandas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Configuración inicial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os.path.expanduser("~/SERVIDOR/Jupyter/census2021")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OUTPUT_PATH = os.path.join(BASE_DIR, "census_features_full.parquet")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Iniciar Ray para paralelismo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not ray.is_initialized():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ray.init(num_cpus=24, ignore_reinit_error=True)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print(f"ay inicializado con {ray.cluster_resources()['CPU']} CPUs\n")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Detección automática de archivos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lsoa_files = sorted(glob(os.path.join(BASE_DIR, "census2021-ts*/census2021-ts*-lsoa.csv")))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not 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sys.exit("No se encontraron archivos '-lsoa.csv'. Revisa la ruta BASE_DIR o nombres de archivo.")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Archivos detectados ({len(lsoa_files)}):")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f in 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  -", os.path.basename(f))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 * 60)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Fusión progresiva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merged_df =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path in 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dataset_code = re.search(r"(census2021-ts\d+)", path).group(1)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print(f"\nProcesando {dataset_code}...")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try: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pd.read_csv(path,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except Exception as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print(f"Error leyendo {path}: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continue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Normalizar nombre de columna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lsoa_col_candidates = [c for c in df.columns if "LSOA" in c.upper() or "geography code" in c.lower()]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not lsoa_col_candidates: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print(f"No se encontró columna LSOA en {path}. Saltando...")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continue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lsoa_col = lsoa_col_candidates[0]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df.rename(columns={lsoa_col: "LSOA code"}, inplace=True)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Eliminar columnas textuales o no numéricas irrelevantes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drop_cols = [c for c in df.columns if re.search(r"name|Area|Geography", c, re.IGNORECASE)]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df.drop(columns=drop_cols, inplace=True, errors="ignore")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Renombrar columnas para evitar colisiones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value_cols = [c for c in df.columns if c != "LSOA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df.rename(columns={c: f"{dataset_code}_{c}" for c in value_cols}, inplace=True)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Mostrar resumen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Columnas agregadas: {len(value_cols)} | Filas: {len(df):,}")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Merge progresivo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merged_df is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merged_df =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merged_df = merged_df.merge(df, on="LSOA code", how="outer")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Todos los datasets combinados correctamente.")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Total de filas: {len(merged_df):,}")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Total de columnas: {len(merged_df.columns):,}")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Guardar resultado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os.makedirs(os.path.dirname(OUTPUT_PATH), exist_ok=True)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merged_df.to_parquet(OUTPUT_PATH,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Archivo final guardado en:\n{OUTPUT_PATH}")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Export opcional de preview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preview_csv = OUTPUT_PATH.replace(".parquet", "_preview.csv")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merged_df.head(1000).to_csv(preview_csv,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Muestra de 1.000 filas exportada a:\n{preview_csv}")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print("\nConversión y fusión completadas con éxito.")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#!/usr/bin/env python3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Verificación y exploración del 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modin.pandas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ray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Inicializar Ray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not ray.is_initialized():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ray.init(num_cpus=24, ignore_reinit_error=True)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Rutas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os.path.expanduser("~/SERVIDOR/Jupyter")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DATASET_PATH = os.path.join(BASE_DIR, "dataset_ml.parquet")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1️Cargar dataset final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 Cargando dataset final...")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pd.read_parquet(DATASET_PATH)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print(f"Filas: {len(df):,} | Columnas: {len(df.columns)}")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2️Revisión general de estructura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print("\nPrimeras filas:")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print(df.head(5))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Columnas principales:")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print(df.columns[:20])  # muestra primeras 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print("\nTipos de datos:")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print(df.dtypes.head(15))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Validación de fechas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"Month" in 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df["Month"] = pd.to_datetime(df["Month"], errors="coerce")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print("\n Rango temporal:")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print("Desde:", df["Month"].min())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print("Hasta:", df["Month"].max())</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print("No se encontró columna 'Month'.")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4️Validación de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"LSOA code" in 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n_unique = df["LSOA code"].nunique()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print(f"\nZonas únicas (LSOA): {n_unique:,}")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 No se encontró columna 'LSOA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Chequeo de nulls y duplicados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Valores nulos por columna (top 15):")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print(df.isna().sum().sort_values(ascending=False).head(15))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duplicados = df.duplicated(subset=["Month", "LSOA code"]).sum()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print(f"\nRegistros duplicados (Month+LSOA): {duplicados:,}")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Validación de features derivadas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features_check = ["crime_count", "crime_rate", "crime_count_prev", "crime_change_pct"]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print("\nEstadísticas básicas de variables clave:")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print(df[features_check].describe().T)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7️ Sanity checks adicionales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print("\nNúmero medio de crímenes por mes (primeras 10 fechas):")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print(df.groupby("Month")["crime_count"].mean().head(10))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Ejemplo: evolución del crimen en un LSOA aleatorio:")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sample_lsoa = df["LSOA code"].dropna().sample(1).iloc[0]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print("Ejemplo LSOA:", sample_lsoa)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print(df[df["LSOA code"] == sample_lsoa][["Month", "crime_count", "crime_rate"]].head(10))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Verificación completada.")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pd.read_parquet("~/SERVIDOR/Jupyter/dataset_ml.parquet")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features = [c for c in df.columns if c not in {"Month","LSOA code","crime_count"} and np.issubdtype(df[c].dtype, np.number)]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k = len(features)          # nº de predictores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 = k + 1                  # + intercepto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train_prop = np.sqrt(p)/(np.sqrt(p)+1)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test_prop  = 1/(np.sqrt(p)+1)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train_prop, test_prop, p, k</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MODELADO ML - SPLIT ÓPTIMO SEGÚN JOSEPH (2022)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Train ≈ 79.9 % | Val ≈ 8.9 % | Test ≈ 11.2 %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Dataset: ~/SERVIDOR/Jupyter/dataset_ml.parquet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Compatible con XGBoost 3.1.1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 math, warnings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sklearn.metrics import mean_absolute_error, mean_squared_error, r2_score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sklearn.preprocessing import StandardScaler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sklearn.impute import SimpleImputer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sklearn.linear_model import LinearRegression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sklearn.ensemble import RandomForestRegressor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xgboost import XGBRegressor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xgboost.callback import EarlyStopping</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warnings.filterwarnings("ignore")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Rutas y helpers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os.path.expanduser("~/SERVIDOR/Jupyter")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DATA_PATH = os.path.join(BASE_DIR, "dataset_ml.parquet")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OUT_DIR   = os.path.join(BASE_DIR, "ml_outputs_optimal_joseph")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os.makedirs(OUT_DIR, exist_ok=True)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def rmse(y_true, y_pred):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math.sqrt(mean_squared_error(y_true,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def metrics_table(name, 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"model": name,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"MAE": mean_absolute_error(y_true,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"RMSE": rmse(y_true,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"R2": r2_score(y_true,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CARGA DE DATOS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pd.read_parquet(DATA_PATH)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df["Month"] = pd.to_datetime(df["Month"], errors="coerce")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df.sort_values("Month")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print(f"Dataset: {len(df):,} filas | {len(df.columns)} columnas")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SPLIT TEMPORAL SEGÚN PROPORCIONES ÓPTIMAS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train_prop = 0.7986</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val_prop   = 0.0887</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test_prop  = 0.1127</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months = np.sort(df["Month"].unique())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n_months = len(months)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train_end = int(n_months * train_prop)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val_end   = int(n_months * (train_prop + val_prop))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train_months = months[:train_end]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val_months   = months[train_end:val_end]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test_months  = months[val_end:]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df_train = df[df["Month"].isin(train_months)]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df_val   = df[df["Month"].isin(val_months)]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df_test  = df[df["Month"].isin(test_months)]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print(f"Meses totales: {n_months}")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print(f"Split temporal -&gt; Train: {len(train_months)} | Val: {len(val_months)} | Test: {len(test_months)}")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print(f"Filas -&gt; Train: {len(df_train):,} | Val: {len(df_val):,} | Test: {len(df_test):,}")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3️⃣ PREPARACIÓN DE FEATURES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target_col = "crime_count"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drop_cols = {"Month","LSOA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num_cols = [c for c in df.columns if c not in drop_cols and np.issubdtype(df[c].dtype, np.number)]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target_col in 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num_cols.remove(target_col)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X_train, y_train = df_train[num_cols], df_train[target_col]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X_val,   y_val   = df_val[num_cols],   df_val[target_col]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X_test,  y_test  = df_test[num_cols],  df_test[target_col]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Imputación + Escalado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 = SimpleImputer(strategy="median").fit(X_train)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X_train_imp = pd.DataFrame(imp.transform(X_train),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X_val_imp   = pd.DataFrame(imp.transform(X_val),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X_test_imp  = pd.DataFrame(imp.transform(X_test),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scaler = StandardScaler().fit(X_train_imp)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X_train_std = pd.DataFrame(scaler.transform(X_train_imp),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X_val_std   = pd.DataFrame(scaler.transform(X_val_imp),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X_test_std  = pd.DataFrame(scaler.transform(X_test_imp),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MODELO 1: OLS (Regresión Lineal)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ols = LinearRegression(n_jobs=24)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ols.fit(X_train_std, y_train)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pred_val_ols, pred_test_ols = ols.predict(X_val_std), ols.predict(X_test_std)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m_ols_val  = metrics_table("OLS (val)",  y_val,  pred_val_ols)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m_ols_test = metrics_table("OLS (test)", y_test, pred_test_ols)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print("OLS -&gt;", m_ols_test)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coef_abs = pd.Series(np.abs(ols.coef_), index=num_cols).sort_values(ascending=False).head(20)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coef_abs.to_csv(os.path.join(OUT_DIR, "ols_top_abs_coeffs.csv"))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MODELO 2: RANDOM FOREST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 = RandomForestRegressor(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n_estimators=400, max_depth=25, min_samples_split=10,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n_jobs=24, random_state=42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rf.fit(X_train_imp, y_train)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pred_val_rf, pred_test_rf = rf.predict(X_val_imp), rf.predict(X_test_imp)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m_rf_val  = metrics_table("RF (val)",  y_val,  pred_val_rf)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m_rf_test = metrics_table("RF (test)", y_test, pred_test_rf)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print("RF -&gt;", m_rf_test)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rf_importances = pd.Series(rf.feature_importances_, index=num_cols).sort_values(ascending=False).head(20)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rf_importances.to_csv(os.path.join(OUT_DIR, "rf_top_importances.csv"))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MODELO 3: XGBOOST (compatible con versión 3.1.1)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xgboost as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matrices DMatrix (mejor rendimiento y soporte total de callbacks)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dtrain = xgb.DMatrix(X_train_imp, label=y_train)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dval   = xgb.DMatrix(X_val_imp,   label=y_val)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dtest  = xgb.DMatrix(X_test_imp,  label=y_test)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params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"objective": "reg:squarederror",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"eval_metric": "rmse",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"learning_rate": 0.05,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"max_depth": 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"subsample": 0.8,</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"colsample_bytree": 0.8,</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"tree_method": "hist",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"nthread": 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"seed": 42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Entrenar con early stopping nativo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watchlist = [(dtrain, "train"), (dval, "val")]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xgb_model = xgb.train(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params=params,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dtrain=dtrain,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num_boost_round=2000,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evals=watchlist,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early_stopping_rounds=50,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verbose_eval=False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Predicciones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pred_val_xgb  = xgb_model.predict(dval)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pred_test_xgb = xgb_model.predict(dtest)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m_xgb_val  = metrics_table("XGB (val)",  y_val,  pred_val_xgb)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m_xgb_test = metrics_table("XGB (test)", y_test, pred_test_xgb)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print("XGB -&gt;", m_xgb_test)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Importancias de características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importance = xgb_model.get_score(importance_type="weight")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xgb_importances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pd.Series(importance)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.sort_values(ascending=False)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.head(20)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xgb_importances.to_csv(os.path.join(OUT_DIR, "xgb_top_importances.csv"))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MÉTRICAS COMPARATIVAS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metrics_df = pd.DataFrame([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m_ols_val, m_ols_test,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m_rf_val,  m_rf_test,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m_xgb_val, m_xgb_test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display(metrics_df)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metrics_df.to_csv(os.path.join(OUT_DIR, "metrics_summary_optimal_joseph.csv"),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Resultados guardados en {OUT_DIR}")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Porcentaje de Fiabilidad (R² × 100)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seaborn as sns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tabla simplificada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df_fiabilidad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metrics_df[metrics_df["model"].str.contains("test")]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df_fiabilidad["Fiabilidad (%)"] = df_fiabilidad["R2"] * 100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Ordenar por R² descendente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df_fiabilidad = df_fiabilidad.sort_values("R2", ascending=False)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Estilo gráfico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sns.set(style="whitegrid", font_scale=1.2)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plt.figure(figsize=(8, 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bars = sns.barplot(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data=df_fiabilidad,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x="model", y="Fiabilidad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palette=["#2ecc71", "#3498db", "#f39c12"]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pip install -U numpy scipy pandas scikit-learn numexpr bottleneck</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numpy.__config__.show()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export OMP_NUM_THREADS=24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export MKL_NUM_THREADS=24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export NUMEXPR_MAX_THREADS=24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!pip install pandas tqdm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!pip install pandas tqdm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#!/usr/bin/env python3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glob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tqdm import tqdm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Directorio base (ajústalo si lo necesitas)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"/home/clientefinal/SERVIDOR/Jupyter/ARCHIVOS"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CSV final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OUTPUT_FILE = "uk_crime_merged_2025.csv"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Buscar todos los CSV dentro de subcarpetas (recursivamente)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all_csvs = glob.glob(os.path.join(BASE_DIR, "*/*.csv"))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print(f"Archivos encontrados: {len(all_csvs)}")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csv_path in tqdm(all_csvs, desc="Leyendo y uniendo CSVs"):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try: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pd.read_csv(csv_path)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df["source_file"] = os.path.basename(csv_path)  # opcional: saber de qué mes viene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dfs.append(df)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except Exception as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Error leyendo {csv_path}: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Unir todos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 = pd.concat(dfs, ignore_index=True)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Eliminar duplicados (si existen)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"Crime ID" in merged.columns: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merged.drop_duplicates(subset=["Crime ID"], inplace=True)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Guardar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merged.to_csv(OUTPUT_FILE,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print(f"CSV final guardado: {OUTPUT_FILE}")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print(f"Filas totales: {len(merged):,}")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pd.read_csv("/home/clientefinal/SERVIDOR/Jupyter/uk_crime_merged_2025.csv",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print(df.info())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print(df.describe())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print(df.isna().sum())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pd.read_csv("/home/clientefinal/SERVIDOR/Jupyter/uk_crime_merged_2025.csv",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eliminar columnas totalmente vacías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df.dropna(axis=1, how='all')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columnas a conservar manualmente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keep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"Crime ID", "Month", "Longitude", "Latitude",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"LSOA code", "LSOA name", "Crime type", "Last outcome category"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df[keep]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eliminar filas sin coordenadas o sin código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df.dropna(subset=["Longitude", "Latitude", "LSOA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asegurarte de que 'Month' es fecha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df["Month"] = pd.to_datetime(df["Month"], errors="coerce")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df.info()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print(df["Crime type"].value_counts().head())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pd.read_csv("/home/clientefinal/SERVIDOR/Jupyter/uk_crime_merged_2025.csv", parse_dates=["Month"])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crime_agg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df.groupby(["Month", "LSOA code", "LSOA name"])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.size()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.reset_index(name="crime_count")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crime_agg.to_csv("crime_aggregated.csv",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print(crime_agg.head())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 = "/home/clientefinal/SERVIDOR/Jupyter/census2021"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datasets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"ts001_population": "census2021-ts001/census2021-ts001-lsoa.csv",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"ts004_birth_country": "census2021-ts004/census2021-ts004-lsoa.csv",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"ts006_density": "census2021-ts006/census2021-ts006-lsoa.csv",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"ts011_deprivation": "census2021-ts011/census2021-ts011-lsoa.csv",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"ts038_disability": "census2021-ts038/census2021-ts038-lsoa.csv",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"ts063_occupation": "census2021-ts063/census2021-ts063-lsoa.csv",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"ts065_unemployment_history": "census2021-ts065/census2021-ts065-lsoa.csv",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"ts066_economic": "census2021-ts066/census2021-ts066-lsoa.csv",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"ts067_education": "census2021-ts067/census2021-ts067-lsoa.csv",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def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"""Lee CSV y selecciona columnas representativas automáticamente"""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pd.read_csv(path, dtype=str,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first_col = df.columns[0]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df.rename(columns={first_col: "LSOA_code"})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df["LSOA_code"] = df["LSOA_code"].astype(str).str.strip()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Mantén LSOA y columnas que parezcan totales o sumarios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 = ["LSOA_code"]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for c in 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re.search(r"(?i)(total|all|overall|density|count|population)", c):</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keep_cols.append(c)</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elif c.endswith("0001") or c.endswith("001"):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keep_cols.append(c)</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df[keep_cols].drop_duplicates(subset=["LSOA_code"])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 =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name, rel_path in datasets.items():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path = os.path.join(base, rel_path)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Loading {name}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 {df.shape[0]} rows, {df.shape[1]} cols: {list(df.columns)[:5]}...")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merged is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merged.merge(df, on="LSOA_code", how="left")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Merged shape: {merged.shape}")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out_path = f"{base}/census_features_full.csv"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merged.to_csv(out_path,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Done! Saved to: {out_path}")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 = "/home/clientefinal/SERVIDOR/Jupyter/census2021"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datasets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"ts001_population": "census2021-ts001/census2021-ts001-lsoa.csv",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"ts004_birth_country": "census2021-ts004/census2021-ts004-lsoa.csv",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"ts006_density": "census2021-ts006/census2021-ts006-lsoa.csv",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"ts011_deprivation": "census2021-ts011/census2021-ts011-lsoa.csv",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"ts038_disability": "census2021-ts038/census2021-ts038-lsoa.csv",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"ts063_occupation": "census2021-ts063/census2021-ts063-lsoa.csv",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"ts065_unemployment_history": "census2021-ts065/census2021-ts065-lsoa.csv",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"ts066_economic": "census2021-ts066/census2021-ts066-lsoa.csv",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"ts067_education": "census2021-ts067/census2021-ts067-lsoa.csv",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def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"""Lee solo columnas necesarias y limpia IDs"""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pd.read_csv(path, dtype=str,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first_col = df.columns[0]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df.rename(columns={first_col: "LSOA_code"})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df["LSOA_code"] = df["LSOA_code"].astype(str).str.strip()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keep_cols = [c for c in df.columns if c == "LSOA_code" or c.endswith("0001")]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df[keep_cols].drop_duplicates(subset=["LSOA_code"])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 =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name, rel_path in datasets.items():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path = os.path.join(base, rel_path)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Loading {name}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load_clean(path)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 {df.shape[0]} rows, {df.shape[1]} 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merged is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Unión progresiva segura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 = merged.merge(df, on="LSOA_code", how="left", validate="1:1")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print(f"Merged shape: {merged.shape}")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out_path = f"{base}/census_features_full.csv"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merged.to_csv(out_path,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Done! Saved to: {out_path}")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os.cpu_count()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#!/usr/bin/env python3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UK Census 2021 (LSOA) → Parquet unificado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Autor: [Tu nombre]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Descripción: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Fusiona todos los archivos -lsoa.csv del Censo 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en un único archivo Parquet optimizado por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sys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glob import glob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ray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modin.pandas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Configuración inicial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os.path.expanduser("~/SERVIDOR/Jupyter/census2021")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OUTPUT_PATH = os.path.join(BASE_DIR, "census_features_full.parquet")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Iniciar Ray para paralelismo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not ray.is_initialized():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ray.init(num_cpus=24, ignore_reinit_error=True)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print(f"Ray inicializado con {ray.cluster_resources()['CPU']} CPUs\n")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Detección automática de archivos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lsoa_files = sorted(glob(os.path.join(BASE_DIR, "census2021-ts*/census2021-ts*-lsoa.csv")))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not 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sys.exit("No se encontraron archivos '-lsoa.csv'. Revisa la ruta BASE_DIR o nombres de archivo.")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Archivos detectados ({len(lsoa_files)}):")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f in 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  -", os.path.basename(f))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 * 60)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Fusión progresiva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merged_df =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path in lsoa_files: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dataset_code = re.search(r"(census2021-ts\d+)", path).group(1)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print(f"\n Procesando {dataset_code}...")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try: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 = pd.read_csv(path, low_memory=False)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except Exception as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print(f"Error leyendo {path}: {e}")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continue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Normalizar nombre de columna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lsoa_col_candidates = [c for c in df.columns if "LSOA" in c.upper() or "geography code" in c.lower()]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not lsoa_col_candidates: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print(f"No se encontró columna LSOA en {path}. Saltando...")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continue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lsoa_col = lsoa_col_candidates[0]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df.rename(columns={lsoa_col: "LSOA code"}, inplace=True)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Eliminar columnas textuales o no numéricas irrelevantes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drop_cols = [c for c in df.columns if re.search(r"name|Area|Geography", c, re.IGNORECASE)]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df.drop(columns=drop_cols, inplace=True, errors="ignore")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Renombrar columnas para evitar colisiones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value_cols = [c for c in df.columns if c != "LSOA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df.rename(columns={c: f"{dataset_code}_{c}" for c in value_cols}, inplace=True)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Mostrar resumen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    Columnas agregadas: {len(value_cols)} | Filas: {len(df):,}")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Merge progresivo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if merged_df is None: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merged_df = 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merged_df = merged_df.merge(df, on="LSOA code", how="outer")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print("\nTodos los datasets combinados correctamente.")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print(f"Total de filas: {len(merged_df):,}")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print(f"Total de columnas: {len(merged_df.columns):,}")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Guardar resultado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os.makedirs(os.path.dirname(OUTPUT_PATH), exist_ok=True)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merged_df.to_parquet(OUTPUT_PATH,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Archivo final guardado en:\n{OUTPUT_PATH}")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Export opcional de preview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preview_csv = OUTPUT_PATH.replace(".parquet", "_preview.csv")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merged_df.head(1000).to_csv(preview_csv,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Muestra de 1.000 filas exportada a:\n{preview_csv}")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print("\nConversión y fusión completadas con éxito.")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#!/usr/bin/env python3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Verificación y exploración del 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modin.pandas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ray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Inicializar Ray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not ray.is_initialized():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ray.init(num_cpus=24, ignore_reinit_error=True)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Rutas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os.path.expanduser("~/SERVIDOR/Jupyter")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DATASET_PATH = os.path.join(BASE_DIR, "dataset_ml.parquet")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Cargar dataset final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 Cargando dataset final...")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pd.read_parquet(DATASET_PATH)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print(f"Filas: {len(df):,} | Columnas: {len(df.columns)}")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Revisión general de estructura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 Primeras filas:")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print(df.head(5))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print("\nColumnas principales:")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print(df.columns[:20])  # muestra primeras 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Tipos de datos:")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print(df.dtypes.head(15))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Validación de fechas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"Month" in 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df["Month"] = pd.to_datetime(df["Month"], errors="coerce")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print("\nRango temporal:")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print("Desde:", df["Month"].min())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print("Hasta:", df["Month"].max())</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print("No se encontró columna 'Month'.")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Validación de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"LSOA code" in df.columns: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n_unique = df["LSOA code"].nunique()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print(f"\nZonas únicas (LSOA): {n_unique:,}")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else: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print("No se encontró columna 'LSOA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Chequeo de nulls y duplicados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print("\nValores nulos por columna (top 15):")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print(df.isna().sum().sort_values(ascending=False).head(15))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duplicados = df.duplicated(subset=["Month", "LSOA code"]).sum()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 Registros duplicados (Month+LSOA): {duplicados:,}")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Validación de features derivadas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features_check = ["crime_count", "crime_rate", "crime_count_prev", "crime_change_pct"]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Estadísticas básicas de variables clave:")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print(df[features_check].describe().T)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7️Sanity checks adicionales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Número medio de crímenes por mes (primeras 10 fechas):")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print(df.groupby("Month")["crime_count"].mean().head(10))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Ejemplo: evolución del crimen en un LSOA aleatorio:")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sample_lsoa = df["LSOA code"].dropna().sample(1).iloc[0]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print("Ejemplo LSOA:", sample_lsoa)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print(df[df["LSOA code"] == sample_lsoa][["Month", "crime_count", "crime_rate"]].head(10))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print("\n Verificación completada.")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pd.read_parquet("~/SERVIDOR/Jupyter/dataset_ml.parquet")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features = [c for c in df.columns if c not in {"Month","LSOA code","crime_count"} and np.issubdtype(df[c].dtype, np.number)]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k = len(features)          # nº de predictores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 = k + 1                  # + intercepto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train_prop = np.sqrt(p)/(np.sqrt(p)+1)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test_prop  = 1/(np.sqrt(p)+1)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train_prop, test_prop, p, k</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MODELADO ML - SPLIT ÓPTIMO SEGÚN JOSEPH (2022)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Train ≈ 79.9 % | Val ≈ 8.9 % | Test ≈ 11.2 %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Dataset: ~/SERVIDOR/Jupyter/dataset_ml.parquet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Compatible con XGBoost 3.1.1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os, math, warnings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sklearn.metrics import mean_absolute_error, mean_squared_error, r2_score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sklearn.preprocessing import StandardScaler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sklearn.impute import SimpleImputer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sklearn.linear_model import LinearRegression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sklearn.ensemble import RandomForestRegressor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xgboost import XGBRegressor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from xgboost.callback import EarlyStopping</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warnings.filterwarnings("ignore")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Rutas y helpers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BASE_DIR = os.path.expanduser("~/SERVIDOR/Jupyter")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DATA_PATH = os.path.join(BASE_DIR, "dataset_ml.parquet")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OUT_DIR   = os.path.join(BASE_DIR, "ml_outputs_optimal_joseph")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os.makedirs(OUT_DIR, exist_ok=True)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def rmse(y_true, y_pred):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math.sqrt(mean_squared_error(y_true,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def metrics_table(name, 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return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"model": name,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"MAE": mean_absolute_error(y_true,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"RMSE": rmse(y_true,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"R2": r2_score(y_true, y_pred)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w:t>
      </w:r>
      <w:r>
        <w:rPr>
          <w:rFonts w:cs="Calibri" w:cstheme="minorHAnsi"/>
          <w:color w:themeColor="accent1" w:val="4472C4"/>
          <w:sz w:val="24"/>
          <w:szCs w:val="24"/>
        </w:rPr>
        <w:t>ARGA DE DATOS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pd.read_parquet(DATA_PATH)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df["Month"] = pd.to_datetime(df["Month"], errors="coerce")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 = df.sort_values("Month")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print(f"Dataset: {len(df):,} filas | {len(df.columns)} columnas")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SPLIT TEMPORAL SEGÚN PROPORCIONES ÓPTIMAS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train_prop = 0.7986</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val_prop   = 0.0887</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test_prop  = 0.1127</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months = np.sort(df["Month"].unique())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n_months = len(months)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train_end = int(n_months * train_prop)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val_end   = int(n_months * (train_prop + val_prop))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train_months = months[:train_end]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val_months   = months[train_end:val_end]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test_months  = months[val_end:]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df_train = df[df["Month"].isin(train_months)]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df_val   = df[df["Month"].isin(val_months)]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df_test  = df[df["Month"].isin(test_months)]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print(f"Meses totales: {n_months}")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print(f"Split temporal -&gt; Train: {len(train_months)} | Val: {len(val_months)} | Test: {len(test_months)}")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print(f"Filas -&gt; Train: {len(df_train):,} | Val: {len(df_val):,} | Test: {len(df_test):,}")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w:t>
      </w:r>
      <w:r>
        <w:rPr>
          <w:rFonts w:cs="Calibri" w:cstheme="minorHAnsi"/>
          <w:color w:themeColor="accent1" w:val="4472C4"/>
          <w:sz w:val="24"/>
          <w:szCs w:val="24"/>
        </w:rPr>
        <w:t>REPARACIÓN DE FEATURES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target_col = "crime_count"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drop_cols = {"Month","LSOA code"}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num_cols = [c for c in df.columns if c not in drop_cols and np.issubdtype(df[c].dtype, np.number)]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if target_col in 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num_cols.remove(target_col)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X_train, y_train = df_train[num_cols], df_train[target_col]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X_val,   y_val   = df_val[num_cols],   df_val[target_col]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X_test,  y_test  = df_test[num_cols],  df_test[target_col]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Imputación + Escalado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 = SimpleImputer(strategy="median").fit(X_train)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X_train_imp = pd.DataFrame(imp.transform(X_train),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X_val_imp   = pd.DataFrame(imp.transform(X_val),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X_test_imp  = pd.DataFrame(imp.transform(X_test),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scaler = StandardScaler().fit(X_train_imp)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X_train_std = pd.DataFrame(scaler.transform(X_train_imp),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X_val_std   = pd.DataFrame(scaler.transform(X_val_imp),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X_test_std  = pd.DataFrame(scaler.transform(X_test_imp),  columns=num_cols)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MODELO 1: OLS (Regresión Lineal)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ols = LinearRegression(n_jobs=24)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ols.fit(X_train_std, y_train)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pred_val_ols, pred_test_ols = ols.predict(X_val_std), ols.predict(X_test_std)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m_ols_val  = metrics_table("OLS (val)",  y_val,  pred_val_ols)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m_ols_test = metrics_table("OLS (test)", y_test, pred_test_ols)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print("OLS -&gt;", m_ols_test)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coef_abs = pd.Series(np.abs(ols.coef_), index=num_cols).sort_values(ascending=False).head(20)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coef_abs.to_csv(os.path.join(OUT_DIR, "ols_top_abs_coeffs.csv"))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MODELO 2: RANDOM FOREST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 = RandomForestRegressor(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n_estimators=400, max_depth=25, min_samples_split=10,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n_jobs=24, random_state=42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rf.fit(X_train_imp, y_train)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pred_val_rf, pred_test_rf = rf.predict(X_val_imp), rf.predict(X_test_imp)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m_rf_val  = metrics_table("RF (val)",  y_val,  pred_val_rf)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m_rf_test = metrics_table("RF (test)", y_test, pred_test_rf)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print("RF -&gt;", m_rf_test)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rf_importances = pd.Series(rf.feature_importances_, index=num_cols).sort_values(ascending=False).head(20)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rf_importances.to_csv(os.path.join(OUT_DIR, "rf_top_importances.csv"))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MODELO 3: XGBOOST (compatible con versión 3.1.1)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xgboost as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matrices DMatrix (mejor rendimiento y soporte total de callbacks)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dtrain = xgb.DMatrix(X_train_imp, label=y_train)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dval   = xgb.DMatrix(X_val_imp,   label=y_val)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dtest  = xgb.DMatrix(X_test_imp,  label=y_test)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params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"objective": "reg:squarederror",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"eval_metric": "rmse",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"learning_rate": 0.05,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"max_depth": 10,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"subsample": 0.8,</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"colsample_bytree": 0.8,</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"tree_method": "hist",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"nthread": 24,</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"seed": 42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Entrenar con early stopping nativo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watchlist = [(dtrain, "train"), (dval, "val")]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xgb_model = xgb.train(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params=params,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dtrain=dtrain,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num_boost_round=2000,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evals=watchlist,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early_stopping_rounds=50,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verbose_eval=False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Predicciones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pred_val_xgb  = xgb_model.predict(dval)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pred_test_xgb = xgb_model.predict(dtest)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m_xgb_val  = metrics_table("XGB (val)",  y_val,  pred_val_xgb)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m_xgb_test = metrics_table("XGB (test)", y_test, pred_test_xgb)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print("XGB -&gt;", m_xgb_test)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Importancias de características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importance = xgb_model.get_score(importance_type="weight")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xgb_importances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pd.Series(importance)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.sort_values(ascending=False)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.head(20)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xgb_importances.to_csv(os.path.join(OUT_DIR, "xgb_top_importances.csv"))</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MÉTRICAS COMPARATIVAS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metrics_df = pd.DataFrame([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m_ols_val, m_ols_test,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m_rf_val,  m_rf_test,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m_xgb_val, m_xgb_test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display(metrics_df)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metrics_df.to_csv(os.path.join(OUT_DIR, "metrics_summary_optimal_joseph.csv"),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print(f"\nResultados guardados en {OUT_DIR}")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Porcentaje de Fiabilidad (R² × 100)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seaborn as sns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tabla simplificada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df_fiabilidad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metrics_df[metrics_df["model"].str.contains("test")]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df_fiabilidad["Fiabilidad (%)"] = df_fiabilidad["R2"] * 100</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Ordenar por R² descendente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df_fiabilidad = df_fiabilidad.sort_values("R2", ascending=False)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Estilo gráfico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sns.set(style="whitegrid", font_scale=1.2)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plt.figure(figsize=(8, 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bars = sns.barplot(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data=df_fiabilidad,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x="model", y="Fiabilidad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palette=["#2ecc71", "#3498db", "#f39c12"]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Etiquetas de porcentaje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i, val in enumerate(df_fiabilidad["Fiabilidad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plt.text(i, val + 0.3, f"{val:.2f}%", ha="center", fontsize=11,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 Porcentaje de Fiabilidad de los Modelos (R² × 100)", fontsize=15,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plt.xlabel("Modelo")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plt.ylabel("Fiabilidad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plt.ylim(0, 105)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Comparativa de Errores (MAE / RMSE)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seaborn as sns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Filtramos las filas de test (rendimiento real)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df_errores = metrics_df[metrics_df["model"].str.contains("test")].copy()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Reformateamos a formato "long" para que seaborn lo pinte más fácil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df_melted = df_errores.melt(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xml:space="preserve">id_vars=["model"],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value_vars=["MAE", "RMSE"],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xml:space="preserve">var_name="Métrica",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value_name="Error"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Estilo gráfico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sns.set(style="whitegrid", font_scale=1.2)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plt.figure(figsize=(9, 6))</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bars = sns.barplot(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data=df_melted,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x="model", y="Error", hue="Métrica",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palette=["#e67e22", "#c0392b"]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Etiquetas con los valores numéricos encima de cada barra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p in bars.patches: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height = p.get_height()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plt.text(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p.get_x() + p.get_width() / 2, height + 0.05,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f"{height:.2f}", ha="center", fontsize=10,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 Comparativa de Errores de los Modelos (MAE / RMSE)", fontsize=15,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plt.xlabel("Modelo")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plt.ylabel("Valor del Error")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plt.legend(title="Métrica")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plt.savefig(os.path.join(OUT_DIR, "comparativa_errores.png"), dpi=300, bbox_inches="tight")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Real vs Predicho (Modelo XGBoost)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random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Seleccionar un LSOA aleatorio o uno específico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lsoa_random = random.choice(df_test["LSOA code"].unique())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o elige uno manualmente, por ejemplo: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lsoa_random = "E01000001"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Filtrar los datos de ese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df_lsoa = df[df["LSOA code"] == lsoa_random].sort_values("Month")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matrices DMatrix para predicción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d_lsoa = xgb.DMatrix(df_lsoa[num_cols])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pred_lsoa = xgb_model.predict(d_lsoa)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Construir DataFrame de comparación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df_plot = pd.DataFrame({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"Month": df_lsoa["Month"],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"Real": df_lsoa["crime_count"].values,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"Predicho (XGB)": pred_lsoa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Gráfico temporal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plt.figure(figsize=(10, 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plt.plot(df_plot["Month"], df_plot["Real"], label="Real", color="#2ecc71", linewidth=2.5)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plt.plot(df_plot["Month"], df_plot["Predicho (XGB)"], label="Predicho (XGB)", color="#e74c3c", linestyle="--", linewidth=2)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plt.title(f"Crímenes Reales vs Predichos — LSOA: {lsoa_random}", fontsize=14,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plt.ylabel("Número de Crímenes")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plt.legend()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plt.grid(alpha=0.3)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Métricas locales para el gráfico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mae_local = mean_absolute_error(df_plot["Real"], df_plot["Predicho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r2_local  = r2_score(df_plot["Real"], df_plot["Predicho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print(f"LSOA {lsoa_random} -&gt; MAE: {mae_local:.3f} | R²: {r2_local:.3f}")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FINAL: Tendencia Nacional — Real vs Predicho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Agregar predicciones y valores reales por 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(solo test para medir generalización)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dtest_all = xgb.DMatrix(X_test_imp)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y_pred_test = xgb_model.predict(dtest_all)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df_pred = df_test.copy()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df_pred["Predicho (XGB)"] = y_pred_test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Sumar crímenes reales y predichos por 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df_monthly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df_pred.groupby("Month")[["crime_count", "Predicho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.reset_index()</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Gráfico temporal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plt.figure(figsize=(10, 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plt.plot(df_monthly["Month"], df_monthly["crime_count"], label="Real (Total UK)", color="#27ae60", linewidth=2.5)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plt.plot(df_monthly["Month"], df_monthly["Predicho (XGB)"], label="Predicho (XGB)", color="#e74c3c", linestyle="--", linewidth=2)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 Tendencia Nacional del Crimen — Real vs Predicho (XGBoost)", fontsize=14,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plt.ylabel("Número total de crímenes (UK)")</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plt.legend()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plt.grid(alpha=0.3)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Métricas globales de tendencia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mae_global = mean_absolute_error(df_monthly["crime_count"], df_monthly["Predicho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r2_global  = r2_score(df_monthly["crime_count"], df_monthly["Predicho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print(f"Tendencia Nacional -&gt; MAE: {mae_global:.3f} | R²: {r2_global:.3f}")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df_pred.to_csv(os.path.join(OUT_DIR, "predicciones_xgb_2025.csv"),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geopandas as gpd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folium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Cargar shapefile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gdf_lsoa = gpd.read_file("LSOA_2021_UK_Boundaries.shp")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Fusionar con tus predicciones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gdf_merge = gdf_lsoa.merge(df_pred, on="LSOA code", how="left")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mapa interactivo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 = folium.Map(location=[54.5, -3], zoom_start=6, tiles="cartodbpositron")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folium.Choropleth(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geo_data=gdf_merge,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data=gdf_merge,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columns=["LSOA code", "Predicho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key_on="feature.properties.LSOA21CD",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fill_color="YlOrRd",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fill_opacity=0.7,</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line_opacity=0.2,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legend_name="Predicción de crimen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).add_to(m)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m.save(os.path.join(OUT_DIR, "mapa_hotspots.html"))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Etiquetas de porcentaje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i, val in enumerate(df_fiabilidad["Fiabilidad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plt.text(i, val + 0.3, f"{val:.2f}%", ha="center", fontsize=11,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 Porcentaje de Fiabilidad de los Modelos (R² × 100)", fontsize=15,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plt.xlabel("Modelo")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plt.ylabel("Fiabilidad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plt.ylim(0, 105)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Comparativa de Errores (MAE / RMSE)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seaborn as sns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Filtramos las filas de test (rendimiento real)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df_errores = metrics_df[metrics_df["model"].str.contains("test")].copy()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Reformateamos a formato "long" para que seaborn lo pinte más fácil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df_melted = df_errores.melt(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xml:space="preserve">id_vars=["model"],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value_vars=["MAE", "RMSE"],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 xml:space="preserve">var_name="Métrica",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value_name="Error"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Estilo gráfico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sns.set(style="whitegrid", font_scale=1.2)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plt.figure(figsize=(9, 6))</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bars = sns.barplot(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data=df_melted,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x="model", y="Error", hue="Métrica",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palette=["#e67e22", "#c0392b"]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Etiquetas con los valores numéricos encima de cada barra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for p in bars.patches: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height = p.get_height()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plt.text(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p.get_x() + p.get_width() / 2, height + 0.05,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f"{height:.2f}", ha="center", fontsize=10,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plt.title("Comparativa de Errores de los Modelos (MAE / RMSE)", fontsize=15,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plt.xlabel("Modelo")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plt.ylabel("Valor del Error")</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plt.legend(title="Métrica")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plt.savefig(os.path.join(OUT_DIR, "comparativa_errores.png"), dpi=300, bbox_inches="tight")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Real vs Predicho (Modelo XGBoost)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random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Seleccionar un LSOA aleatorio o uno específico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lsoa_random = random.choice(df_test["LSOA code"].unique())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o elige uno manualmente, por ejemplo: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lsoa_random = "E01000001"</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Filtrar los datos de ese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df_lsoa = df[df["LSOA code"] == lsoa_random].sort_values("Month")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matrices DMatrix para predicción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d_lsoa = xgb.DMatrix(df_lsoa[num_cols])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pred_lsoa = xgb_model.predict(d_lsoa)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Construir DataFrame de comparación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df_plot = pd.DataFrame({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"Month": df_lsoa["Month"],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"Real": df_lsoa["crime_count"].values,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"Predicho (XGB)": pred_lsoa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Gráfico temporal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plt.figure(figsize=(10, 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plt.plot(df_plot["Month"], df_plot["Real"], label="Real", color="#2ecc71", linewidth=2.5)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plt.plot(df_plot["Month"], df_plot["Predicho (XGB)"], label="Predicho (XGB)", color="#e74c3c", linestyle="--", linewidth=2)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plt.title(f"Crímenes Reales vs Predichos — LSOA: {lsoa_random}", fontsize=14,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plt.ylabel("Número de Crímenes")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plt.legend()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plt.grid(alpha=0.3)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Métricas locales para el gráfico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mae_local = mean_absolute_error(df_plot["Real"], df_plot["Predicho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r2_local  = r2_score(df_plot["Real"], df_plot["Predicho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LSOA {lsoa_random} -&gt; MAE: {mae_local:.3f} | R²: {r2_local:.3f}")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VISUALIZACIÓN FINAL: Tendencia Nacional — Real vs Predicho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matplotlib.pyplot as plt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pandas as 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numpy as np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Agregar predicciones y valores reales por 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(solo test para medir generalización)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dtest_all = xgb.DMatrix(X_test_imp)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y_pred_test = xgb_model.predict(dtest_all)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df_pred = df_test.copy()</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df_pred["Predicho (XGB)"] = y_pred_test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Sumar crímenes reales y predichos por 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df_monthly = (</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df_pred.groupby("Month")[["crime_count", "Predicho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.sum()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.reset_index()</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Gráfico temporal</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plt.figure(figsize=(10, 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plt.plot(df_monthly["Month"], df_monthly["crime_count"], label="Real (Total UK)", color="#27ae60", linewidth=2.5)</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plt.plot(df_monthly["Month"], df_monthly["Predicho (XGB)"], label="Predicho (XGB)", color="#e74c3c", linestyle="--", linewidth=2)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plt.title(" Tendencia Nacional del Crimen — Real vs Predicho (XGBoost)", fontsize=14, weight="bold")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plt.xlabel("Mes")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plt.ylabel("Número total de crímenes (UK)")</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plt.legend()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plt.grid(alpha=0.3)</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plt.tight_layout()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plt.show()</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Métricas globales de tendencia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mae_global = mean_absolute_error(df_monthly["crime_count"], df_monthly["Predicho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r2_global  = r2_score(df_monthly["crime_count"], df_monthly["Predicho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print(f" Tendencia Nacional -&gt; MAE: {mae_global:.3f} | R²: {r2_global:.3f}")</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df_pred.to_csv(os.path.join(OUT_DIR, "predicciones_xgb_2025.csv"), index=False)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geopandas as gpd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import folium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Cargar shapefile LSOA</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gdf_lsoa = gpd.read_file("LSOA_2021_UK_Boundaries.shp")</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Fusionar con tus predicciones</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gdf_merge = gdf_lsoa.merge(df_pred, on="LSOA code", how="left")</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Crear mapa interactivo</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 = folium.Map(location=[54.5, -3], zoom_start=6, tiles="cartodbpositron")</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folium.Choropleth(</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geo_data=gdf_merge,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data=gdf_merge,</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columns=["LSOA code", "Predicho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key_on="feature.properties.LSOA21CD",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fill_color="YlOrRd",</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fill_opacity=0.7,</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line_opacity=0.2,</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 xml:space="preserve">    </w:t>
      </w:r>
      <w:r>
        <w:rPr>
          <w:rFonts w:cs="Calibri" w:cstheme="minorHAnsi"/>
          <w:color w:themeColor="accent1" w:val="4472C4"/>
          <w:sz w:val="24"/>
          <w:szCs w:val="24"/>
        </w:rPr>
        <w:t>legend_name="Predicción de crimen (XGB)"</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).add_to(m)</w:t>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r>
    </w:p>
    <w:p>
      <w:pPr>
        <w:pStyle w:val="ListParagraph"/>
        <w:numPr>
          <w:ilvl w:val="0"/>
          <w:numId w:val="1"/>
        </w:numPr>
        <w:ind w:hanging="360" w:start="1418"/>
        <w:rPr>
          <w:rFonts w:cs="Calibri" w:cstheme="minorHAnsi"/>
          <w:sz w:val="24"/>
          <w:szCs w:val="24"/>
        </w:rPr>
      </w:pPr>
      <w:r>
        <w:rPr>
          <w:rFonts w:cs="Calibri" w:cstheme="minorHAnsi"/>
          <w:color w:themeColor="accent1" w:val="4472C4"/>
          <w:sz w:val="24"/>
          <w:szCs w:val="24"/>
        </w:rPr>
        <w:t>m.save(os.path.join(OUT_DIR, "mapa_hotspots.html"))</w:t>
      </w:r>
    </w:p>
    <w:p>
      <w:pPr>
        <w:pStyle w:val="ListParagraph"/>
        <w:ind w:hanging="360" w:start="1418"/>
        <w:rPr>
          <w:rFonts w:cs="Calibri" w:cstheme="minorHAnsi"/>
          <w:sz w:val="24"/>
          <w:szCs w:val="24"/>
        </w:rPr>
      </w:pPr>
      <w:r>
        <w:rPr>
          <w:rFonts w:cs="Calibri" w:cstheme="minorHAnsi"/>
          <w:color w:themeColor="accent1" w:val="4472C4"/>
          <w:sz w:val="24"/>
          <w:szCs w:val="24"/>
        </w:rPr>
      </w:r>
    </w:p>
    <w:p>
      <w:pPr>
        <w:pStyle w:val="ListParagraph"/>
        <w:ind w:hanging="360" w:start="1418"/>
        <w:rPr>
          <w:rFonts w:cs="Calibri" w:cstheme="minorHAnsi"/>
          <w:sz w:val="24"/>
          <w:szCs w:val="24"/>
        </w:rPr>
      </w:pPr>
      <w:r>
        <w:rPr>
          <w:rFonts w:cs="Calibri" w:cstheme="minorHAnsi"/>
          <w:color w:themeColor="accent1" w:val="4472C4"/>
          <w:sz w:val="24"/>
          <w:szCs w:val="24"/>
        </w:rPr>
      </w:r>
    </w:p>
    <w:p>
      <w:pPr>
        <w:pStyle w:val="ListParagraph"/>
        <w:ind w:hanging="0" w:start="1058"/>
        <w:rPr>
          <w:rFonts w:cs="Calibri" w:cstheme="minorHAnsi"/>
          <w:color w:themeColor="accent1" w:val="4472C4"/>
          <w:sz w:val="24"/>
          <w:szCs w:val="24"/>
        </w:rPr>
      </w:pPr>
      <w:r>
        <w:rPr>
          <w:rFonts w:cs="Calibri" w:cstheme="minorHAnsi"/>
          <w:color w:themeColor="accent1" w:val="4472C4"/>
          <w:sz w:val="24"/>
          <w:szCs w:val="24"/>
        </w:rPr>
      </w:r>
    </w:p>
    <w:p>
      <w:pPr>
        <w:pStyle w:val="ListParagraph"/>
        <w:spacing w:before="0" w:after="200"/>
        <w:ind w:hanging="0" w:start="1058"/>
        <w:contextualSpacing/>
        <w:rPr>
          <w:rFonts w:cs="Calibri" w:cstheme="minorHAnsi"/>
          <w:sz w:val="24"/>
          <w:szCs w:val="24"/>
        </w:rPr>
      </w:pPr>
      <w:r>
        <w:rPr>
          <w:rFonts w:cs="Calibri" w:cstheme="minorHAnsi"/>
          <w:sz w:val="24"/>
          <w:szCs w:val="24"/>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720" w:right="720" w:gutter="0" w:header="720" w:top="777" w:footer="720" w:bottom="77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Courier New">
    <w:charset w:val="01" w:characterSet="utf-8"/>
    <w:family w:val="roman"/>
    <w:pitch w:val="variable"/>
  </w:font>
  <w:font w:name="Noto Sans Mono">
    <w:charset w:val="01" w:characterSet="utf-8"/>
    <w:family w:val="modern"/>
    <w:pitch w:val="fixed"/>
  </w:font>
  <w:font w:name="Noto Sans">
    <w:charset w:val="01" w:characterSet="utf-8"/>
    <w:family w:val="swiss"/>
    <w:pitch w:val="variable"/>
  </w:font>
  <w:font w:name="Calibri">
    <w:charset w:val="01" w:characterSet="utf-8"/>
    <w:family w:val="roman"/>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asciiTheme="minorHAnsi" w:cstheme="minorHAnsi" w:hAnsiTheme="minorHAnsi"/>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asciiTheme="minorHAnsi" w:cstheme="minorHAnsi" w:hAnsiTheme="minorHAnsi"/>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5000" w:type="pct"/>
      <w:jc w:val="center"/>
      <w:tblInd w:w="0" w:type="dxa"/>
      <w:tblLayout w:type="fixed"/>
      <w:tblCellMar>
        <w:top w:w="0" w:type="dxa"/>
        <w:start w:w="57" w:type="dxa"/>
        <w:bottom w:w="0" w:type="dxa"/>
        <w:end w:w="57" w:type="dxa"/>
      </w:tblCellMar>
      <w:tblLook w:val="04a0" w:noHBand="0" w:noVBand="1" w:firstColumn="1" w:lastRow="0" w:lastColumn="0" w:firstRow="1"/>
    </w:tblPr>
    <w:tblGrid>
      <w:gridCol w:w="7804"/>
      <w:gridCol w:w="2662"/>
    </w:tblGrid>
    <w:tr>
      <w:trPr/>
      <w:tc>
        <w:tcPr>
          <w:tcW w:w="7804" w:type="dxa"/>
          <w:tcBorders>
            <w:top w:val="nil"/>
            <w:start w:val="nil"/>
            <w:bottom w:val="nil"/>
            <w:end w:val="nil"/>
          </w:tcBorders>
          <w:vAlign w:val="bottom"/>
        </w:tcPr>
        <w:p>
          <w:pPr>
            <w:pStyle w:val="Normal"/>
            <w:widowControl/>
            <w:spacing w:before="0" w:after="0"/>
            <w:ind w:end="-644"/>
            <w:jc w:val="start"/>
            <w:rPr>
              <w:rFonts w:ascii="Arial" w:hAnsi="Arial" w:cs="Arial"/>
              <w:b/>
              <w:iCs/>
              <w:sz w:val="24"/>
              <w:szCs w:val="24"/>
            </w:rPr>
          </w:pPr>
          <w:r>
            <w:rPr>
              <w:rFonts w:eastAsia="" w:cs="Arial" w:ascii="Arial" w:hAnsi="Arial"/>
              <w:b/>
              <w:iCs/>
              <w:kern w:val="0"/>
              <w:sz w:val="24"/>
              <w:szCs w:val="24"/>
              <w:lang w:val="en-GB" w:bidi="ar-SA"/>
            </w:rPr>
            <w:t>College of Engineering, Environment and Science</w:t>
          </w:r>
        </w:p>
        <w:p>
          <w:pPr>
            <w:pStyle w:val="Heading5"/>
            <w:widowControl/>
            <w:spacing w:before="0" w:after="0"/>
            <w:ind w:end="-644"/>
            <w:jc w:val="start"/>
            <w:rPr>
              <w:rFonts w:ascii="Arial" w:hAnsi="Arial" w:cs="Arial"/>
              <w:bCs w:val="false"/>
              <w:i w:val="false"/>
              <w:i w:val="false"/>
              <w:sz w:val="28"/>
              <w:szCs w:val="28"/>
            </w:rPr>
          </w:pPr>
          <w:r>
            <w:rPr>
              <w:rFonts w:eastAsia="" w:cs="Arial" w:ascii="Arial" w:hAnsi="Arial"/>
              <w:bCs w:val="false"/>
              <w:i w:val="false"/>
              <w:kern w:val="0"/>
              <w:sz w:val="28"/>
              <w:szCs w:val="28"/>
              <w:lang w:val="en-GB" w:bidi="ar-SA"/>
            </w:rPr>
            <w:t>6001CMD Machine Learning</w:t>
          </w:r>
        </w:p>
        <w:p>
          <w:pPr>
            <w:pStyle w:val="Normal"/>
            <w:widowControl/>
            <w:spacing w:before="0" w:after="0"/>
            <w:ind w:end="-644"/>
            <w:jc w:val="start"/>
            <w:rPr>
              <w:rFonts w:ascii="Arial" w:hAnsi="Arial" w:cs="Arial"/>
              <w:b/>
              <w:iCs/>
              <w:sz w:val="24"/>
              <w:szCs w:val="24"/>
            </w:rPr>
          </w:pPr>
          <w:r>
            <w:rPr>
              <w:rFonts w:eastAsia="" w:cs="Calibri" w:ascii="Calibri" w:hAnsi="Calibri" w:cstheme="minorHAnsi"/>
              <w:b/>
              <w:kern w:val="0"/>
              <w:sz w:val="24"/>
              <w:szCs w:val="24"/>
              <w:lang w:val="en-GB" w:bidi="ar-SA"/>
            </w:rPr>
            <w:t>Coursework Template</w:t>
          </w:r>
        </w:p>
      </w:tc>
      <w:tc>
        <w:tcPr>
          <w:tcW w:w="2662" w:type="dxa"/>
          <w:tcBorders>
            <w:top w:val="nil"/>
            <w:start w:val="nil"/>
            <w:bottom w:val="nil"/>
            <w:end w:val="nil"/>
          </w:tcBorders>
          <w:vAlign w:val="bottom"/>
        </w:tcPr>
        <w:p>
          <w:pPr>
            <w:pStyle w:val="Normal"/>
            <w:widowControl/>
            <w:spacing w:before="0" w:after="0"/>
            <w:jc w:val="end"/>
            <w:rPr>
              <w:rFonts w:ascii="Arial" w:hAnsi="Arial" w:cs="Arial"/>
              <w:b/>
              <w:iCs/>
              <w:sz w:val="24"/>
              <w:szCs w:val="24"/>
            </w:rPr>
          </w:pPr>
          <w:r>
            <w:rPr>
              <w:rFonts w:eastAsia=""/>
              <w:kern w:val="0"/>
              <w:lang w:val="en-GB" w:bidi="ar-SA"/>
            </w:rPr>
            <w:drawing>
              <wp:inline distT="0" distB="0" distL="0" distR="0">
                <wp:extent cx="1139825" cy="784225"/>
                <wp:effectExtent l="0" t="0" r="0" b="0"/>
                <wp:docPr id="1" name="Picture 5" descr="http://upload.wikimedia.org/wikipedia/en/thumb/4/48/Coventry_University_logo.svg/1280px-Coventry_University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http://upload.wikimedia.org/wikipedia/en/thumb/4/48/Coventry_University_logo.svg/1280px-Coventry_University_logo.svg.png"/>
                        <pic:cNvPicPr>
                          <a:picLocks noChangeAspect="1" noChangeArrowheads="1"/>
                        </pic:cNvPicPr>
                      </pic:nvPicPr>
                      <pic:blipFill>
                        <a:blip r:embed="rId1"/>
                        <a:stretch>
                          <a:fillRect/>
                        </a:stretch>
                      </pic:blipFill>
                      <pic:spPr bwMode="auto">
                        <a:xfrm>
                          <a:off x="0" y="0"/>
                          <a:ext cx="1139825" cy="784225"/>
                        </a:xfrm>
                        <a:prstGeom prst="rect">
                          <a:avLst/>
                        </a:prstGeom>
                        <a:noFill/>
                      </pic:spPr>
                    </pic:pic>
                  </a:graphicData>
                </a:graphic>
              </wp:inline>
            </w:drawing>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5000" w:type="pct"/>
      <w:jc w:val="center"/>
      <w:tblInd w:w="0" w:type="dxa"/>
      <w:tblLayout w:type="fixed"/>
      <w:tblCellMar>
        <w:top w:w="0" w:type="dxa"/>
        <w:start w:w="57" w:type="dxa"/>
        <w:bottom w:w="0" w:type="dxa"/>
        <w:end w:w="57" w:type="dxa"/>
      </w:tblCellMar>
      <w:tblLook w:val="04a0" w:noHBand="0" w:noVBand="1" w:firstColumn="1" w:lastRow="0" w:lastColumn="0" w:firstRow="1"/>
    </w:tblPr>
    <w:tblGrid>
      <w:gridCol w:w="7804"/>
      <w:gridCol w:w="2662"/>
    </w:tblGrid>
    <w:tr>
      <w:trPr/>
      <w:tc>
        <w:tcPr>
          <w:tcW w:w="7804" w:type="dxa"/>
          <w:tcBorders>
            <w:top w:val="nil"/>
            <w:start w:val="nil"/>
            <w:bottom w:val="nil"/>
            <w:end w:val="nil"/>
          </w:tcBorders>
          <w:vAlign w:val="bottom"/>
        </w:tcPr>
        <w:p>
          <w:pPr>
            <w:pStyle w:val="Normal"/>
            <w:widowControl/>
            <w:spacing w:before="0" w:after="0"/>
            <w:ind w:end="-644"/>
            <w:jc w:val="start"/>
            <w:rPr>
              <w:rFonts w:ascii="Arial" w:hAnsi="Arial" w:cs="Arial"/>
              <w:b/>
              <w:iCs/>
              <w:sz w:val="24"/>
              <w:szCs w:val="24"/>
            </w:rPr>
          </w:pPr>
          <w:r>
            <w:rPr>
              <w:rFonts w:eastAsia="" w:cs="Arial" w:ascii="Arial" w:hAnsi="Arial"/>
              <w:b/>
              <w:iCs/>
              <w:kern w:val="0"/>
              <w:sz w:val="24"/>
              <w:szCs w:val="24"/>
              <w:lang w:val="en-GB" w:bidi="ar-SA"/>
            </w:rPr>
            <w:t>College of Engineering, Environment and Science</w:t>
          </w:r>
        </w:p>
        <w:p>
          <w:pPr>
            <w:pStyle w:val="Heading5"/>
            <w:widowControl/>
            <w:spacing w:before="0" w:after="0"/>
            <w:ind w:end="-644"/>
            <w:jc w:val="start"/>
            <w:rPr>
              <w:rFonts w:ascii="Arial" w:hAnsi="Arial" w:cs="Arial"/>
              <w:bCs w:val="false"/>
              <w:i w:val="false"/>
              <w:i w:val="false"/>
              <w:sz w:val="28"/>
              <w:szCs w:val="28"/>
            </w:rPr>
          </w:pPr>
          <w:r>
            <w:rPr>
              <w:rFonts w:eastAsia="" w:cs="Arial" w:ascii="Arial" w:hAnsi="Arial"/>
              <w:bCs w:val="false"/>
              <w:i w:val="false"/>
              <w:kern w:val="0"/>
              <w:sz w:val="28"/>
              <w:szCs w:val="28"/>
              <w:lang w:val="en-GB" w:bidi="ar-SA"/>
            </w:rPr>
            <w:t>6001CMD Machine Learning</w:t>
          </w:r>
        </w:p>
        <w:p>
          <w:pPr>
            <w:pStyle w:val="Normal"/>
            <w:widowControl/>
            <w:spacing w:before="0" w:after="0"/>
            <w:ind w:end="-644"/>
            <w:jc w:val="start"/>
            <w:rPr>
              <w:rFonts w:ascii="Arial" w:hAnsi="Arial" w:cs="Arial"/>
              <w:b/>
              <w:iCs/>
              <w:sz w:val="24"/>
              <w:szCs w:val="24"/>
            </w:rPr>
          </w:pPr>
          <w:r>
            <w:rPr>
              <w:rFonts w:eastAsia="" w:cs="Calibri" w:ascii="Calibri" w:hAnsi="Calibri" w:cstheme="minorHAnsi"/>
              <w:b/>
              <w:kern w:val="0"/>
              <w:sz w:val="24"/>
              <w:szCs w:val="24"/>
              <w:lang w:val="en-GB" w:bidi="ar-SA"/>
            </w:rPr>
            <w:t>Coursework Template</w:t>
          </w:r>
        </w:p>
      </w:tc>
      <w:tc>
        <w:tcPr>
          <w:tcW w:w="2662" w:type="dxa"/>
          <w:tcBorders>
            <w:top w:val="nil"/>
            <w:start w:val="nil"/>
            <w:bottom w:val="nil"/>
            <w:end w:val="nil"/>
          </w:tcBorders>
          <w:vAlign w:val="bottom"/>
        </w:tcPr>
        <w:p>
          <w:pPr>
            <w:pStyle w:val="Normal"/>
            <w:widowControl/>
            <w:spacing w:before="0" w:after="0"/>
            <w:jc w:val="end"/>
            <w:rPr>
              <w:rFonts w:ascii="Arial" w:hAnsi="Arial" w:cs="Arial"/>
              <w:b/>
              <w:iCs/>
              <w:sz w:val="24"/>
              <w:szCs w:val="24"/>
            </w:rPr>
          </w:pPr>
          <w:r>
            <w:rPr>
              <w:rFonts w:eastAsia=""/>
              <w:kern w:val="0"/>
              <w:lang w:val="en-GB" w:bidi="ar-SA"/>
            </w:rPr>
            <w:drawing>
              <wp:inline distT="0" distB="0" distL="0" distR="0">
                <wp:extent cx="1139825" cy="784225"/>
                <wp:effectExtent l="0" t="0" r="0" b="0"/>
                <wp:docPr id="2" name="Picture 5" descr="http://upload.wikimedia.org/wikipedia/en/thumb/4/48/Coventry_University_logo.svg/1280px-Coventry_University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http://upload.wikimedia.org/wikipedia/en/thumb/4/48/Coventry_University_logo.svg/1280px-Coventry_University_logo.svg.png"/>
                        <pic:cNvPicPr>
                          <a:picLocks noChangeAspect="1" noChangeArrowheads="1"/>
                        </pic:cNvPicPr>
                      </pic:nvPicPr>
                      <pic:blipFill>
                        <a:blip r:embed="rId1"/>
                        <a:stretch>
                          <a:fillRect/>
                        </a:stretch>
                      </pic:blipFill>
                      <pic:spPr bwMode="auto">
                        <a:xfrm>
                          <a:off x="0" y="0"/>
                          <a:ext cx="1139825" cy="784225"/>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09"/>
        </w:tabs>
        <w:ind w:start="709" w:hanging="283"/>
      </w:pPr>
      <w:rPr>
        <w:sz w:val="20"/>
        <w:b w:val="false"/>
        <w:szCs w:val="20"/>
        <w:bCs w:val="false"/>
      </w:rPr>
    </w:lvl>
    <w:lvl w:ilvl="1">
      <w:start w:val="1"/>
      <w:numFmt w:val="decimal"/>
      <w:lvlText w:val="%2."/>
      <w:lvlJc w:val="start"/>
      <w:pPr>
        <w:tabs>
          <w:tab w:val="num" w:pos="1418"/>
        </w:tabs>
        <w:ind w:start="1418" w:hanging="283"/>
      </w:pPr>
      <w:rPr>
        <w:sz w:val="20"/>
        <w:b w:val="false"/>
        <w:szCs w:val="20"/>
        <w:bCs w:val="false"/>
      </w:rPr>
    </w:lvl>
    <w:lvl w:ilvl="2">
      <w:start w:val="1"/>
      <w:numFmt w:val="decimal"/>
      <w:lvlText w:val="%3."/>
      <w:lvlJc w:val="start"/>
      <w:pPr>
        <w:tabs>
          <w:tab w:val="num" w:pos="2127"/>
        </w:tabs>
        <w:ind w:start="2127" w:hanging="283"/>
      </w:pPr>
      <w:rPr>
        <w:sz w:val="20"/>
        <w:b w:val="false"/>
        <w:szCs w:val="20"/>
        <w:bCs w:val="false"/>
      </w:rPr>
    </w:lvl>
    <w:lvl w:ilvl="3">
      <w:start w:val="1"/>
      <w:numFmt w:val="decimal"/>
      <w:lvlText w:val="%4."/>
      <w:lvlJc w:val="start"/>
      <w:pPr>
        <w:tabs>
          <w:tab w:val="num" w:pos="2836"/>
        </w:tabs>
        <w:ind w:start="2836" w:hanging="283"/>
      </w:pPr>
      <w:rPr>
        <w:sz w:val="20"/>
        <w:b w:val="false"/>
        <w:szCs w:val="20"/>
        <w:bCs w:val="false"/>
      </w:rPr>
    </w:lvl>
    <w:lvl w:ilvl="4">
      <w:start w:val="1"/>
      <w:numFmt w:val="decimal"/>
      <w:lvlText w:val="%5."/>
      <w:lvlJc w:val="start"/>
      <w:pPr>
        <w:tabs>
          <w:tab w:val="num" w:pos="3545"/>
        </w:tabs>
        <w:ind w:start="3545" w:hanging="283"/>
      </w:pPr>
      <w:rPr>
        <w:sz w:val="20"/>
        <w:b w:val="false"/>
        <w:szCs w:val="20"/>
        <w:bCs w:val="false"/>
      </w:rPr>
    </w:lvl>
    <w:lvl w:ilvl="5">
      <w:start w:val="1"/>
      <w:numFmt w:val="decimal"/>
      <w:lvlText w:val="%6."/>
      <w:lvlJc w:val="start"/>
      <w:pPr>
        <w:tabs>
          <w:tab w:val="num" w:pos="4254"/>
        </w:tabs>
        <w:ind w:start="4254" w:hanging="283"/>
      </w:pPr>
      <w:rPr>
        <w:sz w:val="20"/>
        <w:b w:val="false"/>
        <w:szCs w:val="20"/>
        <w:bCs w:val="false"/>
      </w:rPr>
    </w:lvl>
    <w:lvl w:ilvl="6">
      <w:start w:val="1"/>
      <w:numFmt w:val="decimal"/>
      <w:lvlText w:val="%7."/>
      <w:lvlJc w:val="start"/>
      <w:pPr>
        <w:tabs>
          <w:tab w:val="num" w:pos="4963"/>
        </w:tabs>
        <w:ind w:start="4963" w:hanging="283"/>
      </w:pPr>
      <w:rPr>
        <w:sz w:val="20"/>
        <w:b w:val="false"/>
        <w:szCs w:val="20"/>
        <w:bCs w:val="false"/>
      </w:rPr>
    </w:lvl>
    <w:lvl w:ilvl="7">
      <w:start w:val="1"/>
      <w:numFmt w:val="decimal"/>
      <w:lvlText w:val="%8."/>
      <w:lvlJc w:val="start"/>
      <w:pPr>
        <w:tabs>
          <w:tab w:val="num" w:pos="5672"/>
        </w:tabs>
        <w:ind w:start="5672" w:hanging="283"/>
      </w:pPr>
      <w:rPr>
        <w:sz w:val="20"/>
        <w:b w:val="false"/>
        <w:szCs w:val="20"/>
        <w:bCs w:val="false"/>
      </w:rPr>
    </w:lvl>
    <w:lvl w:ilvl="8">
      <w:start w:val="1"/>
      <w:numFmt w:val="decimal"/>
      <w:lvlText w:val="%9."/>
      <w:lvlJc w:val="start"/>
      <w:pPr>
        <w:tabs>
          <w:tab w:val="num" w:pos="6381"/>
        </w:tabs>
        <w:ind w:start="6381" w:hanging="283"/>
      </w:pPr>
      <w:rPr>
        <w:sz w:val="20"/>
        <w:b w:val="false"/>
        <w:szCs w:val="20"/>
        <w:bCs w:val="false"/>
      </w:rPr>
    </w:lvl>
  </w:abstractNum>
  <w:abstractNum w:abstractNumId="3">
    <w:lvl w:ilvl="0">
      <w:start w:val="10"/>
      <w:numFmt w:val="decimal"/>
      <w:lvlText w:val="%1."/>
      <w:lvlJc w:val="start"/>
      <w:pPr>
        <w:tabs>
          <w:tab w:val="num" w:pos="709"/>
        </w:tabs>
        <w:ind w:start="709" w:hanging="283"/>
      </w:pPr>
      <w:rPr>
        <w:sz w:val="20"/>
        <w:b w:val="false"/>
        <w:szCs w:val="20"/>
        <w:bCs w:val="false"/>
      </w:rPr>
    </w:lvl>
    <w:lvl w:ilvl="1">
      <w:start w:val="1"/>
      <w:numFmt w:val="decimal"/>
      <w:lvlText w:val="%2."/>
      <w:lvlJc w:val="start"/>
      <w:pPr>
        <w:tabs>
          <w:tab w:val="num" w:pos="1418"/>
        </w:tabs>
        <w:ind w:start="1418" w:hanging="283"/>
      </w:pPr>
      <w:rPr>
        <w:sz w:val="20"/>
        <w:b w:val="false"/>
        <w:szCs w:val="20"/>
        <w:bCs w:val="false"/>
      </w:rPr>
    </w:lvl>
    <w:lvl w:ilvl="2">
      <w:start w:val="1"/>
      <w:numFmt w:val="decimal"/>
      <w:lvlText w:val="%3."/>
      <w:lvlJc w:val="start"/>
      <w:pPr>
        <w:tabs>
          <w:tab w:val="num" w:pos="2127"/>
        </w:tabs>
        <w:ind w:start="2127" w:hanging="283"/>
      </w:pPr>
      <w:rPr>
        <w:sz w:val="20"/>
        <w:b w:val="false"/>
        <w:szCs w:val="20"/>
        <w:bCs w:val="false"/>
      </w:rPr>
    </w:lvl>
    <w:lvl w:ilvl="3">
      <w:start w:val="1"/>
      <w:numFmt w:val="decimal"/>
      <w:lvlText w:val="%4."/>
      <w:lvlJc w:val="start"/>
      <w:pPr>
        <w:tabs>
          <w:tab w:val="num" w:pos="2836"/>
        </w:tabs>
        <w:ind w:start="2836" w:hanging="283"/>
      </w:pPr>
      <w:rPr>
        <w:sz w:val="20"/>
        <w:b w:val="false"/>
        <w:szCs w:val="20"/>
        <w:bCs w:val="false"/>
      </w:rPr>
    </w:lvl>
    <w:lvl w:ilvl="4">
      <w:start w:val="1"/>
      <w:numFmt w:val="decimal"/>
      <w:lvlText w:val="%5."/>
      <w:lvlJc w:val="start"/>
      <w:pPr>
        <w:tabs>
          <w:tab w:val="num" w:pos="3545"/>
        </w:tabs>
        <w:ind w:start="3545" w:hanging="283"/>
      </w:pPr>
      <w:rPr>
        <w:sz w:val="20"/>
        <w:b w:val="false"/>
        <w:szCs w:val="20"/>
        <w:bCs w:val="false"/>
      </w:rPr>
    </w:lvl>
    <w:lvl w:ilvl="5">
      <w:start w:val="1"/>
      <w:numFmt w:val="decimal"/>
      <w:lvlText w:val="%6."/>
      <w:lvlJc w:val="start"/>
      <w:pPr>
        <w:tabs>
          <w:tab w:val="num" w:pos="4254"/>
        </w:tabs>
        <w:ind w:start="4254" w:hanging="283"/>
      </w:pPr>
      <w:rPr>
        <w:sz w:val="20"/>
        <w:b w:val="false"/>
        <w:szCs w:val="20"/>
        <w:bCs w:val="false"/>
      </w:rPr>
    </w:lvl>
    <w:lvl w:ilvl="6">
      <w:start w:val="1"/>
      <w:numFmt w:val="decimal"/>
      <w:lvlText w:val="%7."/>
      <w:lvlJc w:val="start"/>
      <w:pPr>
        <w:tabs>
          <w:tab w:val="num" w:pos="4963"/>
        </w:tabs>
        <w:ind w:start="4963" w:hanging="283"/>
      </w:pPr>
      <w:rPr>
        <w:sz w:val="20"/>
        <w:b w:val="false"/>
        <w:szCs w:val="20"/>
        <w:bCs w:val="false"/>
      </w:rPr>
    </w:lvl>
    <w:lvl w:ilvl="7">
      <w:start w:val="1"/>
      <w:numFmt w:val="decimal"/>
      <w:lvlText w:val="%8."/>
      <w:lvlJc w:val="start"/>
      <w:pPr>
        <w:tabs>
          <w:tab w:val="num" w:pos="5672"/>
        </w:tabs>
        <w:ind w:start="5672" w:hanging="283"/>
      </w:pPr>
      <w:rPr>
        <w:sz w:val="20"/>
        <w:b w:val="false"/>
        <w:szCs w:val="20"/>
        <w:bCs w:val="false"/>
      </w:rPr>
    </w:lvl>
    <w:lvl w:ilvl="8">
      <w:start w:val="1"/>
      <w:numFmt w:val="decimal"/>
      <w:lvlText w:val="%9."/>
      <w:lvlJc w:val="start"/>
      <w:pPr>
        <w:tabs>
          <w:tab w:val="num" w:pos="6381"/>
        </w:tabs>
        <w:ind w:start="6381" w:hanging="283"/>
      </w:pPr>
      <w:rPr>
        <w:sz w:val="20"/>
        <w:b w:val="false"/>
        <w:szCs w:val="20"/>
        <w:bCs w:val="false"/>
      </w:rPr>
    </w:lvl>
  </w:abstractNum>
  <w:abstractNum w:abstractNumId="4">
    <w:lvl w:ilvl="0">
      <w:start w:val="11"/>
      <w:numFmt w:val="decimal"/>
      <w:lvlText w:val="%1."/>
      <w:lvlJc w:val="start"/>
      <w:pPr>
        <w:tabs>
          <w:tab w:val="num" w:pos="709"/>
        </w:tabs>
        <w:ind w:start="709" w:hanging="283"/>
      </w:pPr>
      <w:rPr>
        <w:sz w:val="20"/>
        <w:b w:val="false"/>
        <w:szCs w:val="20"/>
        <w:bCs w:val="false"/>
      </w:rPr>
    </w:lvl>
    <w:lvl w:ilvl="1">
      <w:start w:val="1"/>
      <w:numFmt w:val="decimal"/>
      <w:lvlText w:val="%2."/>
      <w:lvlJc w:val="start"/>
      <w:pPr>
        <w:tabs>
          <w:tab w:val="num" w:pos="1418"/>
        </w:tabs>
        <w:ind w:start="1418" w:hanging="283"/>
      </w:pPr>
      <w:rPr>
        <w:sz w:val="20"/>
        <w:b w:val="false"/>
        <w:szCs w:val="20"/>
        <w:bCs w:val="false"/>
      </w:rPr>
    </w:lvl>
    <w:lvl w:ilvl="2">
      <w:start w:val="1"/>
      <w:numFmt w:val="decimal"/>
      <w:lvlText w:val="%3."/>
      <w:lvlJc w:val="start"/>
      <w:pPr>
        <w:tabs>
          <w:tab w:val="num" w:pos="2127"/>
        </w:tabs>
        <w:ind w:start="2127" w:hanging="283"/>
      </w:pPr>
      <w:rPr>
        <w:sz w:val="20"/>
        <w:b w:val="false"/>
        <w:szCs w:val="20"/>
        <w:bCs w:val="false"/>
      </w:rPr>
    </w:lvl>
    <w:lvl w:ilvl="3">
      <w:start w:val="1"/>
      <w:numFmt w:val="decimal"/>
      <w:lvlText w:val="%4."/>
      <w:lvlJc w:val="start"/>
      <w:pPr>
        <w:tabs>
          <w:tab w:val="num" w:pos="2836"/>
        </w:tabs>
        <w:ind w:start="2836" w:hanging="283"/>
      </w:pPr>
      <w:rPr>
        <w:sz w:val="20"/>
        <w:b w:val="false"/>
        <w:szCs w:val="20"/>
        <w:bCs w:val="false"/>
      </w:rPr>
    </w:lvl>
    <w:lvl w:ilvl="4">
      <w:start w:val="1"/>
      <w:numFmt w:val="decimal"/>
      <w:lvlText w:val="%5."/>
      <w:lvlJc w:val="start"/>
      <w:pPr>
        <w:tabs>
          <w:tab w:val="num" w:pos="3545"/>
        </w:tabs>
        <w:ind w:start="3545" w:hanging="283"/>
      </w:pPr>
      <w:rPr>
        <w:sz w:val="20"/>
        <w:b w:val="false"/>
        <w:szCs w:val="20"/>
        <w:bCs w:val="false"/>
      </w:rPr>
    </w:lvl>
    <w:lvl w:ilvl="5">
      <w:start w:val="1"/>
      <w:numFmt w:val="decimal"/>
      <w:lvlText w:val="%6."/>
      <w:lvlJc w:val="start"/>
      <w:pPr>
        <w:tabs>
          <w:tab w:val="num" w:pos="4254"/>
        </w:tabs>
        <w:ind w:start="4254" w:hanging="283"/>
      </w:pPr>
      <w:rPr>
        <w:sz w:val="20"/>
        <w:b w:val="false"/>
        <w:szCs w:val="20"/>
        <w:bCs w:val="false"/>
      </w:rPr>
    </w:lvl>
    <w:lvl w:ilvl="6">
      <w:start w:val="1"/>
      <w:numFmt w:val="decimal"/>
      <w:lvlText w:val="%7."/>
      <w:lvlJc w:val="start"/>
      <w:pPr>
        <w:tabs>
          <w:tab w:val="num" w:pos="4963"/>
        </w:tabs>
        <w:ind w:start="4963" w:hanging="283"/>
      </w:pPr>
      <w:rPr>
        <w:sz w:val="20"/>
        <w:b w:val="false"/>
        <w:szCs w:val="20"/>
        <w:bCs w:val="false"/>
      </w:rPr>
    </w:lvl>
    <w:lvl w:ilvl="7">
      <w:start w:val="1"/>
      <w:numFmt w:val="decimal"/>
      <w:lvlText w:val="%8."/>
      <w:lvlJc w:val="start"/>
      <w:pPr>
        <w:tabs>
          <w:tab w:val="num" w:pos="5672"/>
        </w:tabs>
        <w:ind w:start="5672" w:hanging="283"/>
      </w:pPr>
      <w:rPr>
        <w:sz w:val="20"/>
        <w:b w:val="false"/>
        <w:szCs w:val="20"/>
        <w:bCs w:val="false"/>
      </w:rPr>
    </w:lvl>
    <w:lvl w:ilvl="8">
      <w:start w:val="1"/>
      <w:numFmt w:val="decimal"/>
      <w:lvlText w:val="%9."/>
      <w:lvlJc w:val="start"/>
      <w:pPr>
        <w:tabs>
          <w:tab w:val="num" w:pos="6381"/>
        </w:tabs>
        <w:ind w:start="6381" w:hanging="283"/>
      </w:pPr>
      <w:rPr>
        <w:sz w:val="20"/>
        <w:b w:val="false"/>
        <w:szCs w:val="20"/>
        <w:bCs w:val="fals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docVars>
    <w:docVar w:name="__Grammarly_42____i" w:val="H4sIAAAAAAAEAKtWckksSQxILCpxzi/NK1GyMqwFAAEhoTITAAAA"/>
    <w:docVar w:name="__Grammarly_42___1" w:val="H4sIAAAAAAAEAKtWcslP9kxRslIyNDYyNTU1MTE0N7A0NjcyMjRW0lEKTi0uzszPAykwNKgFAJZ1UMI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05db7"/>
    <w:pPr>
      <w:widowControl/>
      <w:bidi w:val="0"/>
      <w:spacing w:before="0" w:after="0"/>
      <w:jc w:val="start"/>
    </w:pPr>
    <w:rPr>
      <w:rFonts w:ascii="Times New Roman" w:hAnsi="Times New Roman" w:eastAsia="Times New Roman" w:cs="Times New Roman"/>
      <w:color w:val="auto"/>
      <w:kern w:val="0"/>
      <w:sz w:val="20"/>
      <w:szCs w:val="20"/>
      <w:lang w:eastAsia="en-US" w:val="en-GB" w:bidi="ar-SA"/>
    </w:rPr>
  </w:style>
  <w:style w:type="paragraph" w:styleId="Heading1">
    <w:name w:val="heading 1"/>
    <w:basedOn w:val="Heading"/>
    <w:next w:val="BodyText"/>
    <w:qFormat/>
    <w:pPr>
      <w:numPr>
        <w:ilvl w:val="0"/>
        <w:numId w:val="0"/>
      </w:numPr>
      <w:spacing w:before="240" w:after="120"/>
      <w:outlineLvl w:val="0"/>
    </w:pPr>
    <w:rPr>
      <w:rFonts w:ascii="Noto Serif" w:hAnsi="Noto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Noto Serif" w:hAnsi="Noto Serif" w:eastAsia="Noto Serif CJK SC" w:cs="Noto Sans Devanagari"/>
      <w:b/>
      <w:bCs/>
      <w:sz w:val="36"/>
      <w:szCs w:val="36"/>
    </w:rPr>
  </w:style>
  <w:style w:type="paragraph" w:styleId="Heading3">
    <w:name w:val="heading 3"/>
    <w:basedOn w:val="Normal"/>
    <w:link w:val="Heading3Char"/>
    <w:semiHidden/>
    <w:unhideWhenUsed/>
    <w:qFormat/>
    <w:rsid w:val="00cd2660"/>
    <w:pPr>
      <w:keepNext w:val="true"/>
      <w:outlineLvl w:val="2"/>
    </w:pPr>
    <w:rPr>
      <w:rFonts w:ascii="Tahoma" w:hAnsi="Tahoma" w:cs="Tahoma"/>
      <w:b/>
      <w:bCs/>
      <w:sz w:val="18"/>
      <w:szCs w:val="18"/>
      <w:lang w:eastAsia="en-GB"/>
    </w:rPr>
  </w:style>
  <w:style w:type="paragraph" w:styleId="Heading5">
    <w:name w:val="heading 5"/>
    <w:basedOn w:val="Normal"/>
    <w:link w:val="Heading5Char"/>
    <w:unhideWhenUsed/>
    <w:qFormat/>
    <w:rsid w:val="00cd2660"/>
    <w:pPr>
      <w:keepNext w:val="true"/>
      <w:outlineLvl w:val="4"/>
    </w:pPr>
    <w:rPr>
      <w:rFonts w:ascii="Tahoma" w:hAnsi="Tahoma" w:cs="Tahoma"/>
      <w:b/>
      <w:bCs/>
      <w:i/>
      <w:iCs/>
      <w:sz w:val="16"/>
      <w:szCs w:val="16"/>
      <w:lang w:eastAsia="en-GB"/>
    </w:rPr>
  </w:style>
  <w:style w:type="character" w:styleId="DefaultParagraphFont" w:default="1">
    <w:name w:val="Default Paragraph Font"/>
    <w:uiPriority w:val="1"/>
    <w:semiHidden/>
    <w:unhideWhenUsed/>
    <w:qFormat/>
    <w:rPr/>
  </w:style>
  <w:style w:type="character" w:styleId="PersonalComposeStyle" w:customStyle="1">
    <w:name w:val="Personal Compose Style"/>
    <w:basedOn w:val="DefaultParagraphFont"/>
    <w:qFormat/>
    <w:rPr>
      <w:rFonts w:ascii="Arial" w:hAnsi="Arial" w:cs="Arial"/>
      <w:color w:val="auto"/>
      <w:sz w:val="20"/>
    </w:rPr>
  </w:style>
  <w:style w:type="character" w:styleId="PersonalReplyStyle" w:customStyle="1">
    <w:name w:val="Personal Reply Style"/>
    <w:basedOn w:val="DefaultParagraphFont"/>
    <w:qFormat/>
    <w:rPr>
      <w:rFonts w:ascii="Arial" w:hAnsi="Arial" w:cs="Arial"/>
      <w:color w:val="auto"/>
      <w:sz w:val="20"/>
    </w:rPr>
  </w:style>
  <w:style w:type="character" w:styleId="Hyperlink">
    <w:name w:val="Hyperlink"/>
    <w:basedOn w:val="DefaultParagraphFont"/>
    <w:rsid w:val="00e043fc"/>
    <w:rPr>
      <w:color w:themeColor="hyperlink" w:val="0563C1"/>
      <w:u w:val="single"/>
    </w:rPr>
  </w:style>
  <w:style w:type="character" w:styleId="FollowedHyperlink">
    <w:name w:val="FollowedHyperlink"/>
    <w:basedOn w:val="DefaultParagraphFont"/>
    <w:rsid w:val="00e043fc"/>
    <w:rPr>
      <w:color w:themeColor="followedHyperlink" w:val="954F72"/>
      <w:u w:val="single"/>
    </w:rPr>
  </w:style>
  <w:style w:type="character" w:styleId="Emphasis">
    <w:name w:val="Emphasis"/>
    <w:basedOn w:val="DefaultParagraphFont"/>
    <w:qFormat/>
    <w:rsid w:val="00f178f4"/>
    <w:rPr>
      <w:i/>
      <w:iCs/>
    </w:rPr>
  </w:style>
  <w:style w:type="character" w:styleId="FootnoteTextChar" w:customStyle="1">
    <w:name w:val="Footnote Text Char"/>
    <w:basedOn w:val="DefaultParagraphFont"/>
    <w:link w:val="FootnoteText"/>
    <w:qFormat/>
    <w:rsid w:val="005920ae"/>
    <w:rPr>
      <w:lang w:eastAsia="en-US"/>
    </w:rPr>
  </w:style>
  <w:style w:type="character" w:styleId="FootnoteCharacters">
    <w:name w:val="Footnote Characters"/>
    <w:basedOn w:val="DefaultParagraphFont"/>
    <w:unhideWhenUsed/>
    <w:qFormat/>
    <w:rsid w:val="005920ae"/>
    <w:rPr>
      <w:vertAlign w:val="superscript"/>
    </w:rPr>
  </w:style>
  <w:style w:type="character" w:styleId="FootnoteReference">
    <w:name w:val="footnote reference"/>
    <w:rPr>
      <w:vertAlign w:val="superscript"/>
    </w:rPr>
  </w:style>
  <w:style w:type="character" w:styleId="Heading3Char" w:customStyle="1">
    <w:name w:val="Heading 3 Char"/>
    <w:basedOn w:val="DefaultParagraphFont"/>
    <w:link w:val="Heading3"/>
    <w:semiHidden/>
    <w:qFormat/>
    <w:rsid w:val="00cd2660"/>
    <w:rPr>
      <w:rFonts w:ascii="Tahoma" w:hAnsi="Tahoma" w:cs="Tahoma"/>
      <w:b/>
      <w:bCs/>
      <w:sz w:val="18"/>
      <w:szCs w:val="18"/>
    </w:rPr>
  </w:style>
  <w:style w:type="character" w:styleId="Heading5Char" w:customStyle="1">
    <w:name w:val="Heading 5 Char"/>
    <w:basedOn w:val="DefaultParagraphFont"/>
    <w:link w:val="Heading5"/>
    <w:qFormat/>
    <w:rsid w:val="00cd2660"/>
    <w:rPr>
      <w:rFonts w:ascii="Tahoma" w:hAnsi="Tahoma" w:cs="Tahoma"/>
      <w:b/>
      <w:bCs/>
      <w:i/>
      <w:iCs/>
      <w:sz w:val="16"/>
      <w:szCs w:val="16"/>
    </w:rPr>
  </w:style>
  <w:style w:type="character" w:styleId="HeaderChar" w:customStyle="1">
    <w:name w:val="Header Char"/>
    <w:basedOn w:val="DefaultParagraphFont"/>
    <w:link w:val="Header"/>
    <w:qFormat/>
    <w:rsid w:val="00996f88"/>
    <w:rPr>
      <w:lang w:eastAsia="en-US"/>
    </w:rPr>
  </w:style>
  <w:style w:type="character" w:styleId="BalloonTextChar" w:customStyle="1">
    <w:name w:val="Balloon Text Char"/>
    <w:basedOn w:val="DefaultParagraphFont"/>
    <w:link w:val="BalloonText"/>
    <w:qFormat/>
    <w:rsid w:val="008d197c"/>
    <w:rPr>
      <w:rFonts w:ascii="Tahoma" w:hAnsi="Tahoma" w:cs="Tahoma"/>
      <w:sz w:val="16"/>
      <w:szCs w:val="16"/>
      <w:lang w:eastAsia="en-US"/>
    </w:rPr>
  </w:style>
  <w:style w:type="character" w:styleId="CommentReference">
    <w:name w:val="annotation reference"/>
    <w:basedOn w:val="DefaultParagraphFont"/>
    <w:qFormat/>
    <w:rsid w:val="007042cd"/>
    <w:rPr>
      <w:sz w:val="16"/>
      <w:szCs w:val="16"/>
    </w:rPr>
  </w:style>
  <w:style w:type="character" w:styleId="CommentTextChar" w:customStyle="1">
    <w:name w:val="Comment Text Char"/>
    <w:basedOn w:val="DefaultParagraphFont"/>
    <w:link w:val="CommentText"/>
    <w:qFormat/>
    <w:rsid w:val="007042cd"/>
    <w:rPr>
      <w:lang w:eastAsia="en-US"/>
    </w:rPr>
  </w:style>
  <w:style w:type="character" w:styleId="CommentSubjectChar" w:customStyle="1">
    <w:name w:val="Comment Subject Char"/>
    <w:basedOn w:val="CommentTextChar"/>
    <w:link w:val="annotationsubject"/>
    <w:qFormat/>
    <w:rsid w:val="007042cd"/>
    <w:rPr>
      <w:b/>
      <w:bCs/>
      <w:lang w:eastAsia="en-US"/>
    </w:rPr>
  </w:style>
  <w:style w:type="character" w:styleId="FooterChar" w:customStyle="1">
    <w:name w:val="Footer Char"/>
    <w:basedOn w:val="DefaultParagraphFont"/>
    <w:link w:val="Footer"/>
    <w:uiPriority w:val="99"/>
    <w:qFormat/>
    <w:rsid w:val="00c029f2"/>
    <w:rPr>
      <w:lang w:eastAsia="en-US"/>
    </w:rPr>
  </w:style>
  <w:style w:type="character" w:styleId="Mention1" w:customStyle="1">
    <w:name w:val="Mention1"/>
    <w:basedOn w:val="DefaultParagraphFont"/>
    <w:uiPriority w:val="99"/>
    <w:semiHidden/>
    <w:unhideWhenUsed/>
    <w:qFormat/>
    <w:rsid w:val="0011433a"/>
    <w:rPr>
      <w:color w:val="2B579A"/>
      <w:shd w:fill="E6E6E6" w:val="clear"/>
    </w:rPr>
  </w:style>
  <w:style w:type="character" w:styleId="UnresolvedMention1" w:customStyle="1">
    <w:name w:val="Unresolved Mention1"/>
    <w:basedOn w:val="DefaultParagraphFont"/>
    <w:uiPriority w:val="99"/>
    <w:semiHidden/>
    <w:unhideWhenUsed/>
    <w:qFormat/>
    <w:rsid w:val="00371f30"/>
    <w:rPr>
      <w:color w:val="808080"/>
      <w:shd w:fill="E6E6E6" w:val="clear"/>
    </w:rPr>
  </w:style>
  <w:style w:type="character" w:styleId="UnresolvedMention">
    <w:name w:val="Unresolved Mention"/>
    <w:basedOn w:val="DefaultParagraphFont"/>
    <w:uiPriority w:val="99"/>
    <w:semiHidden/>
    <w:unhideWhenUsed/>
    <w:qFormat/>
    <w:rsid w:val="00601f58"/>
    <w:rPr>
      <w:color w:val="605E5C"/>
      <w:shd w:fill="E1DFDD" w:val="clear"/>
    </w:rPr>
  </w:style>
  <w:style w:type="character" w:styleId="HTMLPreformattedChar" w:customStyle="1">
    <w:name w:val="HTML Preformatted Char"/>
    <w:basedOn w:val="DefaultParagraphFont"/>
    <w:link w:val="HTMLPreformatted"/>
    <w:uiPriority w:val="99"/>
    <w:semiHidden/>
    <w:qFormat/>
    <w:rsid w:val="000f6ca7"/>
    <w:rPr>
      <w:rFonts w:ascii="Courier New" w:hAnsi="Courier New" w:cs="Courier New"/>
    </w:rPr>
  </w:style>
  <w:style w:type="character" w:styleId="SourceText">
    <w:name w:val="Source Text"/>
    <w:qFormat/>
    <w:rPr>
      <w:rFonts w:ascii="Noto Sans Mono" w:hAnsi="Noto Sans Mono" w:eastAsia="Noto Sans Mono" w:cs="Noto Nastaliq Urdu"/>
    </w:rPr>
  </w:style>
  <w:style w:type="character" w:styleId="Strong">
    <w:name w:val="Strong"/>
    <w:qFormat/>
    <w:rPr>
      <w:b/>
      <w:bCs/>
    </w:rPr>
  </w:style>
  <w:style w:type="character" w:styleId="NumberingSymbols">
    <w:name w:val="Numbering Symbols"/>
    <w:qFormat/>
    <w:rPr>
      <w:b w:val="false"/>
      <w:bCs w:val="false"/>
      <w:sz w:val="20"/>
      <w:szCs w:val="20"/>
    </w:rPr>
  </w:style>
  <w:style w:type="paragraph" w:styleId="Heading">
    <w:name w:val="Heading"/>
    <w:basedOn w:val="Normal"/>
    <w:next w:val="BodyText"/>
    <w:qFormat/>
    <w:pPr>
      <w:keepNext w:val="true"/>
      <w:spacing w:before="240" w:after="120"/>
    </w:pPr>
    <w:rPr>
      <w:rFonts w:ascii="Noto Sans" w:hAnsi="Noto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043fc"/>
    <w:pPr>
      <w:spacing w:lineRule="auto" w:line="276" w:before="0" w:after="200"/>
      <w:ind w:start="720"/>
      <w:contextualSpacing/>
    </w:pPr>
    <w:rPr>
      <w:rFonts w:ascii="Calibri" w:hAnsi="Calibri" w:eastAsia="" w:cs="" w:asciiTheme="minorHAnsi" w:cstheme="minorBidi" w:eastAsiaTheme="minorEastAsia" w:hAnsiTheme="minorHAnsi"/>
      <w:sz w:val="22"/>
      <w:szCs w:val="22"/>
      <w:lang w:eastAsia="en-GB"/>
    </w:rPr>
  </w:style>
  <w:style w:type="paragraph" w:styleId="FootnoteText">
    <w:name w:val="footnote text"/>
    <w:basedOn w:val="Normal"/>
    <w:link w:val="FootnoteTextChar"/>
    <w:unhideWhenUsed/>
    <w:rsid w:val="005920ae"/>
    <w:pPr/>
    <w:rPr/>
  </w:style>
  <w:style w:type="paragraph" w:styleId="preformatted" w:customStyle="1">
    <w:name w:val="preformatted"/>
    <w:basedOn w:val="Normal"/>
    <w:qFormat/>
    <w:rsid w:val="00cd2660"/>
    <w:pPr>
      <w:spacing w:beforeAutospacing="1" w:afterAutospacing="1"/>
    </w:pPr>
    <w:rPr>
      <w:rFonts w:ascii="Arial" w:hAnsi="Arial" w:cs="Arial"/>
      <w:sz w:val="24"/>
      <w:szCs w:val="24"/>
      <w:lang w:eastAsia="en-GB"/>
    </w:rPr>
  </w:style>
  <w:style w:type="paragraph" w:styleId="Default" w:customStyle="1">
    <w:name w:val="Default"/>
    <w:qFormat/>
    <w:rsid w:val="00a1285f"/>
    <w:pPr>
      <w:widowControl/>
      <w:bidi w:val="0"/>
      <w:spacing w:before="0" w:after="0"/>
      <w:jc w:val="start"/>
    </w:pPr>
    <w:rPr>
      <w:rFonts w:ascii="Calibri" w:hAnsi="Calibri" w:cs="Calibri" w:eastAsia="Times New Roman"/>
      <w:color w:val="000000"/>
      <w:kern w:val="0"/>
      <w:sz w:val="24"/>
      <w:szCs w:val="24"/>
      <w:lang w:val="en-GB" w:eastAsia="en-GB" w:bidi="ar-SA"/>
    </w:rPr>
  </w:style>
  <w:style w:type="paragraph" w:styleId="HeaderandFooter">
    <w:name w:val="Header and Footer"/>
    <w:basedOn w:val="Normal"/>
    <w:qFormat/>
    <w:pPr/>
    <w:rPr/>
  </w:style>
  <w:style w:type="paragraph" w:styleId="Header">
    <w:name w:val="header"/>
    <w:basedOn w:val="Normal"/>
    <w:link w:val="HeaderChar"/>
    <w:unhideWhenUsed/>
    <w:rsid w:val="00996f88"/>
    <w:pPr>
      <w:tabs>
        <w:tab w:val="clear" w:pos="720"/>
        <w:tab w:val="center" w:pos="4153" w:leader="none"/>
        <w:tab w:val="right" w:pos="8306" w:leader="none"/>
      </w:tabs>
    </w:pPr>
    <w:rPr/>
  </w:style>
  <w:style w:type="paragraph" w:styleId="BalloonText">
    <w:name w:val="Balloon Text"/>
    <w:basedOn w:val="Normal"/>
    <w:link w:val="BalloonTextChar"/>
    <w:qFormat/>
    <w:rsid w:val="008d197c"/>
    <w:pPr/>
    <w:rPr>
      <w:rFonts w:ascii="Tahoma" w:hAnsi="Tahoma" w:cs="Tahoma"/>
      <w:sz w:val="16"/>
      <w:szCs w:val="16"/>
    </w:rPr>
  </w:style>
  <w:style w:type="paragraph" w:styleId="CommentText">
    <w:name w:val="annotation text"/>
    <w:basedOn w:val="Normal"/>
    <w:link w:val="CommentTextChar"/>
    <w:rsid w:val="007042cd"/>
    <w:pPr/>
    <w:rPr/>
  </w:style>
  <w:style w:type="paragraph" w:styleId="annotationsubject">
    <w:name w:val="annotation subject"/>
    <w:basedOn w:val="CommentText"/>
    <w:next w:val="CommentText"/>
    <w:link w:val="CommentSubjectChar"/>
    <w:qFormat/>
    <w:rsid w:val="007042cd"/>
    <w:pPr/>
    <w:rPr>
      <w:b/>
      <w:bCs/>
    </w:rPr>
  </w:style>
  <w:style w:type="paragraph" w:styleId="Footer">
    <w:name w:val="footer"/>
    <w:basedOn w:val="Normal"/>
    <w:link w:val="FooterChar"/>
    <w:uiPriority w:val="99"/>
    <w:rsid w:val="00c029f2"/>
    <w:pPr>
      <w:tabs>
        <w:tab w:val="clear" w:pos="720"/>
        <w:tab w:val="center" w:pos="4513" w:leader="none"/>
        <w:tab w:val="right" w:pos="9026" w:leader="none"/>
      </w:tabs>
    </w:pPr>
    <w:rPr/>
  </w:style>
  <w:style w:type="paragraph" w:styleId="Revision">
    <w:name w:val="Revision"/>
    <w:uiPriority w:val="99"/>
    <w:semiHidden/>
    <w:qFormat/>
    <w:rsid w:val="00061731"/>
    <w:pPr>
      <w:widowControl/>
      <w:bidi w:val="0"/>
      <w:spacing w:before="0" w:after="0"/>
      <w:jc w:val="start"/>
    </w:pPr>
    <w:rPr>
      <w:rFonts w:ascii="Times New Roman" w:hAnsi="Times New Roman" w:eastAsia="Times New Roman" w:cs="Times New Roman"/>
      <w:color w:val="auto"/>
      <w:kern w:val="0"/>
      <w:sz w:val="20"/>
      <w:szCs w:val="20"/>
      <w:lang w:eastAsia="en-US" w:val="en-GB" w:bidi="ar-SA"/>
    </w:rPr>
  </w:style>
  <w:style w:type="paragraph" w:styleId="HTMLPreformatted">
    <w:name w:val="HTML Preformatted"/>
    <w:basedOn w:val="Normal"/>
    <w:link w:val="HTMLPreformattedChar"/>
    <w:uiPriority w:val="99"/>
    <w:semiHidden/>
    <w:unhideWhenUsed/>
    <w:qFormat/>
    <w:rsid w:val="000f6ca7"/>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eastAsia="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043fc"/>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b0480@coventry.ac.uk" TargetMode="External"/><Relationship Id="rId3" Type="http://schemas.openxmlformats.org/officeDocument/2006/relationships/hyperlink" Target="mailto:ae2791@coventry.ac.uk" TargetMode="External"/><Relationship Id="rId4" Type="http://schemas.openxmlformats.org/officeDocument/2006/relationships/hyperlink" Target="mailto:ac2028@coventry.ac.uk" TargetMode="External"/><Relationship Id="rId5" Type="http://schemas.openxmlformats.org/officeDocument/2006/relationships/hyperlink" Target="https://numpy.org/doc/" TargetMode="External"/><Relationship Id="rId6" Type="http://schemas.openxmlformats.org/officeDocument/2006/relationships/hyperlink" Target="https://pandas.pydata.org/docs/" TargetMode="External"/><Relationship Id="rId7" Type="http://schemas.openxmlformats.org/officeDocument/2006/relationships/hyperlink" Target="https://scikit-learn.org/stable/documentation.html" TargetMode="External"/><Relationship Id="rId8" Type="http://schemas.openxmlformats.org/officeDocument/2006/relationships/hyperlink" Target="https://tqdm.github.io/" TargetMode="External"/><Relationship Id="rId9" Type="http://schemas.openxmlformats.org/officeDocument/2006/relationships/hyperlink" Target="https://matplotlib.org/stable/contents.html" TargetMode="External"/><Relationship Id="rId10" Type="http://schemas.openxmlformats.org/officeDocument/2006/relationships/hyperlink" Target="https://seaborn.pydata.org/" TargetMode="External"/><Relationship Id="rId11" Type="http://schemas.openxmlformats.org/officeDocument/2006/relationships/hyperlink" Target="https://xgboost.readthedocs.io/en/stable/" TargetMode="External"/><Relationship Id="rId12" Type="http://schemas.openxmlformats.org/officeDocument/2006/relationships/hyperlink" Target="https://docs.python.org/3/library/" TargetMode="External"/><Relationship Id="rId13" Type="http://schemas.openxmlformats.org/officeDocument/2006/relationships/hyperlink" Target="https://scikit-learn.org/stable/modules/preprocessing.html"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86AB3E3F1BEA40B4D3DC6B8B1B65B5" ma:contentTypeVersion="2" ma:contentTypeDescription="Create a new document." ma:contentTypeScope="" ma:versionID="02a0cf680c67ee1c52e8590e43d0cb5b">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3DA182-8A3D-4F08-ADD1-3A6EF2283D04}">
  <ds:schemaRefs>
    <ds:schemaRef ds:uri="http://schemas.openxmlformats.org/officeDocument/2006/bibliography"/>
  </ds:schemaRefs>
</ds:datastoreItem>
</file>

<file path=customXml/itemProps2.xml><?xml version="1.0" encoding="utf-8"?>
<ds:datastoreItem xmlns:ds="http://schemas.openxmlformats.org/officeDocument/2006/customXml" ds:itemID="{75814EF0-D83C-4745-A411-32C8106043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D3F3F3-ED5C-4C8C-917A-799AFCD56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95584D5-495B-41A3-8B1D-620654EBB8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Application>LibreOffice/25.8.3.2$Linux_X86_64 LibreOffice_project/580$Build-2</Application>
  <AppVersion>15.0000</AppVersion>
  <Pages>61</Pages>
  <Words>10493</Words>
  <Characters>80685</Characters>
  <CharactersWithSpaces>90070</CharactersWithSpaces>
  <Paragraphs>1723</Paragraphs>
  <Company>Coventry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2025-09-25T23:16:00Z</dcterms:created>
  <dc:creator>Charlotte Collins</dc:creator>
  <dc:description/>
  <dc:language>en-GB</dc:language>
  <cp:lastModifiedBy/>
  <dcterms:modified xsi:type="dcterms:W3CDTF">2025-12-01T13:15:54Z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0x0101007B86AB3E3F1BEA40B4D3DC6B8B1B65B5</vt:lpwstr>
  </property>
  <property fmtid="{D5CDD505-2E9C-101B-9397-08002B2CF9AE}" pid="3" name="IsMyDocuments">
    <vt:bool>1</vt:bool>
  </property>
  <property fmtid="{D5CDD505-2E9C-101B-9397-08002B2CF9AE}" pid="4" name="Order">
    <vt:r8>21900</vt:r8>
  </property>
  <property fmtid="{D5CDD505-2E9C-101B-9397-08002B2CF9AE}" pid="5" name="SharedWithInternal">
    <vt:lpwstr/>
  </property>
  <property fmtid="{D5CDD505-2E9C-101B-9397-08002B2CF9AE}" pid="6" name="_CopySource">
    <vt:lpwstr>https://mysite.coventry.ac.uk/personal/ab2941/Documents/Assessment Working Group/Assessment Policy Final Draft/Module Guide Template.docx</vt:lpwstr>
  </property>
</Properties>
</file>