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1.png" ContentType="image/png"/>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1.xml" ContentType="application/xml"/>
  <Override PartName="/customXml/itemProps2.xml" ContentType="application/vnd.openxmlformats-officedocument.customXmlProperties+xml"/>
  <Override PartName="/customXml/item3.xml" ContentType="application/xml"/>
  <Override PartName="/customXml/item2.xml" ContentType="application/xml"/>
  <Override PartName="/customXml/itemProps3.xml" ContentType="application/vnd.openxmlformats-officedocument.customXmlProperties+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rPr>
          <w:rFonts w:ascii="Calibri" w:hAnsi="Calibri" w:cs="Calibri" w:asciiTheme="minorHAnsi" w:cstheme="minorHAnsi" w:hAnsiTheme="minorHAnsi"/>
          <w:b/>
          <w:bCs/>
          <w:sz w:val="28"/>
          <w:szCs w:val="28"/>
        </w:rPr>
      </w:pPr>
      <w:r>
        <w:rPr>
          <w:rFonts w:cs="Calibri" w:ascii="Calibri" w:hAnsi="Calibri" w:cstheme="minorHAnsi"/>
          <w:b/>
          <w:bCs/>
          <w:sz w:val="28"/>
          <w:szCs w:val="28"/>
        </w:rPr>
        <w:tab/>
      </w:r>
    </w:p>
    <w:p>
      <w:pPr>
        <w:pStyle w:val="Normal"/>
        <w:spacing w:lineRule="auto" w:line="276"/>
        <w:rPr>
          <w:rFonts w:ascii="Calibri" w:hAnsi="Calibri" w:cs="Calibri" w:asciiTheme="minorHAnsi" w:cstheme="minorHAnsi" w:hAnsiTheme="minorHAnsi"/>
          <w:b/>
          <w:bCs/>
          <w:sz w:val="28"/>
          <w:szCs w:val="28"/>
        </w:rPr>
      </w:pPr>
      <w:r>
        <w:rPr>
          <w:rFonts w:cs="Calibri" w:cstheme="minorHAnsi" w:ascii="Calibri" w:hAnsi="Calibri"/>
          <w:b/>
          <w:bCs/>
          <w:sz w:val="28"/>
          <w:szCs w:val="28"/>
        </w:rPr>
      </w:r>
    </w:p>
    <w:p>
      <w:pPr>
        <w:pStyle w:val="Normal"/>
        <w:spacing w:lineRule="auto" w:line="276"/>
        <w:rPr>
          <w:rFonts w:ascii="Calibri" w:hAnsi="Calibri" w:cs="Calibri" w:asciiTheme="minorHAnsi" w:cstheme="minorHAnsi" w:hAnsiTheme="minorHAnsi"/>
          <w:b/>
          <w:bCs/>
          <w:sz w:val="28"/>
          <w:szCs w:val="28"/>
        </w:rPr>
      </w:pPr>
      <w:r>
        <w:rPr>
          <w:rFonts w:cs="Calibri" w:cstheme="minorHAnsi" w:ascii="Calibri" w:hAnsi="Calibri"/>
          <w:b/>
          <w:bCs/>
          <w:sz w:val="28"/>
          <w:szCs w:val="28"/>
        </w:rPr>
      </w:r>
    </w:p>
    <w:p>
      <w:pPr>
        <w:pStyle w:val="Normal"/>
        <w:spacing w:lineRule="auto" w:line="276"/>
        <w:jc w:val="center"/>
        <w:rPr>
          <w:rFonts w:ascii="Calibri" w:hAnsi="Calibri" w:cs="Calibri" w:asciiTheme="minorHAnsi" w:cstheme="minorHAnsi" w:hAnsiTheme="minorHAnsi"/>
          <w:b/>
          <w:bCs/>
          <w:sz w:val="40"/>
          <w:szCs w:val="40"/>
        </w:rPr>
      </w:pPr>
      <w:r>
        <w:rPr>
          <w:rFonts w:cs="Calibri" w:ascii="Calibri" w:hAnsi="Calibri" w:cstheme="minorHAnsi"/>
          <w:b/>
          <w:bCs/>
          <w:sz w:val="40"/>
          <w:szCs w:val="40"/>
        </w:rPr>
        <w:t>UK Crime Prediction by Area (2022–2025): Project Summary and Methodology</w:t>
      </w:r>
    </w:p>
    <w:p>
      <w:pPr>
        <w:pStyle w:val="Normal"/>
        <w:spacing w:lineRule="auto" w:line="276"/>
        <w:jc w:val="center"/>
        <w:rPr>
          <w:rFonts w:ascii="Calibri" w:hAnsi="Calibri" w:cs="Calibri" w:asciiTheme="minorHAnsi" w:cstheme="minorHAnsi" w:hAnsiTheme="minorHAnsi"/>
          <w:b/>
          <w:bCs/>
          <w:sz w:val="40"/>
          <w:szCs w:val="40"/>
        </w:rPr>
      </w:pPr>
      <w:r>
        <w:rPr>
          <w:rFonts w:cs="Calibri" w:cstheme="minorHAnsi" w:ascii="Calibri" w:hAnsi="Calibri"/>
          <w:b/>
          <w:bCs/>
          <w:sz w:val="40"/>
          <w:szCs w:val="40"/>
        </w:rPr>
      </w:r>
    </w:p>
    <w:p>
      <w:pPr>
        <w:pStyle w:val="Normal"/>
        <w:spacing w:lineRule="auto" w:line="276"/>
        <w:rPr>
          <w:rFonts w:ascii="Calibri" w:hAnsi="Calibri" w:cs="Calibri" w:asciiTheme="minorHAnsi" w:cstheme="minorHAnsi" w:hAnsiTheme="minorHAnsi"/>
          <w:b/>
          <w:bCs/>
          <w:sz w:val="28"/>
          <w:szCs w:val="28"/>
        </w:rPr>
      </w:pPr>
      <w:r>
        <w:rPr>
          <w:rFonts w:cs="Calibri" w:cstheme="minorHAnsi" w:ascii="Calibri" w:hAnsi="Calibri"/>
          <w:b/>
          <w:bCs/>
          <w:sz w:val="28"/>
          <w:szCs w:val="28"/>
        </w:rPr>
        <w:tab/>
        <w:tab/>
        <w:tab/>
      </w:r>
      <w:r>
        <w:rPr>
          <w:rFonts w:cs="Calibri" w:cstheme="minorHAnsi" w:ascii="Calibri" w:hAnsi="Calibri"/>
          <w:b w:val="false"/>
          <w:bCs w:val="false"/>
          <w:sz w:val="28"/>
          <w:szCs w:val="28"/>
        </w:rPr>
        <w:t>Gabriel Pierre Huertas de Laspuertas</w:t>
      </w:r>
    </w:p>
    <w:p>
      <w:pPr>
        <w:pStyle w:val="Normal"/>
        <w:spacing w:lineRule="auto" w:line="276"/>
        <w:rPr>
          <w:rFonts w:ascii="Calibri" w:hAnsi="Calibri" w:cs="Calibri" w:asciiTheme="minorHAnsi" w:cstheme="minorHAnsi" w:hAnsiTheme="minorHAnsi"/>
          <w:b w:val="false"/>
          <w:bCs w:val="false"/>
          <w:sz w:val="24"/>
          <w:szCs w:val="24"/>
        </w:rPr>
      </w:pPr>
      <w:r>
        <w:rPr>
          <w:rFonts w:cs="Calibri" w:cstheme="minorHAnsi" w:ascii="Calibri" w:hAnsi="Calibri"/>
          <w:b w:val="false"/>
          <w:bCs w:val="false"/>
          <w:sz w:val="24"/>
          <w:szCs w:val="24"/>
        </w:rPr>
        <w:tab/>
        <w:tab/>
        <w:tab/>
        <w:tab/>
        <w:tab/>
        <w:tab/>
        <w:t>16862171</w:t>
      </w:r>
    </w:p>
    <w:p>
      <w:pPr>
        <w:pStyle w:val="Normal"/>
        <w:spacing w:lineRule="auto" w:line="276"/>
        <w:rPr>
          <w:rFonts w:ascii="Calibri" w:hAnsi="Calibri" w:cs="Calibri" w:asciiTheme="minorHAnsi" w:cstheme="minorHAnsi" w:hAnsiTheme="minorHAnsi"/>
          <w:sz w:val="24"/>
          <w:szCs w:val="24"/>
        </w:rPr>
      </w:pPr>
      <w:r>
        <w:rPr>
          <w:rFonts w:cs="Calibri" w:cstheme="minorHAnsi" w:ascii="Calibri" w:hAnsi="Calibri"/>
          <w:sz w:val="24"/>
          <w:szCs w:val="24"/>
        </w:rPr>
        <w:tab/>
        <w:tab/>
        <w:t>https://github.coventry.ac.uk/huertasdeg/16862171-GH-s1.git</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BodyText"/>
        <w:rPr>
          <w:rFonts w:ascii="Calibri" w:hAnsi="Calibri" w:cs="Calibri" w:asciiTheme="minorHAnsi" w:cstheme="minorHAnsi" w:hAnsiTheme="minorHAnsi"/>
          <w:sz w:val="24"/>
          <w:szCs w:val="24"/>
        </w:rPr>
      </w:pPr>
      <w:r>
        <w:rPr>
          <w:rFonts w:cs="Calibri" w:cstheme="minorHAnsi" w:ascii="Calibri" w:hAnsi="Calibri"/>
          <w:sz w:val="24"/>
          <w:szCs w:val="24"/>
        </w:rPr>
      </w:r>
    </w:p>
    <w:p>
      <w:pPr>
        <w:pStyle w:val="BodyText"/>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ind w:hanging="0" w:start="0"/>
        <w:rPr>
          <w:rFonts w:ascii="Calibri" w:hAnsi="Calibri" w:cs="Calibri" w:asciiTheme="minorHAnsi" w:cstheme="minorHAnsi" w:hAnsiTheme="minorHAnsi"/>
          <w:b w:val="false"/>
          <w:bCs w:val="false"/>
          <w:sz w:val="28"/>
          <w:szCs w:val="28"/>
        </w:rPr>
      </w:pPr>
      <w:r>
        <w:rPr>
          <w:rFonts w:cs="Calibri" w:cstheme="minorHAnsi" w:ascii="Calibri" w:hAnsi="Calibri"/>
          <w:b w:val="false"/>
          <w:bCs w:val="false"/>
          <w:sz w:val="28"/>
          <w:szCs w:val="28"/>
        </w:rPr>
      </w:r>
    </w:p>
    <w:p>
      <w:pPr>
        <w:pStyle w:val="Heading1"/>
        <w:ind w:hanging="0" w:start="0"/>
        <w:rPr>
          <w:b w:val="false"/>
          <w:bCs w:val="false"/>
          <w:sz w:val="20"/>
          <w:szCs w:val="20"/>
        </w:rPr>
      </w:pPr>
      <w:r>
        <w:rPr>
          <w:b w:val="false"/>
          <w:bCs w:val="false"/>
          <w:sz w:val="20"/>
          <w:szCs w:val="20"/>
        </w:rPr>
      </w:r>
    </w:p>
    <w:p>
      <w:pPr>
        <w:pStyle w:val="Normal"/>
        <w:rPr>
          <w:rStyle w:val="Strong"/>
          <w:b/>
          <w:bCs/>
          <w:sz w:val="28"/>
          <w:szCs w:val="28"/>
        </w:rPr>
      </w:pPr>
      <w:r>
        <w:rPr/>
      </w:r>
    </w:p>
    <w:p>
      <w:pPr>
        <w:pStyle w:val="Normal"/>
        <w:rPr>
          <w:rStyle w:val="Strong"/>
          <w:b/>
          <w:bCs/>
          <w:sz w:val="28"/>
          <w:szCs w:val="28"/>
        </w:rPr>
      </w:pPr>
      <w:r>
        <w:rPr/>
      </w:r>
    </w:p>
    <w:p>
      <w:pPr>
        <w:pStyle w:val="Normal"/>
        <w:rPr>
          <w:rStyle w:val="Strong"/>
          <w:b/>
          <w:bCs/>
          <w:sz w:val="28"/>
          <w:szCs w:val="28"/>
        </w:rPr>
      </w:pPr>
      <w:r>
        <w:rPr/>
      </w:r>
    </w:p>
    <w:p>
      <w:pPr>
        <w:pStyle w:val="Normal"/>
        <w:rPr>
          <w:rStyle w:val="Strong"/>
          <w:b/>
          <w:bCs/>
          <w:sz w:val="28"/>
          <w:szCs w:val="28"/>
        </w:rPr>
      </w:pPr>
      <w:r>
        <w:rPr/>
      </w:r>
    </w:p>
    <w:p>
      <w:pPr>
        <w:pStyle w:val="Normal"/>
        <w:rPr/>
      </w:pPr>
      <w:r>
        <w:rPr>
          <w:rStyle w:val="Strong"/>
          <w:b/>
          <w:bCs/>
          <w:sz w:val="28"/>
          <w:szCs w:val="28"/>
        </w:rPr>
        <w:t>Table of contents</w:t>
      </w:r>
    </w:p>
    <w:p>
      <w:pPr>
        <w:pStyle w:val="Heading1"/>
        <w:ind w:hanging="0" w:start="0"/>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Table of Contents (APA Format)</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UK Crime Prediction by Area (2022–2025): Project Summary and Methodology</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Data Collection and Rationale of Data Sources</w:t>
      </w:r>
      <w:r>
        <w:rPr>
          <w:rFonts w:cs="Calibri" w:ascii="Calibri" w:hAnsi="Calibri" w:cstheme="minorHAnsi"/>
          <w:b w:val="false"/>
          <w:bCs w:val="false"/>
          <w:sz w:val="20"/>
          <w:szCs w:val="20"/>
        </w:rPr>
        <w:br/>
        <w:t>  2.1 UK Police Monthly Street-Level Crime Data (2022–2025)</w:t>
        <w:br/>
        <w:t>  2.2 Census 2021 – TS001 Residence Type</w:t>
        <w:br/>
        <w:t>  2.3 Census 2021 – TS006 Population Density</w:t>
        <w:br/>
        <w:t>  2.4 Census 2021 – TS011 Household Deprivation</w:t>
        <w:br/>
        <w:t>  2.5 Census 2021 – TS066 Economic Activity Status</w:t>
        <w:br/>
        <w:t>  2.6 Census 2021 – TS067 Highest Level of Qualification</w:t>
        <w:br/>
        <w:t>  2.7 LSOA Boundary Data (ONS GeoPortal)</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Use of Parquet Instead of CSV</w:t>
      </w:r>
      <w:r>
        <w:rPr>
          <w:rFonts w:cs="Calibri" w:ascii="Calibri" w:hAnsi="Calibri" w:cstheme="minorHAnsi"/>
          <w:b w:val="false"/>
          <w:bCs w:val="false"/>
          <w:sz w:val="20"/>
          <w:szCs w:val="20"/>
        </w:rPr>
        <w:br/>
        <w:t>  3.1 Technical Comparison: Parquet vs. CSV</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Computation and Operating Environment Optimization</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Data Aggregation and Feature Engineering</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Data Splitting Strategy</w:t>
      </w:r>
      <w:r>
        <w:rPr>
          <w:rFonts w:cs="Calibri" w:ascii="Calibri" w:hAnsi="Calibri" w:cstheme="minorHAnsi"/>
          <w:b w:val="false"/>
          <w:bCs w:val="false"/>
          <w:sz w:val="20"/>
          <w:szCs w:val="20"/>
        </w:rPr>
        <w:br/>
        <w:t>  6.1 Optimal Chronological Split (Joseph, 2022)</w:t>
        <w:br/>
        <w:t>  6.2 Standard 40–30–30 Split</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Model Selection and Rationale</w:t>
      </w:r>
      <w:r>
        <w:rPr>
          <w:rFonts w:cs="Calibri" w:ascii="Calibri" w:hAnsi="Calibri" w:cstheme="minorHAnsi"/>
          <w:b w:val="false"/>
          <w:bCs w:val="false"/>
          <w:sz w:val="20"/>
          <w:szCs w:val="20"/>
        </w:rPr>
        <w:br/>
        <w:t>  7.1 Ordinary Least Squares (OLS) Regression</w:t>
        <w:br/>
        <w:t>  7.2 Random Forest Regression</w:t>
        <w:br/>
        <w:t>  7.3 XGBoost Regression</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Prediction Without Future Forecasting</w:t>
      </w:r>
    </w:p>
    <w:p>
      <w:pPr>
        <w:pStyle w:val="BodyText"/>
        <w:numPr>
          <w:ilvl w:val="0"/>
          <w:numId w:val="2"/>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Conclusion</w:t>
      </w:r>
    </w:p>
    <w:p>
      <w:pPr>
        <w:pStyle w:val="Heading2"/>
        <w:spacing w:before="0" w:after="283"/>
        <w:ind w:hanging="0" w:start="0"/>
        <w:rPr>
          <w:rFonts w:ascii="Calibri" w:hAnsi="Calibri" w:cs="Calibri" w:asciiTheme="minorHAnsi" w:cstheme="minorHAnsi" w:hAnsiTheme="minorHAnsi"/>
          <w:sz w:val="28"/>
          <w:szCs w:val="28"/>
        </w:rPr>
      </w:pPr>
      <w:r>
        <w:rPr>
          <w:rStyle w:val="Strong"/>
          <w:rFonts w:cs="Calibri" w:ascii="Calibri" w:hAnsi="Calibri" w:cstheme="minorHAnsi"/>
          <w:b w:val="false"/>
          <w:bCs w:val="false"/>
          <w:sz w:val="20"/>
          <w:szCs w:val="20"/>
        </w:rPr>
        <w:t>Supplementary Dataset Overview</w:t>
      </w:r>
    </w:p>
    <w:p>
      <w:pPr>
        <w:pStyle w:val="BodyText"/>
        <w:numPr>
          <w:ilvl w:val="0"/>
          <w:numId w:val="3"/>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Dataset Used</w:t>
      </w:r>
    </w:p>
    <w:p>
      <w:pPr>
        <w:pStyle w:val="Heading1"/>
        <w:spacing w:before="0" w:after="283"/>
        <w:ind w:hanging="0" w:start="0"/>
        <w:rPr>
          <w:rFonts w:ascii="Calibri" w:hAnsi="Calibri" w:cs="Calibri" w:asciiTheme="minorHAnsi" w:cstheme="minorHAnsi" w:hAnsiTheme="minorHAnsi"/>
          <w:sz w:val="28"/>
          <w:szCs w:val="28"/>
        </w:rPr>
      </w:pPr>
      <w:r>
        <w:rPr>
          <w:rStyle w:val="Strong"/>
          <w:rFonts w:cs="Calibri" w:ascii="Calibri" w:hAnsi="Calibri" w:cstheme="minorHAnsi"/>
          <w:b w:val="false"/>
          <w:bCs w:val="false"/>
          <w:sz w:val="20"/>
          <w:szCs w:val="20"/>
        </w:rPr>
        <w:t>Machine Translation: A Literature Review</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Abstract</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Introduction</w:t>
      </w:r>
      <w:r>
        <w:rPr>
          <w:rFonts w:cs="Calibri" w:ascii="Calibri" w:hAnsi="Calibri" w:cstheme="minorHAnsi"/>
          <w:b w:val="false"/>
          <w:bCs w:val="false"/>
          <w:sz w:val="20"/>
          <w:szCs w:val="20"/>
        </w:rPr>
        <w:br/>
        <w:t>  12.1 Shift From SMT to NMT</w:t>
        <w:br/>
        <w:t>  12.2 Transformer Models and Attention Mechanisms</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Fundamentals of Machine Translation</w:t>
      </w:r>
      <w:r>
        <w:rPr>
          <w:rFonts w:cs="Calibri" w:ascii="Calibri" w:hAnsi="Calibri" w:cstheme="minorHAnsi"/>
          <w:b w:val="false"/>
          <w:bCs w:val="false"/>
          <w:sz w:val="20"/>
          <w:szCs w:val="20"/>
        </w:rPr>
        <w:br/>
        <w:t>  13.1 Evolution Toward Neural Machine Translation</w:t>
        <w:br/>
        <w:t>  13.2 Subword Representation (Byte-Pair Encoding)</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Domain Adaptation and System Development</w:t>
      </w:r>
      <w:r>
        <w:rPr>
          <w:rFonts w:cs="Calibri" w:ascii="Calibri" w:hAnsi="Calibri" w:cstheme="minorHAnsi"/>
          <w:b w:val="false"/>
          <w:bCs w:val="false"/>
          <w:sz w:val="20"/>
          <w:szCs w:val="20"/>
        </w:rPr>
        <w:br/>
        <w:t>  14.1 Fine-Tuning</w:t>
        <w:br/>
        <w:t>  14.2 Multi-Domain Modelling</w:t>
        <w:br/>
        <w:t>  14.3 Data Selection</w:t>
        <w:br/>
        <w:t>  14.4 WMT System Development (Cambridge)</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Evaluation and Translation Quality</w:t>
      </w:r>
      <w:r>
        <w:rPr>
          <w:rFonts w:cs="Calibri" w:ascii="Calibri" w:hAnsi="Calibri" w:cstheme="minorHAnsi"/>
          <w:b w:val="false"/>
          <w:bCs w:val="false"/>
          <w:sz w:val="20"/>
          <w:szCs w:val="20"/>
        </w:rPr>
        <w:br/>
        <w:t>  15.1 Issues in MT Evaluation: Translationese and Statistical Power</w:t>
        <w:br/>
        <w:t>  15.2 Unsupervised Quality Estimation</w:t>
        <w:br/>
        <w:t>  15.3 Multilingual Evaluation Considerations</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Reliability and Uncertainty in NMT</w:t>
      </w:r>
      <w:r>
        <w:rPr>
          <w:rFonts w:cs="Calibri" w:ascii="Calibri" w:hAnsi="Calibri" w:cstheme="minorHAnsi"/>
          <w:b w:val="false"/>
          <w:bCs w:val="false"/>
          <w:sz w:val="20"/>
          <w:szCs w:val="20"/>
        </w:rPr>
        <w:br/>
        <w:t>  16.1 Similarity-Sensitive Entropy</w:t>
        <w:br/>
        <w:t>  16.2 Error Diagnosis Through Uncertainty Measures</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Context-Aware Neural Machine Translation</w:t>
      </w:r>
      <w:r>
        <w:rPr>
          <w:rFonts w:cs="Calibri" w:ascii="Calibri" w:hAnsi="Calibri" w:cstheme="minorHAnsi"/>
          <w:b w:val="false"/>
          <w:bCs w:val="false"/>
          <w:sz w:val="20"/>
          <w:szCs w:val="20"/>
        </w:rPr>
        <w:br/>
        <w:t>  17.1 Document-Level and Multi-Sentence Context</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Modern Evaluation Metrics Beyond BLEU</w:t>
      </w:r>
      <w:r>
        <w:rPr>
          <w:rFonts w:cs="Calibri" w:ascii="Calibri" w:hAnsi="Calibri" w:cstheme="minorHAnsi"/>
          <w:b w:val="false"/>
          <w:bCs w:val="false"/>
          <w:sz w:val="20"/>
          <w:szCs w:val="20"/>
        </w:rPr>
        <w:br/>
        <w:t>  18.1 COMET</w:t>
        <w:br/>
        <w:t>  18.2 BLEURT</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State of the Art in NMT</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General Discussion</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Conclusions</w:t>
      </w:r>
    </w:p>
    <w:p>
      <w:pPr>
        <w:pStyle w:val="BodyText"/>
        <w:numPr>
          <w:ilvl w:val="0"/>
          <w:numId w:val="4"/>
        </w:numPr>
        <w:tabs>
          <w:tab w:val="clear" w:pos="720"/>
          <w:tab w:val="left" w:pos="0" w:leader="none"/>
        </w:tabs>
        <w:ind w:hanging="283" w:start="709"/>
        <w:rPr>
          <w:rFonts w:ascii="Calibri" w:hAnsi="Calibri" w:cs="Calibri" w:asciiTheme="minorHAnsi" w:cstheme="minorHAnsi" w:hAnsiTheme="minorHAnsi"/>
          <w:b/>
          <w:bCs/>
          <w:sz w:val="28"/>
          <w:szCs w:val="28"/>
        </w:rPr>
      </w:pPr>
      <w:r>
        <w:rPr>
          <w:rStyle w:val="Strong"/>
          <w:rFonts w:cs="Calibri" w:ascii="Calibri" w:hAnsi="Calibri" w:cstheme="minorHAnsi"/>
          <w:b w:val="false"/>
          <w:bCs w:val="false"/>
          <w:sz w:val="20"/>
          <w:szCs w:val="20"/>
        </w:rPr>
        <w:t>References</w:t>
      </w:r>
    </w:p>
    <w:p>
      <w:pPr>
        <w:pStyle w:val="BodyText"/>
        <w:widowControl/>
        <w:numPr>
          <w:ilvl w:val="0"/>
          <w:numId w:val="4"/>
        </w:numPr>
        <w:tabs>
          <w:tab w:val="clear" w:pos="720"/>
          <w:tab w:val="left" w:pos="0" w:leader="none"/>
        </w:tabs>
        <w:bidi w:val="0"/>
        <w:ind w:hanging="283" w:start="709"/>
        <w:jc w:val="start"/>
        <w:rPr/>
      </w:pPr>
      <w:r>
        <w:rPr>
          <w:rStyle w:val="Strong"/>
          <w:b w:val="false"/>
          <w:bCs w:val="false"/>
        </w:rPr>
        <w:t>Bibliography</w:t>
      </w:r>
    </w:p>
    <w:p>
      <w:pPr>
        <w:pStyle w:val="Normal"/>
        <w:rPr>
          <w:rFonts w:ascii="Calibri" w:hAnsi="Calibri" w:cs="Calibri" w:asciiTheme="minorHAnsi" w:cstheme="minorHAnsi" w:hAnsiTheme="minorHAnsi"/>
          <w:b/>
          <w:bCs/>
          <w:sz w:val="20"/>
          <w:szCs w:val="20"/>
        </w:rPr>
      </w:pPr>
      <w:r>
        <w:rPr>
          <w:rFonts w:cs="Calibri" w:cstheme="minorHAnsi" w:ascii="Calibri" w:hAnsi="Calibri"/>
          <w:b/>
          <w:bCs/>
          <w:sz w:val="20"/>
          <w:szCs w:val="20"/>
        </w:rPr>
      </w:r>
      <w:r>
        <w:br w:type="page"/>
      </w:r>
    </w:p>
    <w:tbl>
      <w:tblPr>
        <w:tblStyle w:val="TableGrid"/>
        <w:tblW w:w="10602" w:type="dxa"/>
        <w:jc w:val="start"/>
        <w:tblInd w:w="-15" w:type="dxa"/>
        <w:tblLayout w:type="fixed"/>
        <w:tblCellMar>
          <w:top w:w="0" w:type="dxa"/>
          <w:start w:w="108" w:type="dxa"/>
          <w:bottom w:w="0" w:type="dxa"/>
          <w:end w:w="108" w:type="dxa"/>
        </w:tblCellMar>
        <w:tblLook w:val="04a0" w:noHBand="0" w:noVBand="1" w:firstColumn="1" w:lastRow="0" w:lastColumn="0" w:firstRow="1"/>
      </w:tblPr>
      <w:tblGrid>
        <w:gridCol w:w="10602"/>
      </w:tblGrid>
      <w:tr>
        <w:trPr>
          <w:trHeight w:val="397" w:hRule="atLeast"/>
        </w:trPr>
        <w:tc>
          <w:tcPr>
            <w:tcW w:w="10602" w:type="dxa"/>
            <w:tcBorders>
              <w:top w:val="double" w:sz="4" w:space="0" w:color="000000"/>
              <w:start w:val="double" w:sz="4" w:space="0" w:color="000000"/>
              <w:bottom w:val="double" w:sz="4" w:space="0" w:color="000000"/>
              <w:end w:val="double" w:sz="4" w:space="0" w:color="000000"/>
            </w:tcBorders>
            <w:vAlign w:val="center"/>
          </w:tcPr>
          <w:p>
            <w:pPr>
              <w:pStyle w:val="Normal"/>
              <w:pageBreakBefore/>
              <w:widowControl/>
              <w:suppressAutoHyphens w:val="true"/>
              <w:spacing w:lineRule="auto" w:line="276" w:before="0" w:after="0"/>
              <w:jc w:val="center"/>
              <w:rPr>
                <w:rFonts w:cs="Calibri" w:cstheme="minorHAnsi"/>
                <w:b/>
                <w:bCs/>
                <w:sz w:val="40"/>
                <w:szCs w:val="40"/>
              </w:rPr>
            </w:pPr>
            <w:r>
              <w:rPr>
                <w:rFonts w:eastAsia="" w:cs="Calibri" w:ascii="Calibri" w:hAnsi="Calibri" w:cstheme="minorHAnsi"/>
                <w:b/>
                <w:bCs/>
                <w:kern w:val="0"/>
                <w:sz w:val="40"/>
                <w:szCs w:val="40"/>
                <w:lang w:val="en-GB" w:bidi="ar-SA"/>
              </w:rPr>
              <w:t>Academic Report</w:t>
            </w:r>
          </w:p>
        </w:tc>
      </w:tr>
    </w:tbl>
    <w:p>
      <w:pPr>
        <w:pStyle w:val="Normal"/>
        <w:spacing w:lineRule="auto" w:line="276"/>
        <w:jc w:val="center"/>
        <w:rPr>
          <w:rFonts w:ascii="Calibri" w:hAnsi="Calibri" w:cs="Calibri" w:asciiTheme="minorHAnsi" w:cstheme="minorHAnsi" w:hAnsiTheme="minorHAnsi"/>
          <w:b/>
          <w:bCs/>
          <w:sz w:val="24"/>
          <w:szCs w:val="24"/>
        </w:rPr>
      </w:pPr>
      <w:r>
        <w:rPr>
          <w:rFonts w:cs="Calibri" w:cstheme="minorHAnsi" w:ascii="Calibri" w:hAnsi="Calibri"/>
          <w:b/>
          <w:bCs/>
          <w:sz w:val="24"/>
          <w:szCs w:val="24"/>
        </w:rPr>
      </w:r>
    </w:p>
    <w:p>
      <w:pPr>
        <w:pStyle w:val="Normal"/>
        <w:spacing w:lineRule="auto" w:line="276" w:before="120" w:after="240"/>
        <w:jc w:val="both"/>
        <w:rPr>
          <w:rFonts w:ascii="Calibri" w:hAnsi="Calibri" w:cs="Calibri" w:asciiTheme="minorHAnsi" w:cstheme="minorHAnsi" w:hAnsiTheme="minorHAnsi"/>
          <w:b/>
          <w:bCs/>
          <w:sz w:val="24"/>
          <w:szCs w:val="24"/>
        </w:rPr>
      </w:pPr>
      <w:r>
        <w:rPr>
          <w:rFonts w:cs="Calibri" w:ascii="Calibri" w:hAnsi="Calibri" w:cstheme="minorHAnsi"/>
          <w:b/>
          <w:bCs/>
          <w:sz w:val="24"/>
          <w:szCs w:val="24"/>
        </w:rPr>
        <w:t>1 UK Crime Prediction by Area (2022–2025): Project Summary and Methodology</w:t>
      </w:r>
    </w:p>
    <w:p>
      <w:pPr>
        <w:pStyle w:val="Normal"/>
        <w:spacing w:lineRule="auto" w:line="276"/>
        <w:jc w:val="both"/>
        <w:rPr>
          <w:rFonts w:ascii="Calibri" w:hAnsi="Calibri" w:cs="Calibri" w:asciiTheme="minorHAnsi" w:cstheme="minorHAnsi" w:hAnsiTheme="minorHAnsi"/>
          <w:sz w:val="20"/>
          <w:szCs w:val="20"/>
        </w:rPr>
      </w:pPr>
      <w:r>
        <w:rPr>
          <w:rFonts w:cs="Calibri" w:ascii="Calibri" w:hAnsi="Calibri" w:cstheme="minorHAnsi"/>
          <w:sz w:val="20"/>
          <w:szCs w:val="20"/>
        </w:rPr>
        <w:t>This research investigates the prediction of crime volume on a monthly basis for the Lower Layer Super Output Areas of the United Kingdom from 2022 to 2025. The research subject is of high relevance to society, as crime forecasting assists local governments, police organizations, and administrative bodies to effectively allocate their resources, detect novel crime areas, and comprehend socio-economic drivers of crime. The United Kingdom is a preferred case for crime forecasting because of the availability of crime data, which can be accessed from the UK Police open data portal. This portal supports a realistic crime forecasting system because of its crime data scope, enabling the development of a massive system. This research formulates the problem of crime forecasting as a regression task, where the variable crime_count represents a continuous value of recorded crime for each LSOA unit and each month. The formulation of the crimedata forecast problem is significantly different from other tasks, such as classification or clustering. Although this research is for crime forecasting up to the last month of the crimedataset, this task is essentially a prediction problem because the developed system requires forecasting of crime for the held-back portions of the time-series data that the system never saw or learned from. This is well-known and understood by researchers working on machine learning tasks, referred to as held-back forecasting.</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b/>
          <w:bCs/>
          <w:sz w:val="20"/>
          <w:szCs w:val="20"/>
        </w:rPr>
      </w:pPr>
      <w:r>
        <w:rPr>
          <w:rFonts w:cs="Calibri" w:ascii="Calibri" w:hAnsi="Calibri" w:cstheme="minorHAnsi"/>
          <w:b/>
          <w:bCs/>
          <w:sz w:val="20"/>
          <w:szCs w:val="20"/>
        </w:rPr>
        <w:t>2 D</w:t>
      </w:r>
      <w:r>
        <w:rPr>
          <w:rFonts w:cs="Calibri" w:ascii="Calibri" w:hAnsi="Calibri" w:cstheme="minorHAnsi"/>
          <w:b/>
          <w:bCs/>
          <w:sz w:val="24"/>
          <w:szCs w:val="24"/>
        </w:rPr>
        <w:t xml:space="preserve">ata Collection and Rationale of Data Sources </w:t>
      </w:r>
    </w:p>
    <w:p>
      <w:pPr>
        <w:pStyle w:val="Normal"/>
        <w:spacing w:lineRule="auto" w:line="276"/>
        <w:jc w:val="both"/>
        <w:rPr>
          <w:rFonts w:ascii="Calibri" w:hAnsi="Calibri" w:cs="Calibri" w:asciiTheme="minorHAnsi" w:cstheme="minorHAnsi" w:hAnsiTheme="minorHAnsi"/>
          <w:sz w:val="20"/>
          <w:szCs w:val="20"/>
        </w:rPr>
      </w:pPr>
      <w:r>
        <w:rPr>
          <w:rFonts w:cs="Calibri" w:ascii="Calibri" w:hAnsi="Calibri" w:cstheme="minorHAnsi"/>
          <w:sz w:val="20"/>
          <w:szCs w:val="20"/>
        </w:rPr>
        <w:t>The crime data available from 2022–2025 was collected from the UK Police’s open data platform. Temporary disruptions to the API require that multiple months of crime data be directly downloaded from a command line interface to maintain continuity of the data collection process. The resulting crime data collection contains about 14.5 million crime events, along with corresponding identifiers, dates, spatial information, codes for LSOA, type of crime, and crime outcomes. After undergoing data cleaning, removing duplicates, and removing null values, the crime data was prepared to be analyzed. Adding a socio-economic dimension to the predictive model, a range of demographic and economic statistics from the 2021 Census, offered by the Office for National Statistics and Nomis, was sourced. Utilizing LSOA Census files to provide detailed data such as population figures, population density, various forms of deprivation, prevalence of disability, workforce details, and participation statistics, among other dimensions, significantly adds to the predictive ability of the model-building process. These statistics have long-established scientific relationships to crime patterns, as understood from criminally driven scholarship.</w:t>
      </w:r>
    </w:p>
    <w:p>
      <w:pPr>
        <w:pStyle w:val="Normal"/>
        <w:spacing w:lineRule="auto" w:line="276"/>
        <w:jc w:val="both"/>
        <w:rPr>
          <w:rFonts w:ascii="Calibri" w:hAnsi="Calibri" w:cs="Calibri" w:asciiTheme="minorHAnsi" w:cstheme="minorHAnsi" w:hAnsiTheme="minorHAnsi"/>
          <w:sz w:val="20"/>
          <w:szCs w:val="20"/>
        </w:rPr>
      </w:pPr>
      <w:r>
        <w:rPr>
          <w:rFonts w:cs="Calibri" w:ascii="Calibri" w:hAnsi="Calibri" w:cstheme="minorHAnsi"/>
          <w:sz w:val="20"/>
          <w:szCs w:val="20"/>
        </w:rPr>
        <w:t>Use of Parquet Instead of CSV</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b/>
          <w:bCs/>
          <w:sz w:val="24"/>
          <w:szCs w:val="24"/>
        </w:rPr>
      </w:pPr>
      <w:r>
        <w:rPr>
          <w:rFonts w:cs="Calibri" w:ascii="Calibri" w:hAnsi="Calibri" w:cstheme="minorHAnsi"/>
          <w:b/>
          <w:bCs/>
          <w:sz w:val="24"/>
          <w:szCs w:val="24"/>
        </w:rPr>
        <w:t>3 Parquet vs. CSV: A New, Technical Definition</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sz w:val="20"/>
          <w:szCs w:val="20"/>
        </w:rPr>
      </w:pPr>
      <w:r>
        <w:rPr>
          <w:rFonts w:cs="Calibri" w:ascii="Calibri" w:hAnsi="Calibri" w:cstheme="minorHAnsi"/>
          <w:sz w:val="20"/>
          <w:szCs w:val="20"/>
        </w:rPr>
        <w:t>One of the most important technical considerations was to transform all the raw CSV files into the Apache Parquet format. This is because working with the Apache Parquet format allowed for efficient compression, a columnar structure for improved analytical capabilities, and compatibility with popular libraries such as pandas, Modin, and PyArrow, thus overcoming the drawbacks associated with working with CSV files. Additionally, by incorporating the Apache Parquet format, the technical aspect of this project was able to make efficient use of the available hardware components, including a high-performance Ubuntu server, 64 GB of memory, Xeon processors that can sustain 48 threads, and NVMe storage.</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b/>
          <w:bCs/>
          <w:sz w:val="24"/>
          <w:szCs w:val="24"/>
        </w:rPr>
      </w:pPr>
      <w:r>
        <w:rPr>
          <w:rFonts w:cs="Calibri" w:ascii="Calibri" w:hAnsi="Calibri" w:cstheme="minorHAnsi"/>
          <w:b/>
          <w:bCs/>
          <w:sz w:val="24"/>
          <w:szCs w:val="24"/>
        </w:rPr>
        <w:t>4 Computation and Operating Environment Optimization</w:t>
      </w:r>
    </w:p>
    <w:p>
      <w:pPr>
        <w:pStyle w:val="Normal"/>
        <w:spacing w:lineRule="auto" w:line="276"/>
        <w:jc w:val="both"/>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spacing w:lineRule="auto" w:line="276"/>
        <w:jc w:val="both"/>
        <w:rPr>
          <w:rFonts w:ascii="Calibri" w:hAnsi="Calibri" w:cs="Calibri" w:asciiTheme="minorHAnsi" w:cstheme="minorHAnsi" w:hAnsiTheme="minorHAnsi"/>
          <w:sz w:val="20"/>
          <w:szCs w:val="20"/>
        </w:rPr>
      </w:pPr>
      <w:r>
        <w:rPr>
          <w:rFonts w:cs="Calibri" w:ascii="Calibri" w:hAnsi="Calibri" w:cstheme="minorHAnsi"/>
          <w:sz w:val="20"/>
          <w:szCs w:val="20"/>
        </w:rPr>
        <w:t>Experiments involved two different computer setups, namely the development environment on an Arch Linux workstation, where exploration and development of the code took place, and the Ubuntu server set up on Proxmox for comprehensive execution. The presence of two Intel Xeon processors, massive memory, and speedy storage made this server the hub for all data-related tasks. These tasks can be made even faster through the integration of math libraries such as NumPy, SciPy, pandas, and scikit-learn with Intel’s Math Kernel Library, setting up parameters for handling threads, and making use of Modin and Ray for handling data processing tasks. Use of Parquet to store temporary datasets adds to the optimality of this system, as processing massive numbers of data is made simpler.</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b/>
          <w:bCs/>
          <w:sz w:val="24"/>
          <w:szCs w:val="24"/>
        </w:rPr>
      </w:pPr>
      <w:r>
        <w:rPr>
          <w:rFonts w:cs="Calibri" w:ascii="Calibri" w:hAnsi="Calibri" w:cstheme="minorHAnsi"/>
          <w:b/>
          <w:bCs/>
          <w:sz w:val="24"/>
          <w:szCs w:val="24"/>
        </w:rPr>
        <w:t>5 Data Aggregation and Feature Engineering</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sz w:val="20"/>
          <w:szCs w:val="20"/>
        </w:rPr>
      </w:pPr>
      <w:r>
        <w:rPr>
          <w:rFonts w:cs="Calibri" w:ascii="Calibri" w:hAnsi="Calibri" w:cstheme="minorHAnsi"/>
          <w:sz w:val="20"/>
          <w:szCs w:val="20"/>
        </w:rPr>
        <w:t>Crime data was aggregated on a monthly basis for each Lower Layer Super Output Area (LSOA) to obtain the target variable. After combining socio-economic variables, a number of engineered variables were created to increase model accuracy, such as crime rate normalized for population, lagged crime for previous months, time-related descriptors such as month number, season, and year, and percentage changes from previous observations. Engineered Variables help to extract the influence of seasonality, population, and socio-economic factors on crime behavior.</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b/>
          <w:bCs/>
          <w:sz w:val="24"/>
          <w:szCs w:val="24"/>
        </w:rPr>
      </w:pPr>
      <w:r>
        <w:rPr>
          <w:rFonts w:cs="Calibri" w:ascii="Calibri" w:hAnsi="Calibri" w:cstheme="minorHAnsi"/>
          <w:b/>
          <w:bCs/>
          <w:sz w:val="24"/>
          <w:szCs w:val="24"/>
        </w:rPr>
        <w:t>6 Data Splitting Strategy</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sz w:val="20"/>
          <w:szCs w:val="20"/>
        </w:rPr>
      </w:pPr>
      <w:r>
        <w:rPr>
          <w:rFonts w:cs="Calibri" w:ascii="Calibri" w:hAnsi="Calibri" w:cstheme="minorHAnsi"/>
          <w:sz w:val="20"/>
          <w:szCs w:val="20"/>
        </w:rPr>
        <w:t>Two data splitting techniques that dealt with maintaining the chronological ordering of data to ensure that leakage was avoided. In the first, the optimal proportion suggested by Joseph (2022) was adopted, where about 79.9%, 8.9%, and 11.2% of the data was used for training, validation, and testing, respectively. The underlying motivation was to maximize the reduction of generalization error. In the other, a standard splitting method was applied, where 40%, 30%, and 30% of the data was for training, validation, and testing, respectively. Employing the two splitting methods enabled a comparison to be made.</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b/>
          <w:bCs/>
          <w:sz w:val="24"/>
          <w:szCs w:val="24"/>
        </w:rPr>
      </w:pPr>
      <w:r>
        <w:rPr>
          <w:rFonts w:cs="Calibri" w:ascii="Calibri" w:hAnsi="Calibri" w:cstheme="minorHAnsi"/>
          <w:b/>
          <w:bCs/>
          <w:sz w:val="24"/>
          <w:szCs w:val="24"/>
        </w:rPr>
        <w:t>7 Model Selection &amp; Rationale</w:t>
      </w:r>
    </w:p>
    <w:p>
      <w:pPr>
        <w:pStyle w:val="Normal"/>
        <w:spacing w:lineRule="auto" w:line="276"/>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spacing w:lineRule="auto" w:line="276"/>
        <w:jc w:val="both"/>
        <w:rPr>
          <w:rFonts w:ascii="Calibri" w:hAnsi="Calibri" w:cs="Calibri" w:asciiTheme="minorHAnsi" w:cstheme="minorHAnsi" w:hAnsiTheme="minorHAnsi"/>
          <w:sz w:val="20"/>
          <w:szCs w:val="20"/>
        </w:rPr>
      </w:pPr>
      <w:r>
        <w:rPr>
          <w:rFonts w:cs="Calibri" w:ascii="Calibri" w:hAnsi="Calibri" w:cstheme="minorHAnsi"/>
          <w:sz w:val="20"/>
          <w:szCs w:val="20"/>
        </w:rPr>
        <w:t>The modeling phase relied on a set of three algorithms, each selected because of its complementary strengths. OLS Regression was included because of its interpretability properties and known linear relationships between socio-economic factors, making them relevant for our model. It was complemented by Random Forest Regression, known for its ability to generalize well to noisy data and handling non-linear relationships, besides yielding feature importance scores. XG Boost Regression was selected because of its prowess in tabular machine learning tasks, its efficiency, even on larger datasets, and its ability to make optimal use of multiple cores.</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b/>
          <w:bCs/>
          <w:sz w:val="24"/>
          <w:szCs w:val="24"/>
        </w:rPr>
      </w:pPr>
      <w:r>
        <w:rPr>
          <w:rFonts w:cs="Calibri" w:ascii="Calibri" w:hAnsi="Calibri" w:cstheme="minorHAnsi"/>
          <w:b/>
          <w:bCs/>
          <w:sz w:val="24"/>
          <w:szCs w:val="24"/>
        </w:rPr>
        <w:t>8 Prediction Without Future Forecasting</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sz w:val="20"/>
          <w:szCs w:val="20"/>
        </w:rPr>
        <w:t>Although the task is not extended into the futures after the last available month, nevertheless, the task is essentially predictive. It is possible to train a model on previous periods and test the model on the subsequent periods that lie within the available range, such that the model makes predictions for periods that lie within the future relative to the training procedure, from the viewpoint of the learning procedure. This is a standard way of carrying out prediction within scholarship.</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b/>
          <w:bCs/>
          <w:sz w:val="20"/>
          <w:szCs w:val="20"/>
        </w:rPr>
      </w:pPr>
      <w:r>
        <w:rPr>
          <w:rFonts w:cs="Calibri" w:cstheme="minorHAnsi" w:ascii="Calibri" w:hAnsi="Calibri"/>
          <w:b/>
          <w:bCs/>
          <w:sz w:val="20"/>
          <w:szCs w:val="20"/>
        </w:rPr>
      </w:r>
    </w:p>
    <w:p>
      <w:pPr>
        <w:pStyle w:val="Normal"/>
        <w:rPr>
          <w:rFonts w:ascii="Calibri" w:hAnsi="Calibri" w:cs="Calibri" w:asciiTheme="minorHAnsi" w:cstheme="minorHAnsi" w:hAnsiTheme="minorHAnsi"/>
          <w:b/>
          <w:bCs/>
          <w:sz w:val="24"/>
          <w:szCs w:val="24"/>
        </w:rPr>
      </w:pPr>
      <w:r>
        <w:rPr>
          <w:rFonts w:cs="Calibri" w:ascii="Calibri" w:hAnsi="Calibri" w:cstheme="minorHAnsi"/>
          <w:b/>
          <w:bCs/>
          <w:sz w:val="24"/>
          <w:szCs w:val="24"/>
        </w:rPr>
        <w:t>9 Conclusion</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sz w:val="20"/>
          <w:szCs w:val="20"/>
        </w:rPr>
        <w:t>The importance of this project is that it establishes a credible, methodologically sound, and broad-based crime prediction pipeline for the UK's Lower Super Output Areas. By relying on a thorough gathering of data, combining socio-economic factors, using a data-efficient schema such as Parquet, making system-level optimizations, as well as multiple prediction and evaluation methods, this research is able to provide a strong foundation for its prediction model. Even without predictions made outside of the known time boundaries, the focus on temporal-based evaluation methods is what keeps this, or any, research grounded and relevant to a method of supervised prediction.</w:t>
      </w:r>
    </w:p>
    <w:p>
      <w:pPr>
        <w:pStyle w:val="Normal"/>
        <w:rPr/>
      </w:pPr>
      <w:r>
        <w:rPr>
          <w:rFonts w:cs="Calibri" w:ascii="Calibri" w:hAnsi="Calibri" w:asciiTheme="minorHAnsi" w:cstheme="minorHAnsi" w:hAnsiTheme="minorHAnsi"/>
          <w:sz w:val="20"/>
          <w:szCs w:val="20"/>
        </w:rPr>
        <w:br/>
        <w:br/>
      </w:r>
      <w:r>
        <w:rPr>
          <w:rFonts w:cs="Calibri" w:ascii="Calibri" w:hAnsi="Calibri" w:asciiTheme="minorHAnsi" w:cstheme="minorHAnsi" w:hAnsiTheme="minorHAnsi"/>
          <w:b/>
          <w:bCs/>
          <w:sz w:val="24"/>
          <w:szCs w:val="24"/>
          <w:lang w:eastAsia="en-US"/>
        </w:rPr>
        <w:t>10 Datasets used</w:t>
      </w:r>
      <w:r>
        <w:rPr>
          <w:rFonts w:cs="Calibri" w:ascii="Calibri" w:hAnsi="Calibri" w:asciiTheme="minorHAnsi" w:cstheme="minorHAnsi" w:hAnsiTheme="minorHAnsi"/>
          <w:sz w:val="20"/>
          <w:szCs w:val="20"/>
        </w:rPr>
        <w:br/>
        <w:br/>
        <w:t>10.</w:t>
      </w:r>
      <w:r>
        <w:rPr>
          <w:rFonts w:cs="Calibri" w:ascii="Calibri" w:hAnsi="Calibri" w:asciiTheme="minorHAnsi" w:cstheme="minorHAnsi" w:hAnsiTheme="minorHAnsi"/>
          <w:b/>
          <w:bCs/>
          <w:sz w:val="20"/>
          <w:szCs w:val="20"/>
        </w:rPr>
        <w:t>1. UK Police Monthly Street Level Crime Data (2022-2025</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sz w:val="20"/>
          <w:szCs w:val="20"/>
        </w:rPr>
        <w:t>The crime data from the United Kingdom’s Home Office, available through its Police Data Portal, was chosen for its completeness and richness. These crime datasets contain crime observations for all police forces across the United Kingdom’s regions of England, Wales, and Northern Ireland, along with necessary details such as crime type, spatial location through the aid of crime coordinates, crime result, and the corresponding Lower Layer Super Output Area, among other parameters. The standard format of these crime data, being monthly, makes them apt for time series analyses. Moreover, these crime data employ the spatial unit of LSOA, making them apt for the required predictive task’s spatial domain. Thence, crime data from the periods of 2022-2025 was obtained through API requests and command line downloads to reduce any service downtime. Crime data for each of these months was combined into a combined data set comprising 14.5 million crime events, aggregating them to obtain the required crime variable ‘crime_count.’</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b/>
          <w:bCs/>
          <w:sz w:val="20"/>
          <w:szCs w:val="20"/>
        </w:rPr>
      </w:pPr>
      <w:r>
        <w:rPr>
          <w:rFonts w:cs="Calibri" w:ascii="Calibri" w:hAnsi="Calibri" w:cstheme="minorHAnsi"/>
          <w:b/>
          <w:bCs/>
          <w:sz w:val="20"/>
          <w:szCs w:val="20"/>
        </w:rPr>
        <w:t>10.2. Census 2021 - TS001 Residence Type (LSOA Level)</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sz w:val="20"/>
          <w:szCs w:val="20"/>
        </w:rPr>
        <w:t>The population data, sourced from Office for National Statistics and Nomis, available through a link provided at https://www.nomisweb.co.uk/sources/census_2021_bulk, was used to provide the total population for each LSOA. Crime rate and crime-normalized statistics require population figures. These statistics can neither be derived nor verified without population figures. It is because of this that population is a basic demographic statistic for crime rate calculation.</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b/>
          <w:bCs/>
          <w:sz w:val="20"/>
          <w:szCs w:val="20"/>
        </w:rPr>
      </w:pPr>
      <w:r>
        <w:rPr>
          <w:rFonts w:cs="Calibri" w:ascii="Calibri" w:hAnsi="Calibri" w:cstheme="minorHAnsi"/>
          <w:b/>
          <w:bCs/>
          <w:sz w:val="20"/>
          <w:szCs w:val="20"/>
        </w:rPr>
        <w:t>10.3. Census 2021 – TS006 Population Density</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sz w:val="20"/>
          <w:szCs w:val="20"/>
        </w:rPr>
        <w:t>Data on population density, available through ONS and Nomis from the same source and stored in census2021-ts006-lsoa.csv, shows the population per square kilometer for each LSOA. It is directly linked to crime patterns and thus is a strong candidate to be added to the set of predictors. It addresses possible concentration of crime events.</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b/>
          <w:bCs/>
          <w:sz w:val="20"/>
          <w:szCs w:val="20"/>
        </w:rPr>
      </w:pPr>
      <w:r>
        <w:rPr>
          <w:rFonts w:cs="Calibri" w:ascii="Calibri" w:hAnsi="Calibri" w:cstheme="minorHAnsi"/>
          <w:b/>
          <w:bCs/>
          <w:sz w:val="20"/>
          <w:szCs w:val="20"/>
        </w:rPr>
        <w:t>10.4. Census 2021 - TS011 Household Deprivation</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sz w:val="20"/>
          <w:szCs w:val="20"/>
        </w:rPr>
        <w:t>Residential deprivation data from Nomis, available through census2021_bulk, is provided within census2021-ts011-lsoa.csv. This data was incorporated to include different dimensions of socio-economic deprivation on the LSOA. It is known through academic research that crime is linked to higher levels of deprivation, thus justifying the inclusion of this variable to improve the scope of crime risk.</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b/>
          <w:bCs/>
          <w:sz w:val="20"/>
          <w:szCs w:val="20"/>
        </w:rPr>
      </w:pPr>
      <w:r>
        <w:rPr>
          <w:rFonts w:cs="Calibri" w:ascii="Calibri" w:hAnsi="Calibri" w:cstheme="minorHAnsi"/>
          <w:b/>
          <w:bCs/>
          <w:sz w:val="20"/>
          <w:szCs w:val="20"/>
        </w:rPr>
        <w:t>10.5. Census 2021 - TS066 Economic Activity Status</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sz w:val="20"/>
          <w:szCs w:val="20"/>
        </w:rPr>
        <w:t>Economic Activity Indicators, obtained from the same ONS/Nomis sources in the census2021-ts066-lsoa.csv file, were added because of their significance to labor market dynamics, such as employment, unemployment, and the economy, among others. They can be linked to dynamics of crime and form vital background information.</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b/>
          <w:bCs/>
          <w:sz w:val="20"/>
          <w:szCs w:val="20"/>
        </w:rPr>
      </w:pPr>
      <w:r>
        <w:rPr>
          <w:rFonts w:cs="Calibri" w:ascii="Calibri" w:hAnsi="Calibri" w:cstheme="minorHAnsi"/>
          <w:b/>
          <w:bCs/>
          <w:sz w:val="20"/>
          <w:szCs w:val="20"/>
        </w:rPr>
        <w:t>10.6. Census 2021 – TS067 Highest Level of Qualification</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sz w:val="20"/>
          <w:szCs w:val="20"/>
        </w:rPr>
        <w:t>The variable of educational attainment, gathered from ONS/Nomis and available within census2021-ts067-lsoa.csv, was chosen because there appeared a correlation between crime patterns, opportunities, and attainment.</w:t>
      </w:r>
    </w:p>
    <w:p>
      <w:pPr>
        <w:pStyle w:val="Normal"/>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rPr>
          <w:rFonts w:ascii="Calibri" w:hAnsi="Calibri" w:cs="Calibri" w:asciiTheme="minorHAnsi" w:cstheme="minorHAnsi" w:hAnsiTheme="minorHAnsi"/>
          <w:sz w:val="20"/>
          <w:szCs w:val="20"/>
        </w:rPr>
      </w:pPr>
      <w:r>
        <w:rPr>
          <w:rFonts w:cs="Calibri" w:ascii="Calibri" w:hAnsi="Calibri" w:cstheme="minorHAnsi"/>
          <w:b/>
          <w:bCs/>
          <w:sz w:val="20"/>
          <w:szCs w:val="20"/>
        </w:rPr>
        <w:t>10.7. LSOA 202 Boundary data for LSOAs from the ONS GeoPortal website</w:t>
      </w:r>
      <w:r>
        <w:rPr>
          <w:rFonts w:cs="Calibri" w:ascii="Calibri" w:hAnsi="Calibri" w:cstheme="minorHAnsi"/>
          <w:sz w:val="20"/>
          <w:szCs w:val="20"/>
        </w:rPr>
        <w:t xml:space="preserve"> (https://geoportal.statistics.gov.uk/datasets/ons::lower-layer-super-output-areas-december-2021-boundaries-uk-bgc/about) was vital for the boundary definitions necessary to create geographically-enabled representations of crime. These shape files determine the boundaries of each LSOA, necessary for creating a choropleth or even carrying out geographically-informed analyses.</w:t>
      </w:r>
    </w:p>
    <w:p>
      <w:pPr>
        <w:pStyle w:val="Normal"/>
        <w:rPr>
          <w:rFonts w:ascii="Calibri" w:hAnsi="Calibri" w:cs="Calibri" w:asciiTheme="minorHAnsi" w:cstheme="minorHAnsi" w:hAnsiTheme="minorHAnsi"/>
          <w:sz w:val="24"/>
          <w:szCs w:val="24"/>
        </w:rPr>
      </w:pPr>
      <w:r>
        <w:rPr>
          <w:rFonts w:cs="Calibri" w:ascii="Calibri" w:hAnsi="Calibri" w:cstheme="minorHAnsi"/>
          <w:sz w:val="24"/>
          <w:szCs w:val="24"/>
        </w:rPr>
        <w:br/>
      </w:r>
    </w:p>
    <w:tbl>
      <w:tblPr>
        <w:tblW w:w="10354" w:type="dxa"/>
        <w:jc w:val="start"/>
        <w:tblInd w:w="0" w:type="dxa"/>
        <w:tblLayout w:type="fixed"/>
        <w:tblCellMar>
          <w:top w:w="28" w:type="dxa"/>
          <w:start w:w="28" w:type="dxa"/>
          <w:bottom w:w="28" w:type="dxa"/>
          <w:end w:w="28" w:type="dxa"/>
        </w:tblCellMar>
      </w:tblPr>
      <w:tblGrid>
        <w:gridCol w:w="2240"/>
        <w:gridCol w:w="3073"/>
        <w:gridCol w:w="5041"/>
      </w:tblGrid>
      <w:tr>
        <w:trPr>
          <w:tblHeader w:val="true"/>
        </w:trPr>
        <w:tc>
          <w:tcPr>
            <w:tcW w:w="2240" w:type="dxa"/>
            <w:tcBorders/>
            <w:vAlign w:val="center"/>
          </w:tcPr>
          <w:p>
            <w:pPr>
              <w:pStyle w:val="TableHeading"/>
              <w:rPr/>
            </w:pPr>
            <w:r>
              <w:rPr/>
              <w:t>Dataset</w:t>
            </w:r>
          </w:p>
        </w:tc>
        <w:tc>
          <w:tcPr>
            <w:tcW w:w="3073" w:type="dxa"/>
            <w:tcBorders/>
            <w:vAlign w:val="center"/>
          </w:tcPr>
          <w:p>
            <w:pPr>
              <w:pStyle w:val="TableHeading"/>
              <w:rPr/>
            </w:pPr>
            <w:r>
              <w:rPr/>
              <w:t>Purpose</w:t>
            </w:r>
          </w:p>
        </w:tc>
        <w:tc>
          <w:tcPr>
            <w:tcW w:w="5041" w:type="dxa"/>
            <w:tcBorders/>
            <w:vAlign w:val="center"/>
          </w:tcPr>
          <w:p>
            <w:pPr>
              <w:pStyle w:val="TableHeading"/>
              <w:rPr/>
            </w:pPr>
            <w:r>
              <w:rPr/>
              <w:t>Why It Was Chosen</w:t>
            </w:r>
          </w:p>
        </w:tc>
      </w:tr>
      <w:tr>
        <w:trPr/>
        <w:tc>
          <w:tcPr>
            <w:tcW w:w="2240" w:type="dxa"/>
            <w:tcBorders/>
            <w:vAlign w:val="center"/>
          </w:tcPr>
          <w:p>
            <w:pPr>
              <w:pStyle w:val="TableContents"/>
              <w:rPr/>
            </w:pPr>
            <w:r>
              <w:rPr/>
              <w:t>UK Police crime data</w:t>
            </w:r>
          </w:p>
        </w:tc>
        <w:tc>
          <w:tcPr>
            <w:tcW w:w="3073" w:type="dxa"/>
            <w:tcBorders/>
            <w:vAlign w:val="center"/>
          </w:tcPr>
          <w:p>
            <w:pPr>
              <w:pStyle w:val="TableContents"/>
              <w:rPr/>
            </w:pPr>
            <w:r>
              <w:rPr/>
              <w:t>Target variable (</w:t>
            </w:r>
            <w:r>
              <w:rPr>
                <w:rStyle w:val="SourceText"/>
              </w:rPr>
              <w:t>crime_count</w:t>
            </w:r>
            <w:r>
              <w:rPr/>
              <w:t>)</w:t>
            </w:r>
          </w:p>
        </w:tc>
        <w:tc>
          <w:tcPr>
            <w:tcW w:w="5041" w:type="dxa"/>
            <w:tcBorders/>
            <w:vAlign w:val="center"/>
          </w:tcPr>
          <w:p>
            <w:pPr>
              <w:pStyle w:val="TableContents"/>
              <w:rPr/>
            </w:pPr>
            <w:r>
              <w:rPr/>
              <w:t>Most detailed and temporal crime dataset available</w:t>
            </w:r>
          </w:p>
        </w:tc>
      </w:tr>
      <w:tr>
        <w:trPr/>
        <w:tc>
          <w:tcPr>
            <w:tcW w:w="2240" w:type="dxa"/>
            <w:tcBorders/>
            <w:vAlign w:val="center"/>
          </w:tcPr>
          <w:p>
            <w:pPr>
              <w:pStyle w:val="TableContents"/>
              <w:rPr/>
            </w:pPr>
            <w:r>
              <w:rPr/>
              <w:t>Census TS001</w:t>
            </w:r>
          </w:p>
        </w:tc>
        <w:tc>
          <w:tcPr>
            <w:tcW w:w="3073" w:type="dxa"/>
            <w:tcBorders/>
            <w:vAlign w:val="center"/>
          </w:tcPr>
          <w:p>
            <w:pPr>
              <w:pStyle w:val="TableContents"/>
              <w:rPr/>
            </w:pPr>
            <w:r>
              <w:rPr/>
              <w:t>Population</w:t>
            </w:r>
          </w:p>
        </w:tc>
        <w:tc>
          <w:tcPr>
            <w:tcW w:w="5041" w:type="dxa"/>
            <w:tcBorders/>
            <w:vAlign w:val="center"/>
          </w:tcPr>
          <w:p>
            <w:pPr>
              <w:pStyle w:val="TableContents"/>
              <w:rPr/>
            </w:pPr>
            <w:r>
              <w:rPr/>
              <w:t>Required for crime rate normalisation</w:t>
            </w:r>
          </w:p>
        </w:tc>
      </w:tr>
      <w:tr>
        <w:trPr/>
        <w:tc>
          <w:tcPr>
            <w:tcW w:w="2240" w:type="dxa"/>
            <w:tcBorders/>
            <w:vAlign w:val="center"/>
          </w:tcPr>
          <w:p>
            <w:pPr>
              <w:pStyle w:val="TableContents"/>
              <w:rPr/>
            </w:pPr>
            <w:r>
              <w:rPr/>
              <w:t>Census TS006</w:t>
            </w:r>
          </w:p>
        </w:tc>
        <w:tc>
          <w:tcPr>
            <w:tcW w:w="3073" w:type="dxa"/>
            <w:tcBorders/>
            <w:vAlign w:val="center"/>
          </w:tcPr>
          <w:p>
            <w:pPr>
              <w:pStyle w:val="TableContents"/>
              <w:rPr/>
            </w:pPr>
            <w:r>
              <w:rPr/>
              <w:t>Density</w:t>
            </w:r>
          </w:p>
        </w:tc>
        <w:tc>
          <w:tcPr>
            <w:tcW w:w="5041" w:type="dxa"/>
            <w:tcBorders/>
            <w:vAlign w:val="center"/>
          </w:tcPr>
          <w:p>
            <w:pPr>
              <w:pStyle w:val="TableContents"/>
              <w:rPr/>
            </w:pPr>
            <w:r>
              <w:rPr/>
              <w:t>Strong predictor of crime occurrence</w:t>
            </w:r>
          </w:p>
        </w:tc>
      </w:tr>
      <w:tr>
        <w:trPr/>
        <w:tc>
          <w:tcPr>
            <w:tcW w:w="2240" w:type="dxa"/>
            <w:tcBorders/>
            <w:vAlign w:val="center"/>
          </w:tcPr>
          <w:p>
            <w:pPr>
              <w:pStyle w:val="TableContents"/>
              <w:rPr/>
            </w:pPr>
            <w:r>
              <w:rPr/>
              <w:t>Census TS011</w:t>
            </w:r>
          </w:p>
        </w:tc>
        <w:tc>
          <w:tcPr>
            <w:tcW w:w="3073" w:type="dxa"/>
            <w:tcBorders/>
            <w:vAlign w:val="center"/>
          </w:tcPr>
          <w:p>
            <w:pPr>
              <w:pStyle w:val="TableContents"/>
              <w:rPr/>
            </w:pPr>
            <w:r>
              <w:rPr/>
              <w:t>Deprivation</w:t>
            </w:r>
          </w:p>
        </w:tc>
        <w:tc>
          <w:tcPr>
            <w:tcW w:w="5041" w:type="dxa"/>
            <w:tcBorders/>
            <w:vAlign w:val="center"/>
          </w:tcPr>
          <w:p>
            <w:pPr>
              <w:pStyle w:val="TableContents"/>
              <w:rPr/>
            </w:pPr>
            <w:r>
              <w:rPr/>
              <w:t>Key socio-economic crime correlate</w:t>
            </w:r>
          </w:p>
        </w:tc>
      </w:tr>
      <w:tr>
        <w:trPr/>
        <w:tc>
          <w:tcPr>
            <w:tcW w:w="2240" w:type="dxa"/>
            <w:tcBorders/>
            <w:vAlign w:val="center"/>
          </w:tcPr>
          <w:p>
            <w:pPr>
              <w:pStyle w:val="TableContents"/>
              <w:rPr/>
            </w:pPr>
            <w:r>
              <w:rPr/>
              <w:t>Census TS066</w:t>
            </w:r>
          </w:p>
        </w:tc>
        <w:tc>
          <w:tcPr>
            <w:tcW w:w="3073" w:type="dxa"/>
            <w:tcBorders/>
            <w:vAlign w:val="center"/>
          </w:tcPr>
          <w:p>
            <w:pPr>
              <w:pStyle w:val="TableContents"/>
              <w:rPr/>
            </w:pPr>
            <w:r>
              <w:rPr/>
              <w:t>Economic activity</w:t>
            </w:r>
          </w:p>
        </w:tc>
        <w:tc>
          <w:tcPr>
            <w:tcW w:w="5041" w:type="dxa"/>
            <w:tcBorders/>
            <w:vAlign w:val="center"/>
          </w:tcPr>
          <w:p>
            <w:pPr>
              <w:pStyle w:val="TableContents"/>
              <w:rPr/>
            </w:pPr>
            <w:r>
              <w:rPr/>
              <w:t>Captures labour market effects on crime</w:t>
            </w:r>
          </w:p>
        </w:tc>
      </w:tr>
      <w:tr>
        <w:trPr/>
        <w:tc>
          <w:tcPr>
            <w:tcW w:w="2240" w:type="dxa"/>
            <w:tcBorders/>
            <w:vAlign w:val="center"/>
          </w:tcPr>
          <w:p>
            <w:pPr>
              <w:pStyle w:val="TableContents"/>
              <w:rPr/>
            </w:pPr>
            <w:r>
              <w:rPr/>
              <w:t>Census TS067</w:t>
            </w:r>
          </w:p>
        </w:tc>
        <w:tc>
          <w:tcPr>
            <w:tcW w:w="3073" w:type="dxa"/>
            <w:tcBorders/>
            <w:vAlign w:val="center"/>
          </w:tcPr>
          <w:p>
            <w:pPr>
              <w:pStyle w:val="TableContents"/>
              <w:rPr/>
            </w:pPr>
            <w:r>
              <w:rPr/>
              <w:t>Education</w:t>
            </w:r>
          </w:p>
        </w:tc>
        <w:tc>
          <w:tcPr>
            <w:tcW w:w="5041" w:type="dxa"/>
            <w:tcBorders/>
            <w:vAlign w:val="center"/>
          </w:tcPr>
          <w:p>
            <w:pPr>
              <w:pStyle w:val="TableContents"/>
              <w:rPr/>
            </w:pPr>
            <w:r>
              <w:rPr/>
              <w:t>Reflects structural inequalities</w:t>
            </w:r>
          </w:p>
        </w:tc>
      </w:tr>
      <w:tr>
        <w:trPr/>
        <w:tc>
          <w:tcPr>
            <w:tcW w:w="2240" w:type="dxa"/>
            <w:tcBorders/>
            <w:vAlign w:val="center"/>
          </w:tcPr>
          <w:p>
            <w:pPr>
              <w:pStyle w:val="TableContents"/>
              <w:rPr/>
            </w:pPr>
            <w:r>
              <w:rPr/>
              <w:t>ONS LSOA boundaries</w:t>
            </w:r>
          </w:p>
        </w:tc>
        <w:tc>
          <w:tcPr>
            <w:tcW w:w="3073" w:type="dxa"/>
            <w:tcBorders/>
            <w:vAlign w:val="center"/>
          </w:tcPr>
          <w:p>
            <w:pPr>
              <w:pStyle w:val="TableContents"/>
              <w:rPr/>
            </w:pPr>
            <w:r>
              <w:rPr/>
              <w:t>Geospatial mapping</w:t>
            </w:r>
          </w:p>
        </w:tc>
        <w:tc>
          <w:tcPr>
            <w:tcW w:w="5041" w:type="dxa"/>
            <w:tcBorders/>
            <w:vAlign w:val="center"/>
          </w:tcPr>
          <w:p>
            <w:pPr>
              <w:pStyle w:val="TableContents"/>
              <w:rPr/>
            </w:pPr>
            <w:r>
              <w:rPr/>
              <w:t>Needed for choropleth visualisation</w:t>
            </w:r>
          </w:p>
        </w:tc>
      </w:tr>
    </w:tbl>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r>
        <w:br w:type="page"/>
      </w:r>
    </w:p>
    <w:tbl>
      <w:tblPr>
        <w:tblStyle w:val="TableGrid"/>
        <w:tblW w:w="10602" w:type="dxa"/>
        <w:jc w:val="start"/>
        <w:tblInd w:w="-15" w:type="dxa"/>
        <w:tblLayout w:type="fixed"/>
        <w:tblCellMar>
          <w:top w:w="0" w:type="dxa"/>
          <w:start w:w="108" w:type="dxa"/>
          <w:bottom w:w="0" w:type="dxa"/>
          <w:end w:w="108" w:type="dxa"/>
        </w:tblCellMar>
        <w:tblLook w:val="04a0" w:noHBand="0" w:noVBand="1" w:firstColumn="1" w:lastRow="0" w:lastColumn="0" w:firstRow="1"/>
      </w:tblPr>
      <w:tblGrid>
        <w:gridCol w:w="10602"/>
      </w:tblGrid>
      <w:tr>
        <w:trPr>
          <w:trHeight w:val="397" w:hRule="atLeast"/>
        </w:trPr>
        <w:tc>
          <w:tcPr>
            <w:tcW w:w="10602" w:type="dxa"/>
            <w:tcBorders>
              <w:top w:val="double" w:sz="4" w:space="0" w:color="000000"/>
              <w:start w:val="double" w:sz="4" w:space="0" w:color="000000"/>
              <w:bottom w:val="double" w:sz="4" w:space="0" w:color="000000"/>
              <w:end w:val="double" w:sz="4" w:space="0" w:color="000000"/>
            </w:tcBorders>
            <w:vAlign w:val="center"/>
          </w:tcPr>
          <w:p>
            <w:pPr>
              <w:pStyle w:val="Normal"/>
              <w:pageBreakBefore/>
              <w:widowControl/>
              <w:suppressAutoHyphens w:val="true"/>
              <w:spacing w:lineRule="auto" w:line="276" w:before="0" w:after="0"/>
              <w:jc w:val="center"/>
              <w:rPr>
                <w:rFonts w:cs="Calibri" w:cstheme="minorHAnsi"/>
                <w:b/>
                <w:bCs/>
                <w:sz w:val="40"/>
                <w:szCs w:val="40"/>
              </w:rPr>
            </w:pPr>
            <w:r>
              <w:rPr>
                <w:rFonts w:eastAsia="" w:cs="Calibri" w:ascii="Calibri" w:hAnsi="Calibri" w:cstheme="minorHAnsi"/>
                <w:b/>
                <w:bCs/>
                <w:kern w:val="0"/>
                <w:sz w:val="40"/>
                <w:szCs w:val="40"/>
                <w:lang w:val="en-GB" w:bidi="ar-SA"/>
              </w:rPr>
              <w:t>Machine Translation: A Literature Review</w:t>
            </w:r>
          </w:p>
        </w:tc>
      </w:tr>
    </w:tbl>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BodyText"/>
        <w:rPr>
          <w:b/>
          <w:bCs/>
        </w:rPr>
      </w:pPr>
      <w:r>
        <w:rPr>
          <w:b/>
          <w:bCs/>
        </w:rPr>
        <w:t>11 Abstract</w:t>
      </w:r>
    </w:p>
    <w:p>
      <w:pPr>
        <w:pStyle w:val="BodyText"/>
        <w:rPr/>
      </w:pPr>
      <w:r>
        <w:rPr/>
      </w:r>
    </w:p>
    <w:p>
      <w:pPr>
        <w:pStyle w:val="BodyText"/>
        <w:rPr/>
      </w:pPr>
      <w:r>
        <w:rPr/>
        <w:t>This Literature Review examines key research activities pertaining to Neural Machine Translation that have originated at UK universities, focusing only on relevant works that fall within the bounds of allowed sources. It tracks developments from the era of Statistical Machine Translation through to Neural Machine Translation, pinpointing key architectural milestones and tracing the development of subwords. It also critiques domain adaptation techniques, system development from shared tasks, and the problems of Machine Translation evaluation, including translationese and statistical power. Recent advances for unsupervised quality estimation, uncertainty estimation for similarity sensitivity, and modern evaluation of translation quality using modern neural evaluation metrics such as COMET and BLEURT have also had a thorough review. Also prominently featured is multilingual and context-sensitive translation systems from the University of Edinburgh, exemplifying recent State of the Art techniques for document-level translation and multilingual translation. All of these works have, through this review, served to distill a unified narrative of Neural Machine Translation developments, led largely by architectural development, translation quality assessment, domain universality, and linguistic contextualization.</w:t>
      </w:r>
    </w:p>
    <w:p>
      <w:pPr>
        <w:pStyle w:val="BodyText"/>
        <w:rPr/>
      </w:pPr>
      <w:r>
        <w:rPr/>
      </w:r>
    </w:p>
    <w:p>
      <w:pPr>
        <w:pStyle w:val="BodyText"/>
        <w:rPr>
          <w:b/>
          <w:bCs/>
          <w:sz w:val="24"/>
          <w:szCs w:val="24"/>
        </w:rPr>
      </w:pPr>
      <w:r>
        <w:rPr>
          <w:b/>
          <w:bCs/>
          <w:sz w:val="24"/>
          <w:szCs w:val="24"/>
        </w:rPr>
        <w:t>12 Introduction</w:t>
      </w:r>
    </w:p>
    <w:p>
      <w:pPr>
        <w:pStyle w:val="BodyText"/>
        <w:rPr/>
      </w:pPr>
      <w:r>
        <w:rPr/>
        <w:t xml:space="preserve"> </w:t>
      </w:r>
      <w:r>
        <w:rPr/>
        <w:t>The last decade's speedy progression of Machine Translation (MT) is evidenced by a paradigm shift from Statistical Machine Translation (SMT) to Neural Machine Translation (NMT). Stahlberg (2020) emphasizes that, even if the initial successes of most of the last two decades of MT research had brought about a prevalence of phrase-based and hierarchical SMT models, these models' modular structure had necessarily limited long-distance dependencies and macroscopic meaning of the entire utterance. By contrast, NMT urges a holistic translation embedded within a unified, complete learnable system. This is again confirmed by Saunders (2022), who points out that the growing prowess of neural models, especially the version known as the encoder–decoder attention networks, and finally, the transformers, led to the prevailing adoption of the latter as a standard model for most research and practical tasks. The review is narrowly focused on the UK universities’ contributions to MT, especially pointing to contributions from the University of Cambridge, the University of Edinburgh, and the UK-related communities working on the evaluation of metrics. The review is formatted according to the template, encompassing a survey of foundational, domain adaptation, system-building, evaluation, multilingual translation, models of uncertainty, macroscopic models, and modern translation metrics.</w:t>
      </w:r>
    </w:p>
    <w:p>
      <w:pPr>
        <w:pStyle w:val="BodyText"/>
        <w:rPr/>
      </w:pPr>
      <w:r>
        <w:rPr>
          <w:rStyle w:val="Strong"/>
          <w:b/>
          <w:bCs/>
          <w:sz w:val="24"/>
          <w:szCs w:val="24"/>
        </w:rPr>
        <w:t>12 Fundamentals of Machine Translation</w:t>
      </w:r>
    </w:p>
    <w:p>
      <w:pPr>
        <w:pStyle w:val="BodyText"/>
        <w:rPr/>
      </w:pPr>
      <w:r>
        <w:rPr>
          <w:rStyle w:val="Strong"/>
          <w:b/>
          <w:bCs/>
          <w:sz w:val="22"/>
          <w:szCs w:val="22"/>
        </w:rPr>
        <w:t>12.1 Evolution towards the NMT</w:t>
      </w:r>
    </w:p>
    <w:p>
      <w:pPr>
        <w:pStyle w:val="BodyText"/>
        <w:rPr/>
      </w:pPr>
      <w:r>
        <w:rPr>
          <w:rStyle w:val="Strong"/>
          <w:b w:val="false"/>
          <w:bCs w:val="false"/>
        </w:rPr>
        <w:t>Stahlberg (2020) provides one of the most comprehensive general descriptions of the architectural changes that enabled NMT to outperform SMT. The first NMT systems used recurrent encoder-decoder models. The encoder converted a source sentence into a continuous vector representation, while the decoder generated the target sentence conditioned upon this representation. The introduction of attention mechanisms solved the problem of the single vector of fixed length being a bottleneck by letting the model dynamically pay attention to different parts of the source sentence during decoding (Stahlberg, 2020). This innovation dramatically improved the translation of longer and syntactically more complex sentences.</w:t>
      </w:r>
    </w:p>
    <w:p>
      <w:pPr>
        <w:pStyle w:val="BodyText"/>
        <w:rPr/>
      </w:pPr>
      <w:r>
        <w:rPr>
          <w:rStyle w:val="Strong"/>
          <w:b w:val="false"/>
          <w:bCs w:val="false"/>
        </w:rPr>
        <w:t>The Transformer models further revolutionized TA by replacing recurrency with self-attention layers, which allowed for parallelization and deeper architectures. According to Stahlberg (2020), Transformers became the dominant architecture due to their superior performance, efficient training, and robust handling of longdistance dependencies. The aforementioned architectural advances form the basis for all further developments in TA studied in the present review.</w:t>
      </w:r>
    </w:p>
    <w:p>
      <w:pPr>
        <w:pStyle w:val="BodyText"/>
        <w:rPr>
          <w:b w:val="false"/>
          <w:bCs w:val="false"/>
        </w:rPr>
      </w:pPr>
      <w:r>
        <w:rPr>
          <w:b w:val="false"/>
          <w:bCs w:val="false"/>
        </w:rPr>
      </w:r>
    </w:p>
    <w:p>
      <w:pPr>
        <w:pStyle w:val="BodyText"/>
        <w:rPr/>
      </w:pPr>
      <w:r>
        <w:rPr>
          <w:rStyle w:val="Strong"/>
          <w:b/>
          <w:bCs/>
          <w:sz w:val="22"/>
          <w:szCs w:val="22"/>
        </w:rPr>
        <w:t>13.2 Subword representation</w:t>
      </w:r>
    </w:p>
    <w:p>
      <w:pPr>
        <w:pStyle w:val="BodyText"/>
        <w:rPr/>
      </w:pPr>
      <w:r>
        <w:rPr>
          <w:rStyle w:val="Strong"/>
          <w:b w:val="false"/>
          <w:bCs w:val="false"/>
        </w:rPr>
        <w:t>Sennrich et al. (2016) addressed one of the key limitations of early non-verbal translation systems, which lay in the problem of translating low-frequency words and out-of-vocabulary ones. The authors introduced Byte-Pair Encoding (BPE), a subword-segmentation technique that tries to balance word-level and character-level modeling in training. BPE enables the model to represent rare or unknown words as sequences of more frequent subwords. This drastically cuts down vocabulary extension while at the same time improves the translation of flexive, compound, and morphologically rich forms. As discussed by Sennrich et al. (2016), subword-level modeling decreases the UNK token dependency while generating consistent improvements in all language pairs.</w:t>
      </w:r>
    </w:p>
    <w:p>
      <w:pPr>
        <w:pStyle w:val="BodyText"/>
        <w:spacing w:lineRule="auto" w:line="276" w:before="0" w:after="140"/>
        <w:rPr/>
      </w:pPr>
      <w:r>
        <w:rPr>
          <w:rStyle w:val="Strong"/>
          <w:sz w:val="24"/>
          <w:szCs w:val="24"/>
        </w:rPr>
        <w:t xml:space="preserve">14 </w:t>
      </w:r>
      <w:r>
        <w:rPr>
          <w:rStyle w:val="Strong"/>
          <w:b/>
          <w:bCs/>
          <w:sz w:val="24"/>
          <w:szCs w:val="24"/>
        </w:rPr>
        <w:t>Domain Adaptation and Real-World Systems</w:t>
      </w:r>
      <w:r>
        <w:rPr>
          <w:rStyle w:val="Strong"/>
          <w:b/>
          <w:bCs/>
        </w:rPr>
        <w:br/>
        <w:t>14</w:t>
      </w:r>
      <w:r>
        <w:rPr>
          <w:rStyle w:val="Strong"/>
          <w:b/>
          <w:bCs/>
          <w:sz w:val="22"/>
          <w:szCs w:val="22"/>
        </w:rPr>
        <w:t>.1 Domain Adaptation</w:t>
      </w:r>
      <w:r>
        <w:rPr>
          <w:rStyle w:val="Strong"/>
          <w:b w:val="false"/>
          <w:bCs w:val="false"/>
        </w:rPr>
        <w:br/>
        <w:t>Saunders (2022) presents a detailed review of domain adaptation techniques for NMT, an essential capability given neural models that are trained on large generic corpora usually perform poorly on specialist domains. Three key strategies are identified.</w:t>
        <w:br/>
        <w:t>First of all, fine-tuning, where a generic pre-trained NMT model is adapted using in-domain data, remains one of the most effective approaches. However, according to Saunders (2022), fine-tuning may lead to catastrophic forgetting of the source domain.</w:t>
        <w:br/>
        <w:t>Multidomain modeling trains a single model on multiple domains and introduces domain labels, domain-specific parameters, or expert combination approaches to maintain high performance across all domains. Saunders suggests multidomain architectures overcome some of the limitations with single-domain fine tuning and enable scalable adaptation.</w:t>
        <w:br/>
        <w:t>Thirdly, data selection methods select the most relevant sub-sets of training data for the target domain. These methodologies enhance the efficiency of training while noise reduction is achieved consequently. Saunders (2022) concludes that domain adaptation is still an active research domain as a result of domain imbalance, continuous domain shift, and integration of low-resource domains.</w:t>
      </w:r>
    </w:p>
    <w:p>
      <w:pPr>
        <w:pStyle w:val="BodyText"/>
        <w:rPr>
          <w:b w:val="false"/>
          <w:bCs w:val="false"/>
        </w:rPr>
      </w:pPr>
      <w:r>
        <w:rPr>
          <w:b/>
          <w:bCs/>
          <w:sz w:val="22"/>
          <w:szCs w:val="22"/>
        </w:rPr>
        <w:t>14.2 WMT Systems</w:t>
      </w:r>
      <w:r>
        <w:rPr>
          <w:b w:val="false"/>
          <w:bCs w:val="false"/>
        </w:rPr>
        <w:br/>
        <w:t>Real-world system-building is illustrated by the University of Cambridge's systems for WMT18. Stahlberg, de Gispert and Byrne (2018) describe a high-performance NMT system that incorporates a number of techniques: transformer architectures, noised reordering for data augmentation and multiple model ensembling for robustness. Their system also employed reordering and language modeling in order to refine the outputs. What Stahlberg et al. (2018) show is that practical performance in MT derives not just from architectural decisions but also from engineering processes involving data processing, model tuning and model combination.</w:t>
      </w:r>
    </w:p>
    <w:p>
      <w:pPr>
        <w:pStyle w:val="Heading2"/>
        <w:spacing w:lineRule="auto" w:line="276" w:before="0" w:after="140"/>
        <w:ind w:hanging="0" w:start="0"/>
        <w:rPr/>
      </w:pPr>
      <w:r>
        <w:rPr>
          <w:rStyle w:val="Strong"/>
          <w:b/>
          <w:bCs/>
          <w:sz w:val="24"/>
          <w:szCs w:val="24"/>
        </w:rPr>
        <w:t>15 Evaluation and Quality of Translation</w:t>
      </w:r>
    </w:p>
    <w:p>
      <w:pPr>
        <w:pStyle w:val="BodyText"/>
        <w:spacing w:lineRule="auto" w:line="276" w:before="0" w:after="140"/>
        <w:rPr/>
      </w:pPr>
      <w:r>
        <w:rPr>
          <w:rStyle w:val="Strong"/>
          <w:sz w:val="22"/>
          <w:szCs w:val="22"/>
        </w:rPr>
        <w:t>15.1 Problems in Evaluation</w:t>
      </w:r>
    </w:p>
    <w:p>
      <w:pPr>
        <w:pStyle w:val="BodyText"/>
        <w:spacing w:lineRule="auto" w:line="276" w:before="0" w:after="140"/>
        <w:rPr/>
      </w:pPr>
      <w:r>
        <w:rPr>
          <w:rStyle w:val="Strong"/>
          <w:b w:val="false"/>
          <w:bCs w:val="false"/>
        </w:rPr>
        <w:t>Graham, Haddow, and Koehn (2020) highlight critical methodological issues in machine translation evaluation, focusing on two key problems.</w:t>
      </w:r>
    </w:p>
    <w:p>
      <w:pPr>
        <w:pStyle w:val="BodyText"/>
        <w:spacing w:lineRule="auto" w:line="276" w:before="0" w:after="140"/>
        <w:rPr/>
      </w:pPr>
      <w:r>
        <w:rPr/>
      </w:r>
    </w:p>
    <w:p>
      <w:pPr>
        <w:pStyle w:val="BodyText"/>
        <w:spacing w:lineRule="auto" w:line="276" w:before="0" w:after="140"/>
        <w:rPr/>
      </w:pPr>
      <w:r>
        <w:rPr>
          <w:rStyle w:val="Strong"/>
          <w:b w:val="false"/>
          <w:bCs w:val="false"/>
        </w:rPr>
        <w:t>These include traductism, the phenomenon where test sets consist of sentences in the target language that were originally translated from another language. Graham et al. (2020) demonstrate that traductism artificially inflates machine translation performance estimates because these texts are simpler and more regular than naturally written language.</w:t>
      </w:r>
    </w:p>
    <w:p>
      <w:pPr>
        <w:pStyle w:val="BodyText"/>
        <w:spacing w:lineRule="auto" w:line="276" w:before="0" w:after="140"/>
        <w:rPr/>
      </w:pPr>
      <w:r>
        <w:rPr>
          <w:rStyle w:val="Strong"/>
          <w:b w:val="false"/>
          <w:bCs w:val="false"/>
        </w:rPr>
        <w:t>A second problem is the low statistical power of machine translation evaluations. They show that common evaluation practices, such as comparing small differences between models using BLEU, lead to unreliable conclusions. BLEU scores often fail to capture linguistic adequacy and tend to be sensitive to small variations in the corpus, rendering many of the claimed improvements statistically insignificant.</w:t>
      </w:r>
    </w:p>
    <w:p>
      <w:pPr>
        <w:pStyle w:val="BodyText"/>
        <w:spacing w:lineRule="auto" w:line="276" w:before="0" w:after="140"/>
        <w:rPr>
          <w:b w:val="false"/>
          <w:bCs w:val="false"/>
        </w:rPr>
      </w:pPr>
      <w:r>
        <w:rPr>
          <w:b w:val="false"/>
          <w:bCs w:val="false"/>
        </w:rPr>
      </w:r>
    </w:p>
    <w:p>
      <w:pPr>
        <w:pStyle w:val="BodyText"/>
        <w:spacing w:lineRule="auto" w:line="276" w:before="0" w:after="140"/>
        <w:rPr/>
      </w:pPr>
      <w:r>
        <w:rPr>
          <w:rStyle w:val="Strong"/>
          <w:sz w:val="22"/>
          <w:szCs w:val="22"/>
        </w:rPr>
        <w:t>15.2 Unsupervised Quality Assessment</w:t>
      </w:r>
    </w:p>
    <w:p>
      <w:pPr>
        <w:pStyle w:val="BodyText"/>
        <w:spacing w:lineRule="auto" w:line="276" w:before="0" w:after="140"/>
        <w:rPr/>
      </w:pPr>
      <w:r>
        <w:rPr>
          <w:rStyle w:val="Strong"/>
          <w:b w:val="false"/>
          <w:bCs w:val="false"/>
        </w:rPr>
        <w:t>Fomicheva et al. (2020) address the challenges of assessment by estimating unsupervised quality assessment in CE, which evaluates translation quality without any reference translation. The authors have proposed a method based on cross-linguistic representations and minimal supervision, demonstrating that unsupervised quality assessment can achieve the performance of supervised approaches while eliminating dependence on reference corpora. This work illustrates the potential of quality assessment to support more realistic and scalable assessment scenarios.</w:t>
      </w:r>
    </w:p>
    <w:p>
      <w:pPr>
        <w:pStyle w:val="BodyText"/>
        <w:spacing w:lineRule="auto" w:line="276" w:before="0" w:after="140"/>
        <w:rPr/>
      </w:pPr>
      <w:r>
        <w:rPr/>
      </w:r>
    </w:p>
    <w:p>
      <w:pPr>
        <w:pStyle w:val="BodyText"/>
        <w:spacing w:lineRule="auto" w:line="276" w:before="0" w:after="140"/>
        <w:rPr/>
      </w:pPr>
      <w:r>
        <w:rPr>
          <w:rStyle w:val="Strong"/>
          <w:sz w:val="22"/>
          <w:szCs w:val="22"/>
        </w:rPr>
        <w:t>15.3 Multilingual Assessment</w:t>
      </w:r>
    </w:p>
    <w:p>
      <w:pPr>
        <w:pStyle w:val="BodyText"/>
        <w:spacing w:lineRule="auto" w:line="276" w:before="0" w:after="140"/>
        <w:rPr/>
      </w:pPr>
      <w:r>
        <w:rPr>
          <w:rStyle w:val="Strong"/>
          <w:b w:val="false"/>
          <w:bCs w:val="false"/>
        </w:rPr>
        <w:t>It follows that Edinburgh's contributions to multilingual assessment, derived from shared WMT tasks, inform the challenges related to assessing multilingual systems. These works highlight issues such as performance variation across languages, which requires consistent assessment environments, and sensitivity to data imbalance for multilingual models. The work from the University of Edinburgh underlines that multilingual assessment requires careful handling of languages ​​with limited resources, balanced training conditions, and appropriate metrics tailored to multilingual behavior.</w:t>
      </w:r>
    </w:p>
    <w:p>
      <w:pPr>
        <w:pStyle w:val="Heading3"/>
        <w:spacing w:lineRule="auto" w:line="276" w:before="0" w:after="140"/>
        <w:rPr>
          <w:b/>
          <w:bCs/>
        </w:rPr>
      </w:pPr>
      <w:r>
        <w:rPr>
          <w:b/>
          <w:bCs/>
        </w:rPr>
      </w:r>
    </w:p>
    <w:p>
      <w:pPr>
        <w:pStyle w:val="BodyText"/>
        <w:rPr/>
      </w:pPr>
      <w:r>
        <w:rPr/>
      </w:r>
    </w:p>
    <w:p>
      <w:pPr>
        <w:pStyle w:val="BodyText"/>
        <w:rPr/>
      </w:pPr>
      <w:r>
        <w:rPr/>
      </w:r>
    </w:p>
    <w:p>
      <w:pPr>
        <w:pStyle w:val="BodyText"/>
        <w:rPr>
          <w:b/>
          <w:bCs/>
          <w:sz w:val="24"/>
          <w:szCs w:val="24"/>
        </w:rPr>
      </w:pPr>
      <w:r>
        <w:rPr>
          <w:b/>
          <w:bCs/>
          <w:sz w:val="24"/>
          <w:szCs w:val="24"/>
        </w:rPr>
        <w:t>16 Reliability and Uncertainty in TNM</w:t>
      </w:r>
    </w:p>
    <w:p>
      <w:pPr>
        <w:pStyle w:val="BodyText"/>
        <w:rPr>
          <w:b/>
          <w:bCs/>
          <w:sz w:val="22"/>
          <w:szCs w:val="22"/>
        </w:rPr>
      </w:pPr>
      <w:r>
        <w:rPr>
          <w:b/>
          <w:bCs/>
          <w:sz w:val="22"/>
          <w:szCs w:val="22"/>
        </w:rPr>
        <w:t>16.1 Similarity-sensitive Entropy</w:t>
      </w:r>
    </w:p>
    <w:p>
      <w:pPr>
        <w:pStyle w:val="BodyText"/>
        <w:rPr/>
      </w:pPr>
      <w:r>
        <w:rPr/>
        <w:t>Cheng and Vlachos (2024) propose a novel measure to quantify similarity-sensitive entropy in NMT. Mesures of entropy incorporate all alternatives uniformly, while similarity-sensitive entropy distributes semantic similarity among candidate outcomes, incorporating it into more meaningful representations of uncertainty. Cheng and Vlachos (2024) demonstrate that uncertainty estimates align with translation quality when semantic information is incorporated.</w:t>
      </w:r>
    </w:p>
    <w:p>
      <w:pPr>
        <w:pStyle w:val="BodyText"/>
        <w:rPr/>
      </w:pPr>
      <w:r>
        <w:rPr/>
      </w:r>
    </w:p>
    <w:p>
      <w:pPr>
        <w:pStyle w:val="BodyText"/>
        <w:rPr>
          <w:b/>
          <w:bCs/>
          <w:sz w:val="22"/>
          <w:szCs w:val="22"/>
        </w:rPr>
      </w:pPr>
      <w:r>
        <w:rPr>
          <w:b/>
          <w:bCs/>
          <w:sz w:val="22"/>
          <w:szCs w:val="22"/>
        </w:rPr>
        <w:t>16.2 Diagnosis of errors</w:t>
      </w:r>
    </w:p>
    <w:p>
      <w:pPr>
        <w:pStyle w:val="BodyText"/>
        <w:rPr/>
      </w:pPr>
      <w:r>
        <w:rPr/>
        <w:t>Cheng and Vlachos (2024) further show, with the use of this entropy-based uncertainty, how the uncertainty signals correlate to translation errors. This work provides methods for distinguishing between the systemic weaknesses of the model and the inherently ambiguous inputs, furthering the broader efforts toward diagnosing model behavior, enhancing interpretability, and developing more reliable non-textual translation systems.textual translation systems.</w:t>
      </w:r>
    </w:p>
    <w:p>
      <w:pPr>
        <w:pStyle w:val="BodyText"/>
        <w:rPr/>
      </w:pPr>
      <w:r>
        <w:rPr/>
      </w:r>
    </w:p>
    <w:p>
      <w:pPr>
        <w:pStyle w:val="BodyText"/>
        <w:rPr/>
      </w:pPr>
      <w:r>
        <w:rPr>
          <w:rStyle w:val="Strong"/>
          <w:sz w:val="24"/>
          <w:szCs w:val="24"/>
        </w:rPr>
        <w:t>17 Context-Aware Neural Machine Translation</w:t>
      </w:r>
    </w:p>
    <w:p>
      <w:pPr>
        <w:pStyle w:val="BodyText"/>
        <w:rPr/>
      </w:pPr>
      <w:r>
        <w:rPr>
          <w:rStyle w:val="Strong"/>
          <w:b w:val="false"/>
          <w:bCs w:val="false"/>
        </w:rPr>
        <w:t>The University of Edinburgh's research into context-aware neural machine translation focuses on extending non-verbal TNA systems beyond sentence-level modeling. These works illustrate that incorporating document-level context improves pronoun resolution, lexical cohesion, and disambiguation. The papers on Context-Aware Neural Machine Translation from Edinburgh explore architectures incorporating previous sentences, hierarchical representations of context, and selection mechanisms. Their findings show consistent gains in coherence, particularly in discourse phenomena which sentence-level TNA cannot capture.</w:t>
      </w:r>
    </w:p>
    <w:p>
      <w:pPr>
        <w:pStyle w:val="BodyText"/>
        <w:rPr/>
      </w:pPr>
      <w:r>
        <w:rPr/>
      </w:r>
    </w:p>
    <w:p>
      <w:pPr>
        <w:pStyle w:val="BodyText"/>
        <w:rPr/>
      </w:pPr>
      <w:r>
        <w:rPr>
          <w:rStyle w:val="Strong"/>
          <w:sz w:val="24"/>
          <w:szCs w:val="24"/>
        </w:rPr>
        <w:t>18 Modern Evaluation Metrics Beyond BLEU</w:t>
      </w:r>
    </w:p>
    <w:p>
      <w:pPr>
        <w:pStyle w:val="BodyText"/>
        <w:rPr/>
      </w:pPr>
      <w:r>
        <w:rPr>
          <w:rStyle w:val="Strong"/>
          <w:b w:val="false"/>
          <w:bCs w:val="false"/>
        </w:rPr>
        <w:t>A recent UK-affiliated investigation into COMET and BLEURT introduces modern evaluation metrics based on pre-trained linguistic models and quality data annotated by humans. These metrics also correlate much more strongly with human judgments than BLEU does and address many of the concerns raised by Graham et al. (2020). Specifically, unlike BLEU, they incorporate semantic rather than superficial n-gram matching. In conclusion, COMET and BLEURT have represented a significant step forward in terms of reliable MT evaluation that explicitly addressed well-known deficiencies of traditional metrics.</w:t>
      </w:r>
    </w:p>
    <w:p>
      <w:pPr>
        <w:pStyle w:val="Heading2"/>
        <w:spacing w:lineRule="auto" w:line="276" w:before="0" w:after="140"/>
        <w:ind w:hanging="0" w:start="0"/>
        <w:rPr/>
      </w:pPr>
      <w:r>
        <w:rPr>
          <w:rStyle w:val="Strong"/>
          <w:b/>
          <w:bCs/>
          <w:sz w:val="24"/>
          <w:szCs w:val="24"/>
        </w:rPr>
        <w:t>19. State of the Art</w:t>
      </w:r>
    </w:p>
    <w:p>
      <w:pPr>
        <w:pStyle w:val="BodyText"/>
        <w:rPr/>
      </w:pPr>
      <w:r>
        <w:rPr/>
        <w:t>The state of the art in non-traditional machine translation, considering only accepted articles, can be characterized by four converging lines of research.</w:t>
      </w:r>
    </w:p>
    <w:p>
      <w:pPr>
        <w:pStyle w:val="BodyText"/>
        <w:rPr/>
      </w:pPr>
      <w:r>
        <w:rPr/>
      </w:r>
    </w:p>
    <w:p>
      <w:pPr>
        <w:pStyle w:val="BodyText"/>
        <w:rPr/>
      </w:pPr>
      <w:r>
        <w:rPr/>
        <w:t>First, there has been significant development in uncertainty estimation with the similarity-sensitive entropy measure proposed by Cheng and Vlachos (2024). The merits of this method lie in its sophisticated and semantically informed view of model uncertainty, resulting in more interpretable and reliable translations.</w:t>
      </w:r>
    </w:p>
    <w:p>
      <w:pPr>
        <w:pStyle w:val="BodyText"/>
        <w:rPr/>
      </w:pPr>
      <w:r>
        <w:rPr/>
        <w:t>Second, COMET and BLEURT constitute a set of modern evaluation metrics that have become the gold standard for assessing machine translation performance in UK-based research. These metrics address the statistical power and translationality issues noted by Graham et al. (2020) and are more aligned with human preferences, as well as being more robust.</w:t>
      </w:r>
    </w:p>
    <w:p>
      <w:pPr>
        <w:pStyle w:val="BodyText"/>
        <w:rPr/>
      </w:pPr>
      <w:r>
        <w:rPr/>
        <w:t>Third, the multilingual and contextual machine translation systems at the University of Edinburgh represent cutting-edge modeling approaches. Multilingual machine translation research places a strong emphasis on effective cross-language sharing and robust evaluations in diverse environments. Contextual machine translation, on the other hand, improves consistency and disambiguation through document-level modeling. Domain adaptation, analyzed by Saunders (2022), remains a challenge, as fine-tuning, multi-domain modeling, and data selection continue to be the current tools for creating adaptive systems. This approach remains crucial for achieving practical implementation in real-world, multi-domain scenarios.</w:t>
      </w:r>
    </w:p>
    <w:p>
      <w:pPr>
        <w:pStyle w:val="BodyText"/>
        <w:rPr/>
      </w:pPr>
      <w:r>
        <w:rPr/>
        <w:t>Taken together, these areas represent the cutting edge of machine translation research, as reflected in the accepted articles.</w:t>
      </w:r>
    </w:p>
    <w:p>
      <w:pPr>
        <w:pStyle w:val="Heading2"/>
        <w:spacing w:lineRule="auto" w:line="276" w:before="0" w:after="140"/>
        <w:ind w:hanging="0" w:start="0"/>
        <w:rPr/>
      </w:pPr>
      <w:r>
        <w:rPr>
          <w:rStyle w:val="Strong"/>
          <w:b/>
          <w:bCs/>
          <w:sz w:val="24"/>
          <w:szCs w:val="24"/>
        </w:rPr>
        <w:t>20. General Discussion</w:t>
      </w:r>
    </w:p>
    <w:p>
      <w:pPr>
        <w:pStyle w:val="BodyText"/>
        <w:rPr/>
      </w:pPr>
      <w:r>
        <w:rPr/>
        <w:t>The literature reviewed reveals a cohesive landscape of NMT research within UK universities. The shift from SMT to NMT (Stahlberg, 2020; Saunders, 2022) provides the foundation for all subsequent work, which builds on the strengths and limitations of neural models. Subword methods (Sennrich et al., 2016) remain critical for vocabulary efficiency and rare word handling, while domain adaptation techniques (Saunders, 2022) enable NMT systems to generalize across heterogeneous application domains.</w:t>
      </w:r>
    </w:p>
    <w:p>
      <w:pPr>
        <w:pStyle w:val="BodyText"/>
        <w:rPr/>
      </w:pPr>
      <w:r>
        <w:rPr/>
        <w:t>System-building work, such as Cambridge’s WMT18 system (Stahlberg et al., 2018), demonstrates the interplay between model architecture, data augmentation, and engineering refinements. However, evaluating MT outputs continues to pose challenges: translationese and low statistical power undermine traditional metrics like BLEU (Graham et al., 2020), motivating research into more robust alternatives.</w:t>
      </w:r>
    </w:p>
    <w:p>
      <w:pPr>
        <w:pStyle w:val="BodyText"/>
        <w:rPr/>
      </w:pPr>
      <w:r>
        <w:rPr/>
        <w:t>This is where unsupervised QE (Fomicheva et al., 2020) and advanced metrics such as COMET and BLEURT become crucial. They complement uncertainty estimation work by Cheng and Vlachos (2024), which opens pathways to diagnosing and reducing translation errors. Edinburgh’s multilingual and context-aware systems show how modeling approaches continue to evolve, addressing cross-lingual transfer, discourse context, and coherence.</w:t>
      </w:r>
    </w:p>
    <w:p>
      <w:pPr>
        <w:pStyle w:val="BodyText"/>
        <w:rPr/>
      </w:pPr>
      <w:r>
        <w:rPr/>
        <w:t>Together, the reviewed works demonstrate a trajectory toward more adaptable, robust, and interpretable MT systems grounded in neural architectures and enriched with principled evaluation methods.</w:t>
      </w:r>
    </w:p>
    <w:p>
      <w:pPr>
        <w:pStyle w:val="Heading2"/>
        <w:spacing w:lineRule="auto" w:line="276" w:before="0" w:after="140"/>
        <w:ind w:hanging="0" w:start="0"/>
        <w:rPr/>
      </w:pPr>
      <w:r>
        <w:rPr>
          <w:rStyle w:val="Strong"/>
          <w:b/>
          <w:bCs/>
          <w:sz w:val="24"/>
          <w:szCs w:val="24"/>
        </w:rPr>
        <w:t>20. Conclusions</w:t>
      </w:r>
    </w:p>
    <w:p>
      <w:pPr>
        <w:pStyle w:val="BodyText"/>
        <w:rPr/>
      </w:pPr>
      <w:r>
        <w:rPr/>
        <w:t xml:space="preserve">The examined literature, limited to UK university contributi of Edinburgh. </w:t>
      </w:r>
      <w:r>
        <w:rPr>
          <w:rStyle w:val="Emphasis"/>
        </w:rPr>
        <w:t>Context-Aware MT papers</w:t>
      </w:r>
      <w:r>
        <w:rPr/>
        <w:t>.</w:t>
      </w:r>
    </w:p>
    <w:p>
      <w:pPr>
        <w:pStyle w:val="BodyText"/>
        <w:rPr/>
      </w:pPr>
      <w:r>
        <w:rPr/>
        <w:t xml:space="preserve">UK-affiliated authors. </w:t>
      </w:r>
      <w:r>
        <w:rPr>
          <w:rStyle w:val="Emphasis"/>
        </w:rPr>
        <w:t xml:space="preserve">COMET &amp; BLEURT metric </w:t>
      </w:r>
      <w:r>
        <w:rPr/>
        <w:t>ons, shows that NMT has become the dominant MT paradigm due to its ability to model complex linguistic relationships (Stahlberg, 2020; Saunders, 2022). Subword modeling (Sennrich et al., 2016) and domain adaptation (Saunders, 2022) remain essential for real-world performance. Cambridge’s WMT18 systems (Stahlberg et al., 2018) highlight the importance of data augmentation and engineering pipelines.</w:t>
      </w:r>
    </w:p>
    <w:p>
      <w:pPr>
        <w:pStyle w:val="BodyText"/>
        <w:rPr/>
      </w:pPr>
      <w:r>
        <w:rPr/>
        <w:t>Evaluation challenges persist, particularly with BLEU’s limitations and translationese effects (Graham et al., 2020). New directions such as unsupervised QE (Fomicheva et al., 2020), advanced uncertainty modeling (Cheng &amp; Vlachos, 2024), and modern metrics like COMET and BLEURT show promising solutions. Finally, multilingual and context-aware systems from Edinburgh represent progressive modeling strategies that push MT closer to human-like translation capabilities.</w:t>
      </w:r>
    </w:p>
    <w:p>
      <w:pPr>
        <w:pStyle w:val="BodyText"/>
        <w:rPr/>
      </w:pPr>
      <w:r>
        <w:rPr>
          <w:rStyle w:val="Strong"/>
          <w:b w:val="false"/>
          <w:bCs w:val="false"/>
        </w:rPr>
        <w:t>All of these works collectively indicate that the future of MT lies in building models that are context-aware, domain-adaptable, uncertainty-informed, and evaluated through semantically grounded metrics.</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1"/>
        <w:spacing w:lineRule="auto" w:line="276" w:before="0" w:after="140"/>
        <w:ind w:hanging="0" w:start="0"/>
        <w:rPr/>
      </w:pPr>
      <w:r>
        <w:rPr>
          <w:rStyle w:val="Strong"/>
          <w:b/>
          <w:bCs/>
          <w:sz w:val="24"/>
          <w:szCs w:val="24"/>
        </w:rPr>
        <w:t>21 References</w:t>
      </w:r>
    </w:p>
    <w:p>
      <w:pPr>
        <w:pStyle w:val="BodyText"/>
        <w:rPr/>
      </w:pPr>
      <w:r>
        <w:rPr/>
        <w:t xml:space="preserve">Cheng, J., &amp; Vlachos, A. (2024). </w:t>
      </w:r>
      <w:r>
        <w:rPr>
          <w:rStyle w:val="Emphasis"/>
        </w:rPr>
        <w:t>Measuring Uncertainty in NMT with Similarity-Sensitive Entropy</w:t>
      </w:r>
      <w:r>
        <w:rPr/>
        <w:t>. University of Cambridge.</w:t>
      </w:r>
    </w:p>
    <w:p>
      <w:pPr>
        <w:pStyle w:val="BodyText"/>
        <w:rPr/>
      </w:pPr>
      <w:r>
        <w:rPr/>
        <w:t xml:space="preserve">Fomicheva, M., et al. (2020). </w:t>
      </w:r>
      <w:r>
        <w:rPr>
          <w:rStyle w:val="Emphasis"/>
        </w:rPr>
        <w:t>Unsupervised Quality Estimation for NMT</w:t>
      </w:r>
      <w:r>
        <w:rPr/>
        <w:t>. University of Sheffield / Imperial College London.</w:t>
      </w:r>
    </w:p>
    <w:p>
      <w:pPr>
        <w:pStyle w:val="BodyText"/>
        <w:rPr/>
      </w:pPr>
      <w:r>
        <w:rPr/>
        <w:t xml:space="preserve">Graham, Y., Haddow, B., &amp; Koehn, P. (2020). </w:t>
      </w:r>
      <w:r>
        <w:rPr>
          <w:rStyle w:val="Emphasis"/>
        </w:rPr>
        <w:t>Statistical Power and Translationese in MT Evaluation</w:t>
      </w:r>
      <w:r>
        <w:rPr/>
        <w:t>. University of Edinburgh.</w:t>
      </w:r>
    </w:p>
    <w:p>
      <w:pPr>
        <w:pStyle w:val="BodyText"/>
        <w:rPr/>
      </w:pPr>
      <w:r>
        <w:rPr/>
        <w:t xml:space="preserve">Saunders, D. (2022). </w:t>
      </w:r>
      <w:r>
        <w:rPr>
          <w:rStyle w:val="Emphasis"/>
        </w:rPr>
        <w:t>Domain Adaptation and Multi-Domain Adaptation for NMT: A Survey</w:t>
      </w:r>
      <w:r>
        <w:rPr/>
        <w:t>. University of Cambridge.</w:t>
      </w:r>
    </w:p>
    <w:p>
      <w:pPr>
        <w:pStyle w:val="BodyText"/>
        <w:rPr/>
      </w:pPr>
      <w:r>
        <w:rPr/>
        <w:t xml:space="preserve">Sennrich, R., Haddow, B., &amp; Birch, A. (2016). </w:t>
      </w:r>
      <w:r>
        <w:rPr>
          <w:rStyle w:val="Emphasis"/>
        </w:rPr>
        <w:t>Neural Machine Translation of Rare Words with Subword Units</w:t>
      </w:r>
      <w:r>
        <w:rPr/>
        <w:t>. University of Edinburgh.</w:t>
      </w:r>
    </w:p>
    <w:p>
      <w:pPr>
        <w:pStyle w:val="BodyText"/>
        <w:rPr/>
      </w:pPr>
      <w:r>
        <w:rPr/>
        <w:t xml:space="preserve">Stahlberg, F. (2020). </w:t>
      </w:r>
      <w:r>
        <w:rPr>
          <w:rStyle w:val="Emphasis"/>
        </w:rPr>
        <w:t>Neural Machine Translation: A Review</w:t>
      </w:r>
      <w:r>
        <w:rPr/>
        <w:t>. University of Cambridge.</w:t>
      </w:r>
    </w:p>
    <w:p>
      <w:pPr>
        <w:pStyle w:val="BodyText"/>
        <w:rPr/>
      </w:pPr>
      <w:r>
        <w:rPr/>
        <w:t xml:space="preserve">Stahlberg, F., de Gispert, A., &amp; Byrne, B. (2018). </w:t>
      </w:r>
      <w:r>
        <w:rPr>
          <w:rStyle w:val="Emphasis"/>
        </w:rPr>
        <w:t>The University of Cambridge’s MT Systems for WMT18</w:t>
      </w:r>
      <w:r>
        <w:rPr/>
        <w:t>. University of Cambridge.</w:t>
      </w:r>
    </w:p>
    <w:p>
      <w:pPr>
        <w:pStyle w:val="BodyText"/>
        <w:rPr/>
      </w:pPr>
      <w:r>
        <w:rPr/>
        <w:t xml:space="preserve">University of Edinburgh. </w:t>
      </w:r>
      <w:r>
        <w:rPr>
          <w:rStyle w:val="Emphasis"/>
        </w:rPr>
        <w:t>Multilingual MT papers (WMT Shared Tasks)</w:t>
      </w:r>
      <w:r>
        <w:rPr/>
        <w:t>.</w:t>
      </w:r>
    </w:p>
    <w:p>
      <w:pPr>
        <w:pStyle w:val="BodyText"/>
        <w:rPr/>
      </w:pPr>
      <w:r>
        <w:rPr/>
        <w:t xml:space="preserve">University of Edinburgh. </w:t>
      </w:r>
      <w:r>
        <w:rPr>
          <w:rStyle w:val="Emphasis"/>
        </w:rPr>
        <w:t>Context-Aware MT papers</w:t>
      </w:r>
      <w:r>
        <w:rPr/>
        <w:t>.</w:t>
      </w:r>
    </w:p>
    <w:p>
      <w:pPr>
        <w:pStyle w:val="BodyText"/>
        <w:rPr/>
      </w:pPr>
      <w:r>
        <w:rPr/>
        <w:t xml:space="preserve">UK-affiliated authors. </w:t>
      </w:r>
      <w:r>
        <w:rPr>
          <w:rStyle w:val="Emphasis"/>
        </w:rPr>
        <w:t>COMET &amp; BLEURT metric papers</w:t>
      </w:r>
      <w:r>
        <w:rPr/>
        <w:t>.</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r>
        <w:br w:type="page"/>
      </w:r>
    </w:p>
    <w:tbl>
      <w:tblPr>
        <w:tblStyle w:val="TableGrid"/>
        <w:tblW w:w="1060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602"/>
      </w:tblGrid>
      <w:tr>
        <w:trPr>
          <w:trHeight w:val="397" w:hRule="atLeast"/>
        </w:trPr>
        <w:tc>
          <w:tcPr>
            <w:tcW w:w="10602" w:type="dxa"/>
            <w:tcBorders>
              <w:top w:val="double" w:sz="4" w:space="0" w:color="000000"/>
              <w:start w:val="double" w:sz="4" w:space="0" w:color="000000"/>
              <w:bottom w:val="double" w:sz="4" w:space="0" w:color="000000"/>
              <w:end w:val="double" w:sz="4" w:space="0" w:color="000000"/>
            </w:tcBorders>
            <w:vAlign w:val="center"/>
          </w:tcPr>
          <w:p>
            <w:pPr>
              <w:pStyle w:val="Normal"/>
              <w:pageBreakBefore/>
              <w:widowControl/>
              <w:suppressAutoHyphens w:val="true"/>
              <w:spacing w:before="0" w:after="0"/>
              <w:jc w:val="center"/>
              <w:rPr>
                <w:rFonts w:cs="Calibri" w:cstheme="minorHAnsi"/>
                <w:b/>
                <w:bCs/>
                <w:sz w:val="40"/>
                <w:szCs w:val="40"/>
              </w:rPr>
            </w:pPr>
            <w:r>
              <w:rPr>
                <w:rFonts w:eastAsia="" w:cs="Calibri" w:ascii="Calibri" w:hAnsi="Calibri" w:cstheme="minorHAnsi"/>
                <w:b/>
                <w:bCs/>
                <w:kern w:val="0"/>
                <w:sz w:val="40"/>
                <w:szCs w:val="40"/>
                <w:lang w:val="en-GB" w:bidi="ar-SA"/>
              </w:rPr>
              <w:t>Bibliography</w:t>
            </w:r>
          </w:p>
        </w:tc>
      </w:tr>
    </w:tbl>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BodyText"/>
        <w:widowControl/>
        <w:bidi w:val="0"/>
        <w:jc w:val="start"/>
        <w:rPr/>
      </w:pPr>
      <w:r>
        <w:rPr>
          <w:rStyle w:val="Emphasis"/>
          <w:lang w:eastAsia="en-US"/>
        </w:rPr>
        <w:t xml:space="preserve">[1 NumPy Developers, “NumPy Documentation,” NumPy, 2024. </w:t>
      </w:r>
      <w:hyperlink r:id="rId2">
        <w:r>
          <w:rPr>
            <w:rStyle w:val="Hyperlink"/>
            <w:i/>
            <w:iCs/>
            <w:lang w:eastAsia="en-US"/>
          </w:rPr>
          <w:t>https://numpy.org/doc/</w:t>
        </w:r>
      </w:hyperlink>
    </w:p>
    <w:p>
      <w:pPr>
        <w:pStyle w:val="BodyText"/>
        <w:widowControl/>
        <w:bidi w:val="0"/>
        <w:jc w:val="start"/>
        <w:rPr/>
      </w:pPr>
      <w:r>
        <w:rPr>
          <w:rStyle w:val="Emphasis"/>
          <w:lang w:eastAsia="en-US"/>
        </w:rPr>
        <w:t xml:space="preserve">pandas Development Team, “pandas Documentation,” pandas, 2024.  </w:t>
      </w:r>
      <w:hyperlink r:id="rId3">
        <w:r>
          <w:rPr>
            <w:rStyle w:val="Hyperlink"/>
            <w:i/>
            <w:iCs/>
            <w:lang w:eastAsia="en-US"/>
          </w:rPr>
          <w:t>https://pandas.pydata.org/docs/</w:t>
        </w:r>
      </w:hyperlink>
    </w:p>
    <w:p>
      <w:pPr>
        <w:pStyle w:val="BodyText"/>
        <w:widowControl/>
        <w:bidi w:val="0"/>
        <w:jc w:val="start"/>
        <w:rPr/>
      </w:pPr>
      <w:r>
        <w:rPr>
          <w:rStyle w:val="Emphasis"/>
          <w:lang w:eastAsia="en-US"/>
        </w:rPr>
        <w:t xml:space="preserve">Scikit-learn Developers, “Scikit-learn Documentation,” scikit-learn, 2024.  </w:t>
      </w:r>
      <w:hyperlink r:id="rId4">
        <w:r>
          <w:rPr>
            <w:rStyle w:val="Hyperlink"/>
            <w:i/>
            <w:iCs/>
            <w:lang w:eastAsia="en-US"/>
          </w:rPr>
          <w:t>https://scikit-learn.org/stable/documentation.html</w:t>
        </w:r>
      </w:hyperlink>
    </w:p>
    <w:p>
      <w:pPr>
        <w:pStyle w:val="BodyText"/>
        <w:widowControl/>
        <w:bidi w:val="0"/>
        <w:jc w:val="start"/>
        <w:rPr/>
      </w:pPr>
      <w:r>
        <w:rPr>
          <w:rStyle w:val="Emphasis"/>
          <w:lang w:eastAsia="en-US"/>
        </w:rPr>
        <w:t xml:space="preserve">T. da Costa-Luis et al., “tqdm Documentation,” tqdm, 2024. [Online]. Available: </w:t>
      </w:r>
      <w:hyperlink r:id="rId5">
        <w:r>
          <w:rPr>
            <w:rStyle w:val="Hyperlink"/>
            <w:i/>
            <w:iCs/>
            <w:lang w:eastAsia="en-US"/>
          </w:rPr>
          <w:t>https://tqdm.github.io/</w:t>
        </w:r>
      </w:hyperlink>
    </w:p>
    <w:p>
      <w:pPr>
        <w:pStyle w:val="BodyText"/>
        <w:widowControl/>
        <w:bidi w:val="0"/>
        <w:jc w:val="start"/>
        <w:rPr/>
      </w:pPr>
      <w:r>
        <w:rPr>
          <w:rStyle w:val="Emphasis"/>
          <w:lang w:eastAsia="en-US"/>
        </w:rPr>
        <w:t xml:space="preserve">Matplotlib Developers, “Matplotlib Documentation,” Matplotlib, 2024.  </w:t>
      </w:r>
      <w:hyperlink r:id="rId6">
        <w:r>
          <w:rPr>
            <w:rStyle w:val="Hyperlink"/>
            <w:i/>
            <w:iCs/>
            <w:lang w:eastAsia="en-US"/>
          </w:rPr>
          <w:t>https://matplotlib.org/stable/contents.html</w:t>
        </w:r>
      </w:hyperlink>
    </w:p>
    <w:p>
      <w:pPr>
        <w:pStyle w:val="BodyText"/>
        <w:widowControl/>
        <w:bidi w:val="0"/>
        <w:jc w:val="start"/>
        <w:rPr/>
      </w:pPr>
      <w:r>
        <w:rPr>
          <w:rStyle w:val="Emphasis"/>
          <w:lang w:eastAsia="en-US"/>
        </w:rPr>
        <w:t xml:space="preserve">M. Waskom, “Seaborn Documentation,” Seaborn, 2024. [Online]. Available: </w:t>
      </w:r>
      <w:hyperlink r:id="rId7">
        <w:r>
          <w:rPr>
            <w:rStyle w:val="Hyperlink"/>
            <w:i/>
            <w:iCs/>
            <w:lang w:eastAsia="en-US"/>
          </w:rPr>
          <w:t>https://seaborn.pydata.org/</w:t>
        </w:r>
      </w:hyperlink>
    </w:p>
    <w:p>
      <w:pPr>
        <w:pStyle w:val="BodyText"/>
        <w:widowControl/>
        <w:bidi w:val="0"/>
        <w:jc w:val="start"/>
        <w:rPr/>
      </w:pPr>
      <w:r>
        <w:rPr>
          <w:rStyle w:val="Emphasis"/>
          <w:lang w:eastAsia="en-US"/>
        </w:rPr>
        <w:t xml:space="preserve">XGBoost Developers, “XGBoost Documentation,” XGBoost, 2024.  </w:t>
      </w:r>
      <w:hyperlink r:id="rId8">
        <w:r>
          <w:rPr>
            <w:rStyle w:val="Hyperlink"/>
            <w:i/>
            <w:iCs/>
            <w:lang w:eastAsia="en-US"/>
          </w:rPr>
          <w:t>https://xgboost.readthedocs.io/en/stable/</w:t>
        </w:r>
      </w:hyperlink>
    </w:p>
    <w:p>
      <w:pPr>
        <w:pStyle w:val="BodyText"/>
        <w:widowControl/>
        <w:bidi w:val="0"/>
        <w:jc w:val="start"/>
        <w:rPr/>
      </w:pPr>
      <w:r>
        <w:rPr>
          <w:rStyle w:val="Emphasis"/>
          <w:lang w:eastAsia="en-US"/>
        </w:rPr>
        <w:t xml:space="preserve">Python Software Foundation, “Python Standard Library Documentation,” Python, 2024.  </w:t>
      </w:r>
      <w:hyperlink r:id="rId9">
        <w:r>
          <w:rPr>
            <w:rStyle w:val="Hyperlink"/>
            <w:i/>
            <w:iCs/>
            <w:lang w:eastAsia="en-US"/>
          </w:rPr>
          <w:t>https://docs.python.org/3/library/</w:t>
        </w:r>
      </w:hyperlink>
    </w:p>
    <w:p>
      <w:pPr>
        <w:pStyle w:val="BodyText"/>
        <w:widowControl/>
        <w:bidi w:val="0"/>
        <w:jc w:val="start"/>
        <w:rPr/>
      </w:pPr>
      <w:r>
        <w:rPr>
          <w:rStyle w:val="Emphasis"/>
          <w:lang w:eastAsia="en-US"/>
        </w:rPr>
        <w:t xml:space="preserve">Scikit-learn Developers, “Ensemble Methods: Random Forests,” scikit-learn, 2024. </w:t>
      </w:r>
      <w:r>
        <w:fldChar w:fldCharType="begin"/>
      </w:r>
      <w:r>
        <w:rPr>
          <w:rStyle w:val="Hyperlink"/>
          <w:i/>
          <w:iCs/>
          <w:lang w:eastAsia="en-US"/>
        </w:rPr>
        <w:instrText xml:space="preserve"> HYPERLINK "https://scikit-learn.org/stable/modules/ensemble.html" \l "forest"</w:instrText>
      </w:r>
      <w:r>
        <w:rPr>
          <w:rStyle w:val="Hyperlink"/>
          <w:i/>
          <w:iCs/>
          <w:lang w:eastAsia="en-US"/>
        </w:rPr>
        <w:fldChar w:fldCharType="separate"/>
      </w:r>
      <w:r>
        <w:rPr>
          <w:rStyle w:val="Hyperlink"/>
          <w:i/>
          <w:iCs/>
          <w:lang w:eastAsia="en-US"/>
        </w:rPr>
        <w:t>https://scikit-learn.org/stable/modules/ensemble.html#forest</w:t>
      </w:r>
      <w:r>
        <w:rPr>
          <w:rStyle w:val="Hyperlink"/>
          <w:i/>
          <w:iCs/>
          <w:lang w:eastAsia="en-US"/>
        </w:rPr>
        <w:fldChar w:fldCharType="end"/>
      </w:r>
    </w:p>
    <w:p>
      <w:pPr>
        <w:pStyle w:val="BodyText"/>
        <w:widowControl/>
        <w:bidi w:val="0"/>
        <w:jc w:val="start"/>
        <w:rPr/>
      </w:pPr>
      <w:r>
        <w:rPr>
          <w:rStyle w:val="Emphasis"/>
          <w:lang w:eastAsia="en-US"/>
        </w:rPr>
        <w:t xml:space="preserve">Scikit-learn Developers, “Preprocessing and Imputation Tools,” scikit-learn, 2024.: </w:t>
      </w:r>
      <w:hyperlink r:id="rId10" w:tgtFrame="_new">
        <w:r>
          <w:rPr>
            <w:rStyle w:val="Hyperlink"/>
            <w:i/>
            <w:iCs/>
            <w:lang w:eastAsia="en-US"/>
          </w:rPr>
          <w:t>https://scikit-learn.org/stable/modules/preprocessing.html</w:t>
        </w:r>
      </w:hyperlink>
    </w:p>
    <w:p>
      <w:pPr>
        <w:pStyle w:val="BodyText"/>
        <w:widowControl/>
        <w:bidi w:val="0"/>
        <w:jc w:val="start"/>
        <w:rPr/>
      </w:pPr>
      <w:r>
        <w:rPr>
          <w:rStyle w:val="Emphasis"/>
          <w:lang w:eastAsia="en-US"/>
        </w:rPr>
        <w:t>L. Breiman, “Random forests,” Machine Learning, vol. 45, no. 1, pp. 5–32, 2001. doi: 10.1023/A:1010933404324.</w:t>
      </w:r>
    </w:p>
    <w:p>
      <w:pPr>
        <w:pStyle w:val="BodyText"/>
        <w:widowControl/>
        <w:bidi w:val="0"/>
        <w:jc w:val="start"/>
        <w:rPr/>
      </w:pPr>
      <w:r>
        <w:rPr>
          <w:rStyle w:val="Emphasis"/>
          <w:lang w:eastAsia="en-US"/>
        </w:rPr>
        <w:t>T. Chen and C. Guestrin, “XGBoost: A scalable tree boosting system,” in Proceedings of the 22nd ACM SIGKDD International Conference on Knowledge Discovery and Data Mining, 2016, pp. 785–794. doi: 10.1145/2939672.2939785.</w:t>
      </w:r>
    </w:p>
    <w:p>
      <w:pPr>
        <w:pStyle w:val="BodyText"/>
        <w:widowControl/>
        <w:bidi w:val="0"/>
        <w:jc w:val="start"/>
        <w:rPr/>
      </w:pPr>
      <w:r>
        <w:rPr>
          <w:rStyle w:val="Emphasis"/>
          <w:lang w:eastAsia="en-US"/>
        </w:rPr>
        <w:t>F. Pedregosa et al., “Scikit-learn: Machine learning in Python,” Journal of Machine Learning Research, vol. 12, pp. 2825–2830, 2011.</w:t>
      </w:r>
    </w:p>
    <w:p>
      <w:pPr>
        <w:pStyle w:val="BodyText"/>
        <w:widowControl/>
        <w:bidi w:val="0"/>
        <w:jc w:val="start"/>
        <w:rPr/>
      </w:pPr>
      <w:r>
        <w:rPr>
          <w:rStyle w:val="Emphasis"/>
          <w:lang w:eastAsia="en-US"/>
        </w:rPr>
        <w:t>W. McKinney, “Data structures for statistical computing in Python,” in Proceedings of the 9th Python in Science Conference, 2010, pp. 51–56. doi: 10.48550/arXiv.1703.02647.</w:t>
      </w:r>
    </w:p>
    <w:p>
      <w:pPr>
        <w:pStyle w:val="BodyText"/>
        <w:widowControl/>
        <w:bidi w:val="0"/>
        <w:jc w:val="start"/>
        <w:rPr/>
      </w:pPr>
      <w:r>
        <w:rPr>
          <w:rStyle w:val="Emphasis"/>
          <w:lang w:eastAsia="en-US"/>
        </w:rPr>
        <w:t>C. R. Harris et al., “Array programming with NumPy,” Nature, vol. 585, pp. 357–362, 2020. doi: 10.1038/s41586-020-2649-2.</w:t>
      </w:r>
    </w:p>
    <w:p>
      <w:pPr>
        <w:pStyle w:val="BodyText"/>
        <w:widowControl/>
        <w:bidi w:val="0"/>
        <w:jc w:val="start"/>
        <w:rPr/>
      </w:pPr>
      <w:r>
        <w:rPr>
          <w:rStyle w:val="Emphasis"/>
          <w:b/>
          <w:bCs/>
          <w:lang w:eastAsia="en-US"/>
        </w:rPr>
        <w:t xml:space="preserve">IA use </w:t>
      </w:r>
    </w:p>
    <w:p>
      <w:pPr>
        <w:pStyle w:val="BodyText"/>
        <w:widowControl/>
        <w:suppressAutoHyphens w:val="true"/>
        <w:bidi w:val="0"/>
        <w:jc w:val="start"/>
        <w:rPr/>
      </w:pPr>
      <w:r>
        <w:rPr>
          <w:rStyle w:val="Emphasis"/>
          <w:rFonts w:eastAsia="Times New Roman" w:cs="Times New Roman"/>
          <w:color w:val="auto"/>
          <w:kern w:val="0"/>
          <w:sz w:val="20"/>
          <w:szCs w:val="20"/>
          <w:lang w:val="en-GB" w:eastAsia="en-US" w:bidi="ar-SA"/>
        </w:rPr>
        <w:t>In the development of this work, I employed artificial intelligence tools, specifically ChatGPT, to obtain limited support in drafting and generating certain code fragments. However, the conceptualization, logic, overall structure, and final integration of the project were carried out entirely by me. Additionally, I used Grammarly as a supplementary resource for linguistic review, stylistic correction, and the translation of specific sections, thereby ensuring the clarity and coherence of the text without compromising the academic integrity of the work.</w:t>
      </w:r>
      <w:r>
        <w:br w:type="page"/>
      </w:r>
    </w:p>
    <w:tbl>
      <w:tblPr>
        <w:tblStyle w:val="TableGrid"/>
        <w:tblW w:w="1060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602"/>
      </w:tblGrid>
      <w:tr>
        <w:trPr>
          <w:trHeight w:val="397" w:hRule="atLeast"/>
        </w:trPr>
        <w:tc>
          <w:tcPr>
            <w:tcW w:w="10602" w:type="dxa"/>
            <w:tcBorders>
              <w:top w:val="double" w:sz="4" w:space="0" w:color="000000"/>
              <w:start w:val="double" w:sz="4" w:space="0" w:color="000000"/>
              <w:bottom w:val="double" w:sz="4" w:space="0" w:color="000000"/>
              <w:end w:val="double" w:sz="4" w:space="0" w:color="000000"/>
            </w:tcBorders>
            <w:vAlign w:val="center"/>
          </w:tcPr>
          <w:p>
            <w:pPr>
              <w:pStyle w:val="Normal"/>
              <w:pageBreakBefore/>
              <w:widowControl/>
              <w:suppressAutoHyphens w:val="true"/>
              <w:spacing w:before="0" w:after="0"/>
              <w:jc w:val="center"/>
              <w:rPr>
                <w:rFonts w:cs="Calibri" w:cstheme="minorHAnsi"/>
                <w:b/>
                <w:bCs/>
                <w:sz w:val="40"/>
                <w:szCs w:val="40"/>
              </w:rPr>
            </w:pPr>
            <w:r>
              <w:rPr>
                <w:rFonts w:eastAsia="" w:cs="Calibri" w:ascii="Calibri" w:hAnsi="Calibri" w:cstheme="minorHAnsi"/>
                <w:b/>
                <w:bCs/>
                <w:kern w:val="0"/>
                <w:sz w:val="40"/>
                <w:szCs w:val="40"/>
                <w:lang w:val="en-GB" w:bidi="ar-SA"/>
              </w:rPr>
              <w:t>Apendix B</w:t>
            </w:r>
          </w:p>
        </w:tc>
      </w:tr>
    </w:tbl>
    <w:p>
      <w:pPr>
        <w:pStyle w:val="Normal"/>
        <w:widowControl/>
        <w:numPr>
          <w:ilvl w:val="0"/>
          <w:numId w:val="0"/>
        </w:numPr>
        <w:bidi w:val="0"/>
        <w:ind w:hanging="0" w:start="0"/>
        <w:jc w:val="start"/>
        <w:rPr>
          <w:rFonts w:cs="Calibri" w:cstheme="minorHAnsi"/>
          <w:color w:themeColor="accent1" w:val="4472C4"/>
          <w:sz w:val="24"/>
          <w:szCs w:val="24"/>
        </w:rPr>
      </w:pPr>
      <w:r>
        <w:rPr>
          <w:rFonts w:cs="Calibri" w:cstheme="minorHAnsi"/>
          <w:color w:themeColor="accent1" w:val="4472C4"/>
          <w:sz w:val="24"/>
          <w:szCs w:val="24"/>
        </w:rPr>
      </w:r>
    </w:p>
    <w:p>
      <w:pPr>
        <w:pStyle w:val="ListParagraph"/>
        <w:widowControl/>
        <w:numPr>
          <w:ilvl w:val="0"/>
          <w:numId w:val="0"/>
        </w:numPr>
        <w:bidi w:val="0"/>
        <w:ind w:hanging="0" w:start="0"/>
        <w:jc w:val="start"/>
        <w:rPr>
          <w:rFonts w:cs="Calibri" w:cstheme="minorHAnsi"/>
          <w:color w:themeColor="accent1" w:val="4472C4"/>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ab/>
        <w:tab/>
      </w:r>
    </w:p>
    <w:p>
      <w:pPr>
        <w:pStyle w:val="ListParagraph"/>
        <w:widowControl/>
        <w:numPr>
          <w:ilvl w:val="0"/>
          <w:numId w:val="0"/>
        </w:numPr>
        <w:bidi w:val="0"/>
        <w:ind w:hanging="0" w:start="0"/>
        <w:jc w:val="start"/>
        <w:rPr>
          <w:rFonts w:cs="Calibri" w:cstheme="minorHAnsi"/>
          <w:color w:themeColor="accent1" w:val="4472C4"/>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pip install -U numpy scipy pandas scikit-learn numexpr bottleneck</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numpy.__config__.show()</w:t>
      </w:r>
    </w:p>
    <w:p>
      <w:pPr>
        <w:pStyle w:val="ListParagraph"/>
        <w:ind w:hanging="360" w:start="1418"/>
        <w:rPr>
          <w:rFonts w:cs="Calibri" w:cstheme="minorHAnsi"/>
          <w:sz w:val="24"/>
          <w:szCs w:val="24"/>
        </w:rPr>
      </w:pPr>
      <w:r>
        <w:rPr>
          <w:rFonts w:cs="Calibri" w:cstheme="minorHAnsi"/>
          <w:sz w:val="24"/>
          <w:szCs w:val="24"/>
        </w:rPr>
      </w:r>
    </w:p>
    <w:p>
      <w:pPr>
        <w:pStyle w:val="ListParagraph"/>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export OMP_NUM_THREADS=24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export MKL_NUM_THREADS=24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export NUMEXPR_MAX_THREADS=24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!pip install pandas tqdm</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!pip install pandas tqdm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#!/usr/bin/env python3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glob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tqdm import tqdm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Directorio base (ajústalo si lo necesitas)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BASE_DIR = "/home/clientefinal/SERVIDOR/Jupyter/ARCHIVOS"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CSV final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OUTPUT_FILE = "uk_crime_merged_2025.csv"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Buscar todos los CSV dentro de subcarpetas (recursivamente)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all_csvs = glob.glob(os.path.join(BASE_DIR, "*/*.csv"))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print(f"Archivos encontrados: {len(all_csvs)}")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csv_path in tqdm(all_csvs, desc="Leyendo y uniendo CSVs"):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try: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pd.read_csv(csv_path)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df["source_file"] = os.path.basename(csv_path)  # opcional: saber de qué mes viene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dfs.append(df)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except Exception as 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Error leyendo {csv_path}: {e}")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Unir todos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 = pd.concat(dfs, ignore_index=True)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Eliminar duplicados (si existen)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"Crime ID" in merged.columns: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merged.drop_duplicates(subset=["Crime ID"], inplace=True)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Guardar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merged.to_csv(OUTPUT_FILE,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print(f"CSV final guardado: {OUTPUT_FILE}")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print(f"Filas totales: {len(merged):,}")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pd.read_csv("/home/clientefinal/SERVIDOR/Jupyter/uk_crime_merged_2025.csv", low_memory=False)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print(df.info())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print(df.describe())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print(df.isna().sum())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pd.read_csv("/home/clientefinal/SERVIDOR/Jupyter/uk_crime_merged_2025.csv", low_memory=False)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eliminar columnas totalmente vacías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df.dropna(axis=1, how='all')</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columnas a conservar manualmente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keep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"Crime ID", "Month", "Longitude", "Latitude",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"LSOA code", "LSOA name", "Crime type", "Last outcome category"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df[keep]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eliminar filas sin coordenadas o sin código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df.dropna(subset=["Longitude", "Latitude", "LSOA code"])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asegurarte de que 'Month' es fecha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df["Month"] = pd.to_datetime(df["Month"], errors="coerce")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df.info()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print(df["Crime type"].value_counts().head())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pd.read_csv("/home/clientefinal/SERVIDOR/Jupyter/uk_crime_merged_2025.csv", parse_dates=["Month"])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crime_agg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df.groupby(["Month", "LSOA code", "LSOA name"])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.size()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.reset_index(name="crime_count")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crime_agg.to_csv("crime_aggregated.csv",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print(crime_agg.head())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 = "/home/clientefinal/SERVIDOR/Jupyter/census2021"</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datasets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"ts001_population": "census2021-ts001/census2021-ts001-lsoa.csv",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"ts004_birth_country": "census2021-ts004/census2021-ts004-lsoa.csv",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"ts006_density": "census2021-ts006/census2021-ts006-lsoa.csv",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"ts011_deprivation": "census2021-ts011/census2021-ts011-lsoa.csv",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"ts038_disability": "census2021-ts038/census2021-ts038-lsoa.csv",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"ts063_occupation": "census2021-ts063/census2021-ts063-lsoa.csv",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"ts065_unemployment_history": "census2021-ts065/census2021-ts065-lsoa.csv",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"ts066_economic": "census2021-ts066/census2021-ts066-lsoa.csv",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"ts067_education": "census2021-ts067/census2021-ts067-lsoa.csv",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def load_clean(path):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"""Lee CSV y selecciona columnas representativas automáticamente"""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pd.read_csv(path, dtype=str, low_memory=False)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first_col = df.columns[0]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df.rename(columns={first_col: "LSOA_code"})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df["LSOA_code"] = df["LSOA_code"].astype(str).str.strip()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Mantén LSOA y columnas que parezcan totales o sumarios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keep_cols = ["LSOA_code"]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for c in df.columns: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re.search(r"(?i)(total|all|overall|density|count|population)", c):</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keep_cols.append(c)</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elif c.endswith("0001") or c.endswith("001"):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keep_cols.append(c)</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df[keep_cols].drop_duplicates(subset=["LSOA_code"])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return df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 = None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name, rel_path in datasets.items():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path = os.path.join(base, rel_path)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print(f"Loading {name}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load_clean(path)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 {df.shape[0]} rows, {df.shape[1]} cols: {list(df.columns)[:5]}...")</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merged is None: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 = 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 = merged.merge(df, on="LSOA_code", how="left")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print(f"Merged shape: {merged.shape}")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out_path = f"{base}/census_features_full.csv"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merged.to_csv(out_path,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 Done! Saved to: {out_path}")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 = "/home/clientefinal/SERVIDOR/Jupyter/census2021"</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datasets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"ts001_population": "census2021-ts001/census2021-ts001-lsoa.csv",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"ts004_birth_country": "census2021-ts004/census2021-ts004-lsoa.csv",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"ts006_density": "census2021-ts006/census2021-ts006-lsoa.csv",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"ts011_deprivation": "census2021-ts011/census2021-ts011-lsoa.csv",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"ts038_disability": "census2021-ts038/census2021-ts038-lsoa.csv",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"ts063_occupation": "census2021-ts063/census2021-ts063-lsoa.csv",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"ts065_unemployment_history": "census2021-ts065/census2021-ts065-lsoa.csv",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"ts066_economic": "census2021-ts066/census2021-ts066-lsoa.csv",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"ts067_education": "census2021-ts067/census2021-ts067-lsoa.csv",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def load_clean(path):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"""Lee solo columnas necesarias y limpia IDs"""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pd.read_csv(path, dtype=str, low_memory=False)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first_col = df.columns[0]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df.rename(columns={first_col: "LSOA_code"})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df["LSOA_code"] = df["LSOA_code"].astype(str).str.strip()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keep_cols = [c for c in df.columns if c == "LSOA_code" or c.endswith("0001")]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return df[keep_cols].drop_duplicates(subset=["LSOA_code"])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 = None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name, rel_path in datasets.items():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path = os.path.join(base, rel_path)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Loading {name} ...")</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load_clean(path)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 {df.shape[0]} rows, {df.shape[1]} cols")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merged is None: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 = 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Unión progresiva segura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 = merged.merge(df, on="LSOA_code", how="left", validate="1:1")</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Merged shape: {merged.shape}")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out_path = f"{base}/census_features_full.csv"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merged.to_csv(out_path,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 Done! Saved to: {out_path}")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os.cpu_count()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#!/usr/bin/env python3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UK Census 2021 (LSOA) → Parquet unificado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Autor: [Tu nombre]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Descripción: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Fusiona todos los archivos -lsoa.csv del Censo 2021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en un único archivo Parquet optimizado por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sys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glob import glob</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ray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modin.pandas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Configuración inicial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BASE_DIR = os.path.expanduser("~/SERVIDOR/Jupyter/census2021")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OUTPUT_PATH = os.path.join(BASE_DIR, "census_features_full.parquet")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Iniciar Ray para paralelismo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not ray.is_initialized():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ray.init(num_cpus=24, ignore_reinit_error=True)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print(f"ay inicializado con {ray.cluster_resources()['CPU']} CPUs\n")</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Detección automática de archivos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lsoa_files = sorted(glob(os.path.join(BASE_DIR, "census2021-ts*/census2021-ts*-lsoa.csv")))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not lsoa_files: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sys.exit("No se encontraron archivos '-lsoa.csv'. Revisa la ruta BASE_DIR o nombres de archivo.")</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 Archivos detectados ({len(lsoa_files)}):")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f in lsoa_files: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  -", os.path.basename(f))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 * 60)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Fusión progresiva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merged_df = None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path in lsoa_files: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dataset_code = re.search(r"(census2021-ts\d+)", path).group(1)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print(f"\nProcesando {dataset_code}...")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try: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pd.read_csv(path, low_memory=False)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except Exception as 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print(f"Error leyendo {path}: {e}")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continue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Normalizar nombre de columna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lsoa_col_candidates = [c for c in df.columns if "LSOA" in c.upper() or "geography code" in c.lower()]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not lsoa_col_candidates: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print(f"No se encontró columna LSOA en {path}. Saltando...")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continue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lsoa_col = lsoa_col_candidates[0]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df.rename(columns={lsoa_col: "LSOA code"}, inplace=True)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Eliminar columnas textuales o no numéricas irrelevantes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drop_cols = [c for c in df.columns if re.search(r"name|Area|Geography", c, re.IGNORECASE)]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df.drop(columns=drop_cols, inplace=True, errors="ignore")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Renombrar columnas para evitar colisiones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value_cols = [c for c in df.columns if c != "LSOA 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df.rename(columns={c: f"{dataset_code}_{c}" for c in value_cols}, inplace=True)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Mostrar resumen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Columnas agregadas: {len(value_cols)} | Filas: {len(df):,}")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Merge progresivo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merged_df is None: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merged_df = 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merged_df = merged_df.merge(df, on="LSOA code", how="outer")</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Todos los datasets combinados correctamente.")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 Total de filas: {len(merged_df):,}")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 Total de columnas: {len(merged_df.columns):,}")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Guardar resultado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os.makedirs(os.path.dirname(OUTPUT_PATH), exist_ok=True)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merged_df.to_parquet(OUTPUT_PATH,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 Archivo final guardado en:\n{OUTPUT_PATH}")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Export opcional de preview</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preview_csv = OUTPUT_PATH.replace(".parquet", "_preview.csv")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merged_df.head(1000).to_csv(preview_csv,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 Muestra de 1.000 filas exportada a:\n{preview_csv}")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print("\nConversión y fusión completadas con éxito.")</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#!/usr/bin/env python3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Verificación y exploración del dataset_ml.parquet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modin.pandas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ray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 as np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Inicializar Ray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not ray.is_initialized():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ray.init(num_cpus=24, ignore_reinit_error=True)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Rutas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BASE_DIR = os.path.expanduser("~/SERVIDOR/Jupyter")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DATASET_PATH = os.path.join(BASE_DIR, "dataset_ml.parquet")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1️Cargar dataset final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 Cargando dataset final...")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pd.read_parquet(DATASET_PATH)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print(f"Filas: {len(df):,} | Columnas: {len(df.columns)}")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2️Revisión general de estructura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print("\nPrimeras filas:")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print(df.head(5))</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Columnas principales:")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print(df.columns[:20])  # muestra primeras 20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print("\nTipos de datos:")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print(df.dtypes.head(15))</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Validación de fechas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"Month" in df.columns: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df["Month"] = pd.to_datetime(df["Month"], errors="coerce")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print("\n Rango temporal:")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print("Desde:", df["Month"].min())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print("Hasta:", df["Month"].max())</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print("No se encontró columna 'Month'.")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4️Validación de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"LSOA code" in df.columns: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n_unique = df["LSOA code"].nunique()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print(f"\nZonas únicas (LSOA): {n_unique:,}")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 No se encontró columna 'LSOA code'.")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Chequeo de nulls y duplicados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Valores nulos por columna (top 15):")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print(df.isna().sum().sort_values(ascending=False).head(15))</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duplicados = df.duplicated(subset=["Month", "LSOA code"]).sum()</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print(f"\nRegistros duplicados (Month+LSOA): {duplicados:,}")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Validación de features derivadas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features_check = ["crime_count", "crime_rate", "crime_count_prev", "crime_change_pct"]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print("\nEstadísticas básicas de variables clave:")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print(df[features_check].describe().T)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7️ Sanity checks adicionales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print("\nNúmero medio de crímenes por mes (primeras 10 fechas):")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print(df.groupby("Month")["crime_count"].mean().head(10))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Ejemplo: evolución del crimen en un LSOA aleatorio:")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sample_lsoa = df["LSOA code"].dropna().sample(1).iloc[0]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print("Ejemplo LSOA:", sample_lsoa)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print(df[df["LSOA code"] == sample_lsoa][["Month", "crime_count", "crime_rate"]].head(10))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Verificación completada.")</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 as np,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pd.read_parquet("~/SERVIDOR/Jupyter/dataset_ml.parquet")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features = [c for c in df.columns if c not in {"Month","LSOA code","crime_count"} and np.issubdtype(df[c].dtype, np.number)]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k = len(features)          # nº de predictores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 = k + 1                  # + intercepto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train_prop = np.sqrt(p)/(np.sqrt(p)+1)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test_prop  = 1/(np.sqrt(p)+1)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train_prop, test_prop, p, k</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MODELADO ML - SPLIT ÓPTIMO SEGÚN JOSEPH (2022)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Train ≈ 79.9 % | Val ≈ 8.9 % | Test ≈ 11.2 %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Dataset: ~/SERVIDOR/Jupyter/dataset_ml.parquet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Compatible con XGBoost 3.1.1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 math, warnings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 as np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sklearn.metrics import mean_absolute_error, mean_squared_error, r2_score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sklearn.preprocessing import StandardScaler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sklearn.impute import SimpleImputer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sklearn.linear_model import LinearRegression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sklearn.ensemble import RandomForestRegressor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xgboost import XGBRegressor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xgboost.callback import EarlyStopping</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warnings.filterwarnings("ignore")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Rutas y helpers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BASE_DIR = os.path.expanduser("~/SERVIDOR/Jupyter")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DATA_PATH = os.path.join(BASE_DIR, "dataset_ml.parquet")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OUT_DIR   = os.path.join(BASE_DIR, "ml_outputs_optimal_joseph")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os.makedirs(OUT_DIR, exist_ok=True)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def rmse(y_true, y_pred):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return math.sqrt(mean_squared_error(y_true, y_pred))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def metrics_table(name, y_true, y_pred):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return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"model": name,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"MAE": mean_absolute_error(y_true, y_pred),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"RMSE": rmse(y_true, y_pred),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"R2": r2_score(y_true, y_pred)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CARGA DE DATOS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pd.read_parquet(DATA_PATH)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df["Month"] = pd.to_datetime(df["Month"], errors="coerce")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df.sort_values("Month")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print(f"Dataset: {len(df):,} filas | {len(df.columns)} columnas")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SPLIT TEMPORAL SEGÚN PROPORCIONES ÓPTIMAS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train_prop = 0.7986</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val_prop   = 0.0887</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test_prop  = 0.1127</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months = np.sort(df["Month"].unique())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n_months = len(months)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train_end = int(n_months * train_prop)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val_end   = int(n_months * (train_prop + val_prop))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train_months = months[:train_end]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val_months   = months[train_end:val_end]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test_months  = months[val_end:]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df_train = df[df["Month"].isin(train_months)]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df_val   = df[df["Month"].isin(val_months)]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df_test  = df[df["Month"].isin(test_months)]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print(f"Meses totales: {n_months}")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print(f"Split temporal -&gt; Train: {len(train_months)} | Val: {len(val_months)} | Test: {len(test_months)}")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print(f"Filas -&gt; Train: {len(df_train):,} | Val: {len(df_val):,} | Test: {len(df_test):,}")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3️⃣ PREPARACIÓN DE FEATURES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target_col = "crime_count"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drop_cols = {"Month","LSOA 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num_cols = [c for c in df.columns if c not in drop_cols and np.issubdtype(df[c].dtype, np.number)]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target_col in 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num_cols.remove(target_col)</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X_train, y_train = df_train[num_cols], df_train[target_col]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X_val,   y_val   = df_val[num_cols],   df_val[target_col]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X_test,  y_test  = df_test[num_cols],  df_test[target_col]</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Imputación + Escalado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 = SimpleImputer(strategy="median").fit(X_train)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X_train_imp = pd.DataFrame(imp.transform(X_train), columns=num_cols)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X_val_imp   = pd.DataFrame(imp.transform(X_val),   columns=num_cols)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X_test_imp  = pd.DataFrame(imp.transform(X_test),  columns=num_cols)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scaler = StandardScaler().fit(X_train_imp)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X_train_std = pd.DataFrame(scaler.transform(X_train_imp), columns=num_cols)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X_val_std   = pd.DataFrame(scaler.transform(X_val_imp),   columns=num_cols)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X_test_std  = pd.DataFrame(scaler.transform(X_test_imp),  columns=num_cols)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MODELO 1: OLS (Regresión Lineal)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ols = LinearRegression(n_jobs=24)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ols.fit(X_train_std, y_train)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pred_val_ols, pred_test_ols = ols.predict(X_val_std), ols.predict(X_test_std)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m_ols_val  = metrics_table("OLS (val)",  y_val,  pred_val_ols)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m_ols_test = metrics_table("OLS (test)", y_test, pred_test_ols)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print("OLS -&gt;", m_ols_test)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coef_abs = pd.Series(np.abs(ols.coef_), index=num_cols).sort_values(ascending=False).head(20)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coef_abs.to_csv(os.path.join(OUT_DIR, "ols_top_abs_coeffs.csv"))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MODELO 2: RANDOM FOREST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rf = RandomForestRegressor(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n_estimators=400, max_depth=25, min_samples_split=10,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n_jobs=24, random_state=42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rf.fit(X_train_imp, y_train)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pred_val_rf, pred_test_rf = rf.predict(X_val_imp), rf.predict(X_test_imp)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m_rf_val  = metrics_table("RF (val)",  y_val,  pred_val_rf)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m_rf_test = metrics_table("RF (test)", y_test, pred_test_rf)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print("RF -&gt;", m_rf_test)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rf_importances = pd.Series(rf.feature_importances_, index=num_cols).sort_values(ascending=False).head(20)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rf_importances.to_csv(os.path.join(OUT_DIR, "rf_top_importances.csv"))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MODELO 3: XGBOOST (compatible con versión 3.1.1)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xgboost as xgb</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Crear matrices DMatrix (mejor rendimiento y soporte total de callbacks)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dtrain = xgb.DMatrix(X_train_imp, label=y_train)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dval   = xgb.DMatrix(X_val_imp,   label=y_val)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dtest  = xgb.DMatrix(X_test_imp,  label=y_test)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params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"objective": "reg:squarederror",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"eval_metric": "rmse",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"learning_rate": 0.05,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"max_depth": 10,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"subsample": 0.8,</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"colsample_bytree": 0.8,</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"tree_method": "hist",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"nthread": 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"seed": 42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Entrenar con early stopping nativo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watchlist = [(dtrain, "train"), (dval, "val")]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xgb_model = xgb.train(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params=params,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dtrain=dtrain,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num_boost_round=2000,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evals=watchlist,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early_stopping_rounds=50,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verbose_eval=False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Predicciones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pred_val_xgb  = xgb_model.predict(dval)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pred_test_xgb = xgb_model.predict(dtest)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m_xgb_val  = metrics_table("XGB (val)",  y_val,  pred_val_xgb)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m_xgb_test = metrics_table("XGB (test)", y_test, pred_test_xgb)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print("XGB -&gt;", m_xgb_test)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Importancias de características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importance = xgb_model.get_score(importance_type="weight")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xgb_importances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pd.Series(importance)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.sort_values(ascending=False)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.head(20)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xgb_importances.to_csv(os.path.join(OUT_DIR, "xgb_top_importances.csv"))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MÉTRICAS COMPARATIVAS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metrics_df = pd.DataFrame([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m_ols_val, m_ols_test,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m_rf_val,  m_rf_test,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m_xgb_val, m_xgb_test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display(metrics_df)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metrics_df.to_csv(os.path.join(OUT_DIR, "metrics_summary_optimal_joseph.csv"),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 Resultados guardados en {OUT_DIR}")</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VISUALIZACIÓN: Porcentaje de Fiabilidad (R² × 100)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matplotlib.pyplot as plt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seaborn as sns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Crear tabla simplificada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df_fiabilidad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metrics_df[metrics_df["model"].str.contains("test")]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.copy()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df_fiabilidad["Fiabilidad (%)"] = df_fiabilidad["R2"] * 100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Ordenar por R² descendente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df_fiabilidad = df_fiabilidad.sort_values("R2", ascending=False)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Estilo gráfico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sns.set(style="whitegrid", font_scale=1.2)</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plt.figure(figsize=(8, 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bars = sns.barplot(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data=df_fiabilidad,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x="model", y="Fiabilidad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palette=["#2ecc71", "#3498db", "#f39c12"]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pip install -U numpy scipy pandas scikit-learn numexpr bottleneck</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numpy.__config__.show()</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export OMP_NUM_THREADS=24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export MKL_NUM_THREADS=24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export NUMEXPR_MAX_THREADS=24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!pip install pandas tqdm</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!pip install pandas tqdm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#!/usr/bin/env python3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glob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tqdm import tqdm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Directorio base (ajústalo si lo necesitas)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BASE_DIR = "/home/clientefinal/SERVIDOR/Jupyter/ARCHIVOS"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CSV final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OUTPUT_FILE = "uk_crime_merged_2025.csv"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Buscar todos los CSV dentro de subcarpetas (recursivamente)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all_csvs = glob.glob(os.path.join(BASE_DIR, "*/*.csv"))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print(f"Archivos encontrados: {len(all_csvs)}")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csv_path in tqdm(all_csvs, desc="Leyendo y uniendo CSVs"):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try: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pd.read_csv(csv_path)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df["source_file"] = os.path.basename(csv_path)  # opcional: saber de qué mes viene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dfs.append(df)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except Exception as 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Error leyendo {csv_path}: {e}")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Unir todos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 = pd.concat(dfs, ignore_index=True)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Eliminar duplicados (si existen)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"Crime ID" in merged.columns: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merged.drop_duplicates(subset=["Crime ID"], inplace=True)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Guardar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merged.to_csv(OUTPUT_FILE,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print(f"CSV final guardado: {OUTPUT_FILE}")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print(f"Filas totales: {len(merged):,}")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pd.read_csv("/home/clientefinal/SERVIDOR/Jupyter/uk_crime_merged_2025.csv", low_memory=False)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print(df.info())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print(df.describe())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print(df.isna().sum())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pd.read_csv("/home/clientefinal/SERVIDOR/Jupyter/uk_crime_merged_2025.csv", low_memory=False)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eliminar columnas totalmente vacías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df.dropna(axis=1, how='all')</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columnas a conservar manualmente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keep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"Crime ID", "Month", "Longitude", "Latitude",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"LSOA code", "LSOA name", "Crime type", "Last outcome category"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df[keep]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eliminar filas sin coordenadas o sin código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df.dropna(subset=["Longitude", "Latitude", "LSOA code"])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asegurarte de que 'Month' es fecha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df["Month"] = pd.to_datetime(df["Month"], errors="coerce")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df.info()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print(df["Crime type"].value_counts().head())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pd.read_csv("/home/clientefinal/SERVIDOR/Jupyter/uk_crime_merged_2025.csv", parse_dates=["Month"])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crime_agg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df.groupby(["Month", "LSOA code", "LSOA name"])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.size()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.reset_index(name="crime_count")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crime_agg.to_csv("crime_aggregated.csv",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print(crime_agg.head())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 = "/home/clientefinal/SERVIDOR/Jupyter/census2021"</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datasets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"ts001_population": "census2021-ts001/census2021-ts001-lsoa.csv",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"ts004_birth_country": "census2021-ts004/census2021-ts004-lsoa.csv",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"ts006_density": "census2021-ts006/census2021-ts006-lsoa.csv",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"ts011_deprivation": "census2021-ts011/census2021-ts011-lsoa.csv",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"ts038_disability": "census2021-ts038/census2021-ts038-lsoa.csv",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"ts063_occupation": "census2021-ts063/census2021-ts063-lsoa.csv",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"ts065_unemployment_history": "census2021-ts065/census2021-ts065-lsoa.csv",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"ts066_economic": "census2021-ts066/census2021-ts066-lsoa.csv",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"ts067_education": "census2021-ts067/census2021-ts067-lsoa.csv",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def load_clean(path):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"""Lee CSV y selecciona columnas representativas automáticamente"""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pd.read_csv(path, dtype=str, low_memory=False)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first_col = df.columns[0]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df.rename(columns={first_col: "LSOA_code"})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df["LSOA_code"] = df["LSOA_code"].astype(str).str.strip()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Mantén LSOA y columnas que parezcan totales o sumarios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keep_cols = ["LSOA_code"]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for c in df.columns: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re.search(r"(?i)(total|all|overall|density|count|population)", c):</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keep_cols.append(c)</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elif c.endswith("0001") or c.endswith("001"):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keep_cols.append(c)</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df[keep_cols].drop_duplicates(subset=["LSOA_code"])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return df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 = None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name, rel_path in datasets.items():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path = os.path.join(base, rel_path)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Loading {name}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load_clean(path)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 {df.shape[0]} rows, {df.shape[1]} cols: {list(df.columns)[:5]}...")</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merged is None: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 = 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 = merged.merge(df, on="LSOA_code", how="left")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Merged shape: {merged.shape}")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out_path = f"{base}/census_features_full.csv"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merged.to_csv(out_path,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 Done! Saved to: {out_path}")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 = "/home/clientefinal/SERVIDOR/Jupyter/census2021"</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datasets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"ts001_population": "census2021-ts001/census2021-ts001-lsoa.csv",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"ts004_birth_country": "census2021-ts004/census2021-ts004-lsoa.csv",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"ts006_density": "census2021-ts006/census2021-ts006-lsoa.csv",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"ts011_deprivation": "census2021-ts011/census2021-ts011-lsoa.csv",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"ts038_disability": "census2021-ts038/census2021-ts038-lsoa.csv",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"ts063_occupation": "census2021-ts063/census2021-ts063-lsoa.csv",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"ts065_unemployment_history": "census2021-ts065/census2021-ts065-lsoa.csv",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"ts066_economic": "census2021-ts066/census2021-ts066-lsoa.csv",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"ts067_education": "census2021-ts067/census2021-ts067-lsoa.csv",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def load_clean(path):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"""Lee solo columnas necesarias y limpia IDs"""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pd.read_csv(path, dtype=str, low_memory=False)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first_col = df.columns[0]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df.rename(columns={first_col: "LSOA_code"})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df["LSOA_code"] = df["LSOA_code"].astype(str).str.strip()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keep_cols = [c for c in df.columns if c == "LSOA_code" or c.endswith("0001")]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return df[keep_cols].drop_duplicates(subset=["LSOA_code"])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 = None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name, rel_path in datasets.items():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path = os.path.join(base, rel_path)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Loading {name} ...")</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load_clean(path)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 {df.shape[0]} rows, {df.shape[1]} cols")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merged is None: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 = 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Unión progresiva segura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 = merged.merge(df, on="LSOA_code", how="left", validate="1:1")</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print(f"Merged shape: {merged.shape}")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out_path = f"{base}/census_features_full.csv"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merged.to_csv(out_path,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 Done! Saved to: {out_path}")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os.cpu_count()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#!/usr/bin/env python3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UK Census 2021 (LSOA) → Parquet unificado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Autor: [Tu nombre]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Descripción: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Fusiona todos los archivos -lsoa.csv del Censo 2021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en un único archivo Parquet optimizado por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sys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glob import glob</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ray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modin.pandas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Configuración inicial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BASE_DIR = os.path.expanduser("~/SERVIDOR/Jupyter/census2021")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OUTPUT_PATH = os.path.join(BASE_DIR, "census_features_full.parquet")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Iniciar Ray para paralelismo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not ray.is_initialized():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ray.init(num_cpus=24, ignore_reinit_error=True)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print(f"Ray inicializado con {ray.cluster_resources()['CPU']} CPUs\n")</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Detección automática de archivos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lsoa_files = sorted(glob(os.path.join(BASE_DIR, "census2021-ts*/census2021-ts*-lsoa.csv")))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not lsoa_files: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sys.exit("No se encontraron archivos '-lsoa.csv'. Revisa la ruta BASE_DIR o nombres de archivo.")</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 Archivos detectados ({len(lsoa_files)}):")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f in lsoa_files: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  -", os.path.basename(f))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 * 60)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Fusión progresiva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merged_df = None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path in lsoa_files: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dataset_code = re.search(r"(census2021-ts\d+)", path).group(1)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print(f"\n Procesando {dataset_code}...")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try: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 = pd.read_csv(path, low_memory=False)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except Exception as 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print(f"Error leyendo {path}: {e}")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continue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Normalizar nombre de columna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lsoa_col_candidates = [c for c in df.columns if "LSOA" in c.upper() or "geography code" in c.lower()]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not lsoa_col_candidates: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print(f"No se encontró columna LSOA en {path}. Saltando...")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continue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lsoa_col = lsoa_col_candidates[0]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df.rename(columns={lsoa_col: "LSOA code"}, inplace=True)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Eliminar columnas textuales o no numéricas irrelevantes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drop_cols = [c for c in df.columns if re.search(r"name|Area|Geography", c, re.IGNORECASE)]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df.drop(columns=drop_cols, inplace=True, errors="ignore")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Renombrar columnas para evitar colisiones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value_cols = [c for c in df.columns if c != "LSOA 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df.rename(columns={c: f"{dataset_code}_{c}" for c in value_cols}, inplace=True)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Mostrar resumen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    Columnas agregadas: {len(value_cols)} | Filas: {len(df):,}")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Merge progresivo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if merged_df is None: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merged_df = 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merged_df = merged_df.merge(df, on="LSOA code", how="outer")</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print("\nTodos los datasets combinados correctamente.")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print(f"Total de filas: {len(merged_df):,}")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print(f"Total de columnas: {len(merged_df.columns):,}")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Guardar resultado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os.makedirs(os.path.dirname(OUTPUT_PATH), exist_ok=True)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merged_df.to_parquet(OUTPUT_PATH,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 Archivo final guardado en:\n{OUTPUT_PATH}")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Export opcional de preview</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preview_csv = OUTPUT_PATH.replace(".parquet", "_preview.csv")</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merged_df.head(1000).to_csv(preview_csv,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 Muestra de 1.000 filas exportada a:\n{preview_csv}")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print("\nConversión y fusión completadas con éxito.")</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#!/usr/bin/env python3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Verificación y exploración del dataset_ml.parquet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modin.pandas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ray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 as np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Inicializar Ray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not ray.is_initialized():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ray.init(num_cpus=24, ignore_reinit_error=True)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Rutas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BASE_DIR = os.path.expanduser("~/SERVIDOR/Jupyter")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DATASET_PATH = os.path.join(BASE_DIR, "dataset_ml.parquet")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Cargar dataset final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 Cargando dataset final...")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pd.read_parquet(DATASET_PATH)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print(f"Filas: {len(df):,} | Columnas: {len(df.columns)}")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Revisión general de estructura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 Primeras filas:")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print(df.head(5))</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print("\nColumnas principales:")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print(df.columns[:20])  # muestra primeras 20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Tipos de datos:")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print(df.dtypes.head(15))</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Validación de fechas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"Month" in df.columns: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df["Month"] = pd.to_datetime(df["Month"], errors="coerce")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print("\nRango temporal:")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print("Desde:", df["Month"].min())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print("Hasta:", df["Month"].max())</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print("No se encontró columna 'Month'.")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Validación de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"LSOA code" in df.columns: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n_unique = df["LSOA code"].nunique()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print(f"\nZonas únicas (LSOA): {n_unique:,}")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else: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print("No se encontró columna 'LSOA code'.")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Chequeo de nulls y duplicados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print("\nValores nulos por columna (top 15):")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print(df.isna().sum().sort_values(ascending=False).head(15))</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duplicados = df.duplicated(subset=["Month", "LSOA code"]).sum()</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 Registros duplicados (Month+LSOA): {duplicados:,}")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Validación de features derivadas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features_check = ["crime_count", "crime_rate", "crime_count_prev", "crime_change_pct"]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Estadísticas básicas de variables clave:")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print(df[features_check].describe().T)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7️Sanity checks adicionales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Número medio de crímenes por mes (primeras 10 fechas):")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print(df.groupby("Month")["crime_count"].mean().head(10))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Ejemplo: evolución del crimen en un LSOA aleatorio:")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sample_lsoa = df["LSOA code"].dropna().sample(1).iloc[0]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print("Ejemplo LSOA:", sample_lsoa)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print(df[df["LSOA code"] == sample_lsoa][["Month", "crime_count", "crime_rate"]].head(10))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print("\n Verificación completada.")</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 as np,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pd.read_parquet("~/SERVIDOR/Jupyter/dataset_ml.parquet")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features = [c for c in df.columns if c not in {"Month","LSOA code","crime_count"} and np.issubdtype(df[c].dtype, np.number)]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k = len(features)          # nº de predictores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 = k + 1                  # + intercepto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train_prop = np.sqrt(p)/(np.sqrt(p)+1)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test_prop  = 1/(np.sqrt(p)+1)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train_prop, test_prop, p, k</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MODELADO ML - SPLIT ÓPTIMO SEGÚN JOSEPH (2022)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Train ≈ 79.9 % | Val ≈ 8.9 % | Test ≈ 11.2 %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Dataset: ~/SERVIDOR/Jupyter/dataset_ml.parquet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Compatible con XGBoost 3.1.1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os, math, warnings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 as np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sklearn.metrics import mean_absolute_error, mean_squared_error, r2_score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sklearn.preprocessing import StandardScaler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sklearn.impute import SimpleImputer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sklearn.linear_model import LinearRegression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sklearn.ensemble import RandomForestRegressor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xgboost import XGBRegressor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from xgboost.callback import EarlyStopping</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warnings.filterwarnings("ignore")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Rutas y helpers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BASE_DIR = os.path.expanduser("~/SERVIDOR/Jupyter")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DATA_PATH = os.path.join(BASE_DIR, "dataset_ml.parquet")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OUT_DIR   = os.path.join(BASE_DIR, "ml_outputs_optimal_joseph")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os.makedirs(OUT_DIR, exist_ok=True)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def rmse(y_true, y_pred):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return math.sqrt(mean_squared_error(y_true, y_pred))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def metrics_table(name, y_true, y_pred):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return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"model": name,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"MAE": mean_absolute_error(y_true, y_pred),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"RMSE": rmse(y_true, y_pred),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"R2": r2_score(y_true, y_pred)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CARGA DE DATOS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pd.read_parquet(DATA_PATH)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df["Month"] = pd.to_datetime(df["Month"], errors="coerce")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 = df.sort_values("Month")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print(f"Dataset: {len(df):,} filas | {len(df.columns)} columnas")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SPLIT TEMPORAL SEGÚN PROPORCIONES ÓPTIMAS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train_prop = 0.7986</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val_prop   = 0.0887</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test_prop  = 0.1127</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months = np.sort(df["Month"].unique())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n_months = len(months)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train_end = int(n_months * train_prop)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val_end   = int(n_months * (train_prop + val_prop))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train_months = months[:train_end]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val_months   = months[train_end:val_end]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test_months  = months[val_end:]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df_train = df[df["Month"].isin(train_months)]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df_val   = df[df["Month"].isin(val_months)]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df_test  = df[df["Month"].isin(test_months)]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print(f"Meses totales: {n_months}")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print(f"Split temporal -&gt; Train: {len(train_months)} | Val: {len(val_months)} | Test: {len(test_months)}")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print(f"Filas -&gt; Train: {len(df_train):,} | Val: {len(df_val):,} | Test: {len(df_test):,}")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PREPARACIÓN DE FEATURES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target_col = "crime_count"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drop_cols = {"Month","LSOA code"}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num_cols = [c for c in df.columns if c not in drop_cols and np.issubdtype(df[c].dtype, np.number)]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if target_col in 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num_cols.remove(target_col)</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X_train, y_train = df_train[num_cols], df_train[target_col]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X_val,   y_val   = df_val[num_cols],   df_val[target_col]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X_test,  y_test  = df_test[num_cols],  df_test[target_col]</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Imputación + Escalado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 = SimpleImputer(strategy="median").fit(X_train)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X_train_imp = pd.DataFrame(imp.transform(X_train), columns=num_cols)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X_val_imp   = pd.DataFrame(imp.transform(X_val),   columns=num_cols)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X_test_imp  = pd.DataFrame(imp.transform(X_test),  columns=num_cols)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scaler = StandardScaler().fit(X_train_imp)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X_train_std = pd.DataFrame(scaler.transform(X_train_imp), columns=num_cols)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X_val_std   = pd.DataFrame(scaler.transform(X_val_imp),   columns=num_cols)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X_test_std  = pd.DataFrame(scaler.transform(X_test_imp),  columns=num_cols)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MODELO 1: OLS (Regresión Lineal)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ols = LinearRegression(n_jobs=24)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ols.fit(X_train_std, y_train)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pred_val_ols, pred_test_ols = ols.predict(X_val_std), ols.predict(X_test_std)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m_ols_val  = metrics_table("OLS (val)",  y_val,  pred_val_ols)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m_ols_test = metrics_table("OLS (test)", y_test, pred_test_ols)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print("OLS -&gt;", m_ols_test)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coef_abs = pd.Series(np.abs(ols.coef_), index=num_cols).sort_values(ascending=False).head(20)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coef_abs.to_csv(os.path.join(OUT_DIR, "ols_top_abs_coeffs.csv"))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MODELO 2: RANDOM FOREST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rf = RandomForestRegressor(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n_estimators=400, max_depth=25, min_samples_split=10,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n_jobs=24, random_state=42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rf.fit(X_train_imp, y_train)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pred_val_rf, pred_test_rf = rf.predict(X_val_imp), rf.predict(X_test_imp)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m_rf_val  = metrics_table("RF (val)",  y_val,  pred_val_rf)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m_rf_test = metrics_table("RF (test)", y_test, pred_test_rf)</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print("RF -&gt;", m_rf_test)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rf_importances = pd.Series(rf.feature_importances_, index=num_cols).sort_values(ascending=False).head(20)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rf_importances.to_csv(os.path.join(OUT_DIR, "rf_top_importances.csv"))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MODELO 3: XGBOOST (compatible con versión 3.1.1)</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xgboost as xgb</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Crear matrices DMatrix (mejor rendimiento y soporte total de callbacks)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dtrain = xgb.DMatrix(X_train_imp, label=y_train)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dval   = xgb.DMatrix(X_val_imp,   label=y_val)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dtest  = xgb.DMatrix(X_test_imp,  label=y_test)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params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"objective": "reg:squarederror",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"eval_metric": "rmse",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"learning_rate": 0.05,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"max_depth": 10,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"subsample": 0.8,</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"colsample_bytree": 0.8,</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"tree_method": "hist",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"nthread": 24,</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"seed": 42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Entrenar con early stopping nativo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watchlist = [(dtrain, "train"), (dval, "val")]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xgb_model = xgb.train(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params=params,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dtrain=dtrain,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num_boost_round=2000,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evals=watchlist,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early_stopping_rounds=50,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verbose_eval=False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Predicciones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pred_val_xgb  = xgb_model.predict(dval)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pred_test_xgb = xgb_model.predict(dtest)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m_xgb_val  = metrics_table("XGB (val)",  y_val,  pred_val_xgb)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m_xgb_test = metrics_table("XGB (test)", y_test, pred_test_xgb)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print("XGB -&gt;", m_xgb_test)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Importancias de características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importance = xgb_model.get_score(importance_type="weight")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xgb_importances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pd.Series(importance)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.sort_values(ascending=False)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.head(20)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xgb_importances.to_csv(os.path.join(OUT_DIR, "xgb_top_importances.csv"))</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MÉTRICAS COMPARATIVAS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metrics_df = pd.DataFrame([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m_ols_val, m_ols_test,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m_rf_val,  m_rf_test,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m_xgb_val, m_xgb_test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display(metrics_df)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metrics_df.to_csv(os.path.join(OUT_DIR, "metrics_summary_optimal_joseph.csv"), index=False)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print(f"\nResultados guardados en {OUT_DIR}")</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VISUALIZACIÓN: Porcentaje de Fiabilidad (R² × 100)</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matplotlib.pyplot as plt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seaborn as sns</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Crear tabla simplificada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df_fiabilidad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metrics_df[metrics_df["model"].str.contains("test")]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.copy()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df_fiabilidad["Fiabilidad (%)"] = df_fiabilidad["R2"] * 100</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Ordenar por R² descendente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df_fiabilidad = df_fiabilidad.sort_values("R2", ascending=False)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Estilo gráfico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sns.set(style="whitegrid", font_scale=1.2)</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plt.figure(figsize=(8, 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bars = sns.barplot(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data=df_fiabilidad,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x="model", y="Fiabilidad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palette=["#2ecc71", "#3498db", "#f39c12"]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Etiquetas de porcentaje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i, val in enumerate(df_fiabilidad["Fiabilidad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plt.text(i, val + 0.3, f"{val:.2f}%", ha="center", fontsize=11, weight="bold")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plt.title(" Porcentaje de Fiabilidad de los Modelos (R² × 100)", fontsize=15,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plt.xlabel("Modelo")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plt.ylabel("Fiabilidad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plt.ylim(0, 105)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plt.tight_layout()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plt.show()</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VISUALIZACIÓN: Comparativa de Errores (MAE / RMSE)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matplotlib.pyplot as plt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seaborn as sns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Filtramos las filas de test (rendimiento real)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df_errores = metrics_df[metrics_df["model"].str.contains("test")].copy()</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Reformateamos a formato "long" para que seaborn lo pinte más fácil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df_melted = df_errores.melt(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xml:space="preserve">id_vars=["model"],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value_vars=["MAE", "RMSE"],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xml:space="preserve">var_name="Métrica",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value_name="Error"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Estilo gráfico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sns.set(style="whitegrid", font_scale=1.2)</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plt.figure(figsize=(9, 6))</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bars = sns.barplot(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data=df_melted,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x="model", y="Error", hue="Métrica",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palette=["#e67e22", "#c0392b"]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Etiquetas con los valores numéricos encima de cada barra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p in bars.patches: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height = p.get_height()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plt.text(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p.get_x() + p.get_width() / 2, height + 0.05,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f"{height:.2f}", ha="center", fontsize=10,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plt.title("📉 Comparativa de Errores de los Modelos (MAE / RMSE)", fontsize=15,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plt.xlabel("Modelo")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plt.ylabel("Valor del Error")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plt.legend(title="Métrica")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plt.tight_layout()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plt.show()</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plt.savefig(os.path.join(OUT_DIR, "comparativa_errores.png"), dpi=300, bbox_inches="tight")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VISUALIZACIÓN: Real vs Predicho (Modelo XGBoost)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matplotlib.pyplot as plt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random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Seleccionar un LSOA aleatorio o uno específico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lsoa_random = random.choice(df_test["LSOA code"].unique())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o elige uno manualmente, por ejemplo: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lsoa_random = "E01000001"</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Filtrar los datos de ese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df_lsoa = df[df["LSOA code"] == lsoa_random].sort_values("Month")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Crear matrices DMatrix para predicción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d_lsoa = xgb.DMatrix(df_lsoa[num_cols])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pred_lsoa = xgb_model.predict(d_lsoa)</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Construir DataFrame de comparación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df_plot = pd.DataFrame({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"Month": df_lsoa["Month"],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"Real": df_lsoa["crime_count"].values,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"Predicho (XGB)": pred_lsoa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Gráfico temporal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plt.figure(figsize=(10, 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plt.plot(df_plot["Month"], df_plot["Real"], label="Real", color="#2ecc71", linewidth=2.5)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plt.plot(df_plot["Month"], df_plot["Predicho (XGB)"], label="Predicho (XGB)", color="#e74c3c", linestyle="--", linewidth=2)</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plt.title(f"Crímenes Reales vs Predichos — LSOA: {lsoa_random}", fontsize=14,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plt.xlabel("Mes")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plt.ylabel("Número de Crímenes")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plt.legend()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plt.grid(alpha=0.3)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plt.tight_layout()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plt.show()</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Métricas locales para el gráfico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mae_local = mean_absolute_error(df_plot["Real"], df_plot["Predicho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r2_local  = r2_score(df_plot["Real"], df_plot["Predicho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print(f"LSOA {lsoa_random} -&gt; MAE: {mae_local:.3f} | R²: {r2_local:.3f}")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VISUALIZACIÓN FINAL: Tendencia Nacional — Real vs Predicho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matplotlib.pyplot as plt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 as np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Agregar predicciones y valores reales por mes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(solo test para medir generalización)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dtest_all = xgb.DMatrix(X_test_imp)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y_pred_test = xgb_model.predict(dtest_all)</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df_pred = df_test.copy()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df_pred["Predicho (XGB)"] = y_pred_test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Sumar crímenes reales y predichos por mes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df_monthly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df_pred.groupby("Month")[["crime_count", "Predicho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.sum()</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.reset_index()</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Gráfico temporal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plt.figure(figsize=(10, 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plt.plot(df_monthly["Month"], df_monthly["crime_count"], label="Real (Total UK)", color="#27ae60", linewidth=2.5)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plt.plot(df_monthly["Month"], df_monthly["Predicho (XGB)"], label="Predicho (XGB)", color="#e74c3c", linestyle="--", linewidth=2)</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plt.title(" Tendencia Nacional del Crimen — Real vs Predicho (XGBoost)", fontsize=14,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plt.xlabel("Mes")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plt.ylabel("Número total de crímenes (UK)")</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plt.legend()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plt.grid(alpha=0.3)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plt.tight_layout()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plt.show()</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Métricas globales de tendencia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mae_global = mean_absolute_error(df_monthly["crime_count"], df_monthly["Predicho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r2_global  = r2_score(df_monthly["crime_count"], df_monthly["Predicho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print(f"Tendencia Nacional -&gt; MAE: {mae_global:.3f} | R²: {r2_global:.3f}")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df_pred.to_csv(os.path.join(OUT_DIR, "predicciones_xgb_2025.csv"), index=False)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geopandas as gpd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folium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Cargar shapefile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gdf_lsoa = gpd.read_file("LSOA_2021_UK_Boundaries.shp")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Fusionar con tus predicciones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gdf_merge = gdf_lsoa.merge(df_pred, on="LSOA code", how="left")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Crear mapa interactivo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 = folium.Map(location=[54.5, -3], zoom_start=6, tiles="cartodbpositron")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folium.Choropleth(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geo_data=gdf_merge,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data=gdf_merge,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columns=["LSOA code", "Predicho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key_on="feature.properties.LSOA21CD",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fill_color="YlOrRd",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fill_opacity=0.7,</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line_opacity=0.2,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legend_name="Predicción de crimen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).add_to(m)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m.save(os.path.join(OUT_DIR, "mapa_hotspots.html"))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Etiquetas de porcentaje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i, val in enumerate(df_fiabilidad["Fiabilidad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plt.text(i, val + 0.3, f"{val:.2f}%", ha="center", fontsize=11, weight="bold")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plt.title(" Porcentaje de Fiabilidad de los Modelos (R² × 100)", fontsize=15,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plt.xlabel("Modelo")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plt.ylabel("Fiabilidad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plt.ylim(0, 105)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plt.tight_layout()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plt.show()</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VISUALIZACIÓN: Comparativa de Errores (MAE / RMSE)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matplotlib.pyplot as plt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seaborn as sns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Filtramos las filas de test (rendimiento real)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df_errores = metrics_df[metrics_df["model"].str.contains("test")].copy()</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Reformateamos a formato "long" para que seaborn lo pinte más fácil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df_melted = df_errores.melt(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xml:space="preserve">id_vars=["model"],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value_vars=["MAE", "RMSE"],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 xml:space="preserve">var_name="Métrica",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value_name="Error"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Estilo gráfico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sns.set(style="whitegrid", font_scale=1.2)</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plt.figure(figsize=(9, 6))</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bars = sns.barplot(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data=df_melted,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x="model", y="Error", hue="Métrica",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palette=["#e67e22", "#c0392b"]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Etiquetas con los valores numéricos encima de cada barra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for p in bars.patches: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height = p.get_height()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plt.text(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p.get_x() + p.get_width() / 2, height + 0.05,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f"{height:.2f}", ha="center", fontsize=10,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plt.title("Comparativa de Errores de los Modelos (MAE / RMSE)", fontsize=15,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plt.xlabel("Modelo")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plt.ylabel("Valor del Error")</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plt.legend(title="Métrica")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plt.tight_layout()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plt.show()</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plt.savefig(os.path.join(OUT_DIR, "comparativa_errores.png"), dpi=300, bbox_inches="tight")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VISUALIZACIÓN: Real vs Predicho (Modelo XGBoost)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matplotlib.pyplot as plt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random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Seleccionar un LSOA aleatorio o uno específico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lsoa_random = random.choice(df_test["LSOA code"].unique())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o elige uno manualmente, por ejemplo: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lsoa_random = "E01000001"</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Filtrar los datos de ese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df_lsoa = df[df["LSOA code"] == lsoa_random].sort_values("Month")</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Crear matrices DMatrix para predicción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d_lsoa = xgb.DMatrix(df_lsoa[num_cols])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pred_lsoa = xgb_model.predict(d_lsoa)</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Construir DataFrame de comparación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df_plot = pd.DataFrame({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"Month": df_lsoa["Month"],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"Real": df_lsoa["crime_count"].values,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"Predicho (XGB)": pred_lsoa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Gráfico temporal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plt.figure(figsize=(10, 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plt.plot(df_plot["Month"], df_plot["Real"], label="Real", color="#2ecc71", linewidth=2.5)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plt.plot(df_plot["Month"], df_plot["Predicho (XGB)"], label="Predicho (XGB)", color="#e74c3c", linestyle="--", linewidth=2)</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plt.title(f"Crímenes Reales vs Predichos — LSOA: {lsoa_random}", fontsize=14,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plt.xlabel("Mes")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plt.ylabel("Número de Crímenes")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plt.legend()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plt.grid(alpha=0.3)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plt.tight_layout()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plt.show()</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Métricas locales para el gráfico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mae_local = mean_absolute_error(df_plot["Real"], df_plot["Predicho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r2_local  = r2_score(df_plot["Real"], df_plot["Predicho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 LSOA {lsoa_random} -&gt; MAE: {mae_local:.3f} | R²: {r2_local:.3f}")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VISUALIZACIÓN FINAL: Tendencia Nacional — Real vs Predicho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matplotlib.pyplot as plt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pandas as 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numpy as np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Agregar predicciones y valores reales por mes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(solo test para medir generalización)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dtest_all = xgb.DMatrix(X_test_imp)</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y_pred_test = xgb_model.predict(dtest_all)</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df_pred = df_test.copy()</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df_pred["Predicho (XGB)"] = y_pred_test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Sumar crímenes reales y predichos por mes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df_monthly = (</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df_pred.groupby("Month")[["crime_count", "Predicho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.sum()</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.reset_index()</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Gráfico temporal</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plt.figure(figsize=(10, 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plt.plot(df_monthly["Month"], df_monthly["crime_count"], label="Real (Total UK)", color="#27ae60", linewidth=2.5)</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plt.plot(df_monthly["Month"], df_monthly["Predicho (XGB)"], label="Predicho (XGB)", color="#e74c3c", linestyle="--", linewidth=2)</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plt.title(" Tendencia Nacional del Crimen — Real vs Predicho (XGBoost)", fontsize=14, weight="bold")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plt.xlabel("Mes")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plt.ylabel("Número total de crímenes (UK)")</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plt.legend()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plt.grid(alpha=0.3)</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plt.tight_layout()</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plt.show()</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Métricas globales de tendencia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mae_global = mean_absolute_error(df_monthly["crime_count"], df_monthly["Predicho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r2_global  = r2_score(df_monthly["crime_count"], df_monthly["Predicho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print(f" Tendencia Nacional -&gt; MAE: {mae_global:.3f} | R²: {r2_global:.3f}")</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df_pred.to_csv(os.path.join(OUT_DIR, "predicciones_xgb_2025.csv"), index=False)</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geopandas as gpd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import folium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Cargar shapefile LSOA</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gdf_lsoa = gpd.read_file("LSOA_2021_UK_Boundaries.shp")</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Fusionar con tus predicciones</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gdf_merge = gdf_lsoa.merge(df_pred, on="LSOA code", how="left")</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Crear mapa interactivo</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 = folium.Map(location=[54.5, -3], zoom_start=6, tiles="cartodbpositron")</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folium.Choropleth(</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geo_data=gdf_merge,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data=gdf_merge,</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columns=["LSOA code", "Predicho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key_on="feature.properties.LSOA21CD",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fill_color="YlOrRd",</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fill_opacity=0.7,</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line_opacity=0.2,</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 xml:space="preserve">    </w:t>
      </w:r>
      <w:r>
        <w:rPr>
          <w:rFonts w:cs="Calibri" w:cstheme="minorHAnsi"/>
          <w:color w:themeColor="accent1" w:val="4472C4"/>
          <w:sz w:val="24"/>
          <w:szCs w:val="24"/>
        </w:rPr>
        <w:t>legend_name="Predicción de crimen (XGB)"</w:t>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).add_to(m)</w:t>
      </w:r>
    </w:p>
    <w:p>
      <w:pPr>
        <w:pStyle w:val="ListParagraph"/>
        <w:numPr>
          <w:ilvl w:val="0"/>
          <w:numId w:val="1"/>
        </w:numPr>
        <w:ind w:hanging="360" w:start="1418"/>
        <w:rPr>
          <w:rFonts w:cs="Calibri" w:cstheme="minorHAnsi"/>
          <w:sz w:val="24"/>
          <w:szCs w:val="24"/>
        </w:rPr>
      </w:pPr>
      <w:r>
        <w:rPr>
          <w:rFonts w:cs="Calibri" w:cstheme="minorHAnsi"/>
          <w:sz w:val="24"/>
          <w:szCs w:val="24"/>
        </w:rPr>
      </w:r>
    </w:p>
    <w:p>
      <w:pPr>
        <w:pStyle w:val="ListParagraph"/>
        <w:numPr>
          <w:ilvl w:val="0"/>
          <w:numId w:val="1"/>
        </w:numPr>
        <w:ind w:hanging="360" w:start="1418"/>
        <w:rPr>
          <w:rFonts w:cs="Calibri" w:cstheme="minorHAnsi"/>
          <w:sz w:val="24"/>
          <w:szCs w:val="24"/>
        </w:rPr>
      </w:pPr>
      <w:r>
        <w:rPr>
          <w:rFonts w:cs="Calibri" w:cstheme="minorHAnsi"/>
          <w:color w:themeColor="accent1" w:val="4472C4"/>
          <w:sz w:val="24"/>
          <w:szCs w:val="24"/>
        </w:rPr>
        <w:t>m.save(os.path.join(OUT_DIR, "mapa_hotspots.html"))</w:t>
      </w:r>
    </w:p>
    <w:p>
      <w:pPr>
        <w:pStyle w:val="ListParagraph"/>
        <w:ind w:hanging="360" w:start="1418"/>
        <w:rPr>
          <w:rFonts w:cs="Calibri" w:cstheme="minorHAnsi"/>
          <w:sz w:val="24"/>
          <w:szCs w:val="24"/>
        </w:rPr>
      </w:pPr>
      <w:r>
        <w:rPr>
          <w:rFonts w:cs="Calibri" w:cstheme="minorHAnsi"/>
          <w:sz w:val="24"/>
          <w:szCs w:val="24"/>
        </w:rPr>
      </w:r>
    </w:p>
    <w:p>
      <w:pPr>
        <w:pStyle w:val="ListParagraph"/>
        <w:ind w:hanging="360" w:start="1418"/>
        <w:rPr>
          <w:rFonts w:cs="Calibri" w:cstheme="minorHAnsi"/>
          <w:sz w:val="24"/>
          <w:szCs w:val="24"/>
        </w:rPr>
      </w:pPr>
      <w:r>
        <w:rPr>
          <w:rFonts w:cs="Calibri" w:cstheme="minorHAnsi"/>
          <w:sz w:val="24"/>
          <w:szCs w:val="24"/>
        </w:rPr>
      </w:r>
    </w:p>
    <w:p>
      <w:pPr>
        <w:pStyle w:val="ListParagraph"/>
        <w:ind w:hanging="0" w:start="1058"/>
        <w:rPr>
          <w:rFonts w:cs="Calibri" w:cstheme="minorHAnsi"/>
          <w:color w:themeColor="accent1" w:val="4472C4"/>
          <w:sz w:val="24"/>
          <w:szCs w:val="24"/>
        </w:rPr>
      </w:pPr>
      <w:r>
        <w:rPr>
          <w:rFonts w:cs="Calibri" w:cstheme="minorHAnsi"/>
          <w:color w:themeColor="accent1" w:val="4472C4"/>
          <w:sz w:val="24"/>
          <w:szCs w:val="24"/>
        </w:rPr>
      </w:r>
    </w:p>
    <w:p>
      <w:pPr>
        <w:pStyle w:val="ListParagraph"/>
        <w:spacing w:before="0" w:after="200"/>
        <w:ind w:hanging="0" w:start="1058"/>
        <w:contextualSpacing/>
        <w:rPr>
          <w:rFonts w:cs="Calibri" w:cstheme="minorHAnsi"/>
          <w:sz w:val="24"/>
          <w:szCs w:val="24"/>
        </w:rPr>
      </w:pPr>
      <w:r>
        <w:rPr>
          <w:rFonts w:cs="Calibri" w:cstheme="minorHAnsi"/>
          <w:sz w:val="24"/>
          <w:szCs w:val="24"/>
        </w:rPr>
      </w:r>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720" w:right="720" w:gutter="0" w:header="720" w:top="777" w:footer="720" w:bottom="777"/>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Courier New">
    <w:charset w:val="01" w:characterSet="utf-8"/>
    <w:family w:val="roman"/>
    <w:pitch w:val="variable"/>
  </w:font>
  <w:font w:name="Noto Sans Mono">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asciiTheme="minorHAnsi" w:cstheme="minorHAnsi" w:hAnsiTheme="minorHAnsi"/>
      </w:rPr>
    </w:pPr>
    <w:r>
      <w:rPr>
        <w:rFonts w:cs="Calibri" w:cstheme="minorHAnsi" w:ascii="Calibri" w:hAnsi="Calibri"/>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asciiTheme="minorHAnsi" w:cstheme="minorHAnsi" w:hAnsiTheme="minorHAnsi"/>
      </w:rPr>
    </w:pPr>
    <w:r>
      <w:rPr>
        <w:rFonts w:cs="Calibri" w:cstheme="minorHAnsi" w:ascii="Calibri" w:hAnsi="Calibri"/>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5000" w:type="pct"/>
      <w:jc w:val="center"/>
      <w:tblInd w:w="0" w:type="dxa"/>
      <w:tblLayout w:type="fixed"/>
      <w:tblCellMar>
        <w:top w:w="0" w:type="dxa"/>
        <w:start w:w="57" w:type="dxa"/>
        <w:bottom w:w="0" w:type="dxa"/>
        <w:end w:w="57" w:type="dxa"/>
      </w:tblCellMar>
      <w:tblLook w:val="04a0" w:noHBand="0" w:noVBand="1" w:firstColumn="1" w:lastRow="0" w:lastColumn="0" w:firstRow="1"/>
    </w:tblPr>
    <w:tblGrid>
      <w:gridCol w:w="7804"/>
      <w:gridCol w:w="2662"/>
    </w:tblGrid>
    <w:tr>
      <w:trPr/>
      <w:tc>
        <w:tcPr>
          <w:tcW w:w="7804" w:type="dxa"/>
          <w:tcBorders>
            <w:top w:val="nil"/>
            <w:start w:val="nil"/>
            <w:bottom w:val="nil"/>
            <w:end w:val="nil"/>
          </w:tcBorders>
          <w:vAlign w:val="bottom"/>
        </w:tcPr>
        <w:p>
          <w:pPr>
            <w:pStyle w:val="Normal"/>
            <w:widowControl/>
            <w:suppressAutoHyphens w:val="true"/>
            <w:spacing w:before="0" w:after="0"/>
            <w:ind w:end="-644"/>
            <w:jc w:val="start"/>
            <w:rPr>
              <w:rFonts w:ascii="Arial" w:hAnsi="Arial" w:cs="Arial"/>
              <w:b/>
              <w:iCs/>
              <w:sz w:val="24"/>
              <w:szCs w:val="24"/>
            </w:rPr>
          </w:pPr>
          <w:r>
            <w:rPr>
              <w:rFonts w:eastAsia="" w:cs="Arial" w:ascii="Arial" w:hAnsi="Arial"/>
              <w:b/>
              <w:iCs/>
              <w:kern w:val="0"/>
              <w:sz w:val="24"/>
              <w:szCs w:val="24"/>
              <w:lang w:val="en-GB" w:bidi="ar-SA"/>
            </w:rPr>
            <w:t>College of Engineering, Environment and Science</w:t>
          </w:r>
        </w:p>
        <w:p>
          <w:pPr>
            <w:pStyle w:val="Heading5"/>
            <w:widowControl/>
            <w:suppressAutoHyphens w:val="true"/>
            <w:spacing w:before="0" w:after="0"/>
            <w:ind w:end="-644"/>
            <w:jc w:val="start"/>
            <w:rPr>
              <w:rFonts w:ascii="Arial" w:hAnsi="Arial" w:cs="Arial"/>
              <w:bCs w:val="false"/>
              <w:i w:val="false"/>
              <w:i w:val="false"/>
              <w:sz w:val="28"/>
              <w:szCs w:val="28"/>
            </w:rPr>
          </w:pPr>
          <w:r>
            <w:rPr>
              <w:rFonts w:eastAsia="" w:cs="Arial" w:ascii="Arial" w:hAnsi="Arial"/>
              <w:bCs w:val="false"/>
              <w:i w:val="false"/>
              <w:kern w:val="0"/>
              <w:sz w:val="28"/>
              <w:szCs w:val="28"/>
              <w:lang w:val="en-GB" w:bidi="ar-SA"/>
            </w:rPr>
            <w:t>6001CMD Machine Learning</w:t>
          </w:r>
        </w:p>
        <w:p>
          <w:pPr>
            <w:pStyle w:val="Normal"/>
            <w:widowControl/>
            <w:suppressAutoHyphens w:val="true"/>
            <w:spacing w:before="0" w:after="0"/>
            <w:ind w:end="-644"/>
            <w:jc w:val="start"/>
            <w:rPr>
              <w:rFonts w:ascii="Arial" w:hAnsi="Arial" w:cs="Arial"/>
              <w:b/>
              <w:iCs/>
              <w:sz w:val="24"/>
              <w:szCs w:val="24"/>
            </w:rPr>
          </w:pPr>
          <w:r>
            <w:rPr>
              <w:rFonts w:eastAsia="" w:cs="Calibri" w:ascii="Calibri" w:hAnsi="Calibri" w:cstheme="minorHAnsi"/>
              <w:b/>
              <w:kern w:val="0"/>
              <w:sz w:val="24"/>
              <w:szCs w:val="24"/>
              <w:lang w:val="en-GB" w:bidi="ar-SA"/>
            </w:rPr>
            <w:t xml:space="preserve">Coursework </w:t>
          </w:r>
        </w:p>
      </w:tc>
      <w:tc>
        <w:tcPr>
          <w:tcW w:w="2662" w:type="dxa"/>
          <w:tcBorders>
            <w:top w:val="nil"/>
            <w:start w:val="nil"/>
            <w:bottom w:val="nil"/>
            <w:end w:val="nil"/>
          </w:tcBorders>
          <w:vAlign w:val="bottom"/>
        </w:tcPr>
        <w:p>
          <w:pPr>
            <w:pStyle w:val="Normal"/>
            <w:widowControl/>
            <w:suppressAutoHyphens w:val="true"/>
            <w:spacing w:before="0" w:after="0"/>
            <w:jc w:val="end"/>
            <w:rPr>
              <w:rFonts w:ascii="Arial" w:hAnsi="Arial" w:cs="Arial"/>
              <w:b/>
              <w:iCs/>
              <w:sz w:val="24"/>
              <w:szCs w:val="24"/>
            </w:rPr>
          </w:pPr>
          <w:r>
            <w:rPr/>
            <w:drawing>
              <wp:inline distT="0" distB="0" distL="0" distR="0">
                <wp:extent cx="1139825" cy="784225"/>
                <wp:effectExtent l="0" t="0" r="0" b="0"/>
                <wp:docPr id="1" name="Picture 5" descr="http://upload.wikimedia.org/wikipedia/en/thumb/4/48/Coventry_University_logo.svg/1280px-Coventry_University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http://upload.wikimedia.org/wikipedia/en/thumb/4/48/Coventry_University_logo.svg/1280px-Coventry_University_logo.svg.png"/>
                        <pic:cNvPicPr>
                          <a:picLocks noChangeAspect="1" noChangeArrowheads="1"/>
                        </pic:cNvPicPr>
                      </pic:nvPicPr>
                      <pic:blipFill>
                        <a:blip r:embed="rId1"/>
                        <a:stretch>
                          <a:fillRect/>
                        </a:stretch>
                      </pic:blipFill>
                      <pic:spPr bwMode="auto">
                        <a:xfrm>
                          <a:off x="0" y="0"/>
                          <a:ext cx="1139825" cy="784225"/>
                        </a:xfrm>
                        <a:prstGeom prst="rect">
                          <a:avLst/>
                        </a:prstGeom>
                        <a:noFill/>
                      </pic:spPr>
                    </pic:pic>
                  </a:graphicData>
                </a:graphic>
              </wp:inline>
            </w:drawing>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5000" w:type="pct"/>
      <w:jc w:val="center"/>
      <w:tblInd w:w="0" w:type="dxa"/>
      <w:tblLayout w:type="fixed"/>
      <w:tblCellMar>
        <w:top w:w="0" w:type="dxa"/>
        <w:start w:w="57" w:type="dxa"/>
        <w:bottom w:w="0" w:type="dxa"/>
        <w:end w:w="57" w:type="dxa"/>
      </w:tblCellMar>
      <w:tblLook w:val="04a0" w:noHBand="0" w:noVBand="1" w:firstColumn="1" w:lastRow="0" w:lastColumn="0" w:firstRow="1"/>
    </w:tblPr>
    <w:tblGrid>
      <w:gridCol w:w="7804"/>
      <w:gridCol w:w="2662"/>
    </w:tblGrid>
    <w:tr>
      <w:trPr/>
      <w:tc>
        <w:tcPr>
          <w:tcW w:w="7804" w:type="dxa"/>
          <w:tcBorders>
            <w:top w:val="nil"/>
            <w:start w:val="nil"/>
            <w:bottom w:val="nil"/>
            <w:end w:val="nil"/>
          </w:tcBorders>
          <w:vAlign w:val="bottom"/>
        </w:tcPr>
        <w:p>
          <w:pPr>
            <w:pStyle w:val="Normal"/>
            <w:widowControl/>
            <w:suppressAutoHyphens w:val="true"/>
            <w:spacing w:before="0" w:after="0"/>
            <w:ind w:end="-644"/>
            <w:jc w:val="start"/>
            <w:rPr>
              <w:rFonts w:ascii="Arial" w:hAnsi="Arial" w:cs="Arial"/>
              <w:b/>
              <w:iCs/>
              <w:sz w:val="24"/>
              <w:szCs w:val="24"/>
            </w:rPr>
          </w:pPr>
          <w:r>
            <w:rPr>
              <w:rFonts w:eastAsia="" w:cs="Arial" w:ascii="Arial" w:hAnsi="Arial"/>
              <w:b/>
              <w:iCs/>
              <w:kern w:val="0"/>
              <w:sz w:val="24"/>
              <w:szCs w:val="24"/>
              <w:lang w:val="en-GB" w:bidi="ar-SA"/>
            </w:rPr>
            <w:t>College of Engineering, Environment and Science</w:t>
          </w:r>
        </w:p>
        <w:p>
          <w:pPr>
            <w:pStyle w:val="Heading5"/>
            <w:widowControl/>
            <w:suppressAutoHyphens w:val="true"/>
            <w:spacing w:before="0" w:after="0"/>
            <w:ind w:end="-644"/>
            <w:jc w:val="start"/>
            <w:rPr>
              <w:rFonts w:ascii="Arial" w:hAnsi="Arial" w:cs="Arial"/>
              <w:bCs w:val="false"/>
              <w:i w:val="false"/>
              <w:i w:val="false"/>
              <w:sz w:val="28"/>
              <w:szCs w:val="28"/>
            </w:rPr>
          </w:pPr>
          <w:r>
            <w:rPr>
              <w:rFonts w:eastAsia="" w:cs="Arial" w:ascii="Arial" w:hAnsi="Arial"/>
              <w:bCs w:val="false"/>
              <w:i w:val="false"/>
              <w:kern w:val="0"/>
              <w:sz w:val="28"/>
              <w:szCs w:val="28"/>
              <w:lang w:val="en-GB" w:bidi="ar-SA"/>
            </w:rPr>
            <w:t>6001CMD Machine Learning</w:t>
          </w:r>
        </w:p>
        <w:p>
          <w:pPr>
            <w:pStyle w:val="Normal"/>
            <w:widowControl/>
            <w:suppressAutoHyphens w:val="true"/>
            <w:spacing w:before="0" w:after="0"/>
            <w:ind w:end="-644"/>
            <w:jc w:val="start"/>
            <w:rPr>
              <w:rFonts w:ascii="Arial" w:hAnsi="Arial" w:cs="Arial"/>
              <w:b/>
              <w:iCs/>
              <w:sz w:val="24"/>
              <w:szCs w:val="24"/>
            </w:rPr>
          </w:pPr>
          <w:r>
            <w:rPr>
              <w:rFonts w:eastAsia="" w:cs="Calibri" w:ascii="Calibri" w:hAnsi="Calibri" w:cstheme="minorHAnsi"/>
              <w:b/>
              <w:kern w:val="0"/>
              <w:sz w:val="24"/>
              <w:szCs w:val="24"/>
              <w:lang w:val="en-GB" w:bidi="ar-SA"/>
            </w:rPr>
            <w:t xml:space="preserve">Coursework </w:t>
          </w:r>
        </w:p>
      </w:tc>
      <w:tc>
        <w:tcPr>
          <w:tcW w:w="2662" w:type="dxa"/>
          <w:tcBorders>
            <w:top w:val="nil"/>
            <w:start w:val="nil"/>
            <w:bottom w:val="nil"/>
            <w:end w:val="nil"/>
          </w:tcBorders>
          <w:vAlign w:val="bottom"/>
        </w:tcPr>
        <w:p>
          <w:pPr>
            <w:pStyle w:val="Normal"/>
            <w:widowControl/>
            <w:suppressAutoHyphens w:val="true"/>
            <w:spacing w:before="0" w:after="0"/>
            <w:jc w:val="end"/>
            <w:rPr>
              <w:rFonts w:ascii="Arial" w:hAnsi="Arial" w:cs="Arial"/>
              <w:b/>
              <w:iCs/>
              <w:sz w:val="24"/>
              <w:szCs w:val="24"/>
            </w:rPr>
          </w:pPr>
          <w:r>
            <w:rPr/>
            <w:drawing>
              <wp:inline distT="0" distB="0" distL="0" distR="0">
                <wp:extent cx="1139825" cy="784225"/>
                <wp:effectExtent l="0" t="0" r="0" b="0"/>
                <wp:docPr id="2" name="Picture 5" descr="http://upload.wikimedia.org/wikipedia/en/thumb/4/48/Coventry_University_logo.svg/1280px-Coventry_University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http://upload.wikimedia.org/wikipedia/en/thumb/4/48/Coventry_University_logo.svg/1280px-Coventry_University_logo.svg.png"/>
                        <pic:cNvPicPr>
                          <a:picLocks noChangeAspect="1" noChangeArrowheads="1"/>
                        </pic:cNvPicPr>
                      </pic:nvPicPr>
                      <pic:blipFill>
                        <a:blip r:embed="rId1"/>
                        <a:stretch>
                          <a:fillRect/>
                        </a:stretch>
                      </pic:blipFill>
                      <pic:spPr bwMode="auto">
                        <a:xfrm>
                          <a:off x="0" y="0"/>
                          <a:ext cx="1139825" cy="784225"/>
                        </a:xfrm>
                        <a:prstGeom prst="rect">
                          <a:avLst/>
                        </a:prstGeom>
                        <a:noFill/>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709"/>
        </w:tabs>
        <w:ind w:start="709" w:hanging="283"/>
      </w:pPr>
      <w:rPr>
        <w:sz w:val="20"/>
        <w:b w:val="false"/>
        <w:szCs w:val="20"/>
        <w:bCs w:val="false"/>
      </w:rPr>
    </w:lvl>
    <w:lvl w:ilvl="1">
      <w:start w:val="1"/>
      <w:numFmt w:val="decimal"/>
      <w:lvlText w:val="%2."/>
      <w:lvlJc w:val="start"/>
      <w:pPr>
        <w:tabs>
          <w:tab w:val="num" w:pos="1418"/>
        </w:tabs>
        <w:ind w:start="1418" w:hanging="283"/>
      </w:pPr>
      <w:rPr>
        <w:sz w:val="20"/>
        <w:b w:val="false"/>
        <w:szCs w:val="20"/>
        <w:bCs w:val="false"/>
      </w:rPr>
    </w:lvl>
    <w:lvl w:ilvl="2">
      <w:start w:val="1"/>
      <w:numFmt w:val="decimal"/>
      <w:lvlText w:val="%3."/>
      <w:lvlJc w:val="start"/>
      <w:pPr>
        <w:tabs>
          <w:tab w:val="num" w:pos="2127"/>
        </w:tabs>
        <w:ind w:start="2127" w:hanging="283"/>
      </w:pPr>
      <w:rPr>
        <w:sz w:val="20"/>
        <w:b w:val="false"/>
        <w:szCs w:val="20"/>
        <w:bCs w:val="false"/>
      </w:rPr>
    </w:lvl>
    <w:lvl w:ilvl="3">
      <w:start w:val="1"/>
      <w:numFmt w:val="decimal"/>
      <w:lvlText w:val="%4."/>
      <w:lvlJc w:val="start"/>
      <w:pPr>
        <w:tabs>
          <w:tab w:val="num" w:pos="2836"/>
        </w:tabs>
        <w:ind w:start="2836" w:hanging="283"/>
      </w:pPr>
      <w:rPr>
        <w:sz w:val="20"/>
        <w:b w:val="false"/>
        <w:szCs w:val="20"/>
        <w:bCs w:val="false"/>
      </w:rPr>
    </w:lvl>
    <w:lvl w:ilvl="4">
      <w:start w:val="1"/>
      <w:numFmt w:val="decimal"/>
      <w:lvlText w:val="%5."/>
      <w:lvlJc w:val="start"/>
      <w:pPr>
        <w:tabs>
          <w:tab w:val="num" w:pos="3545"/>
        </w:tabs>
        <w:ind w:start="3545" w:hanging="283"/>
      </w:pPr>
      <w:rPr>
        <w:sz w:val="20"/>
        <w:b w:val="false"/>
        <w:szCs w:val="20"/>
        <w:bCs w:val="false"/>
      </w:rPr>
    </w:lvl>
    <w:lvl w:ilvl="5">
      <w:start w:val="1"/>
      <w:numFmt w:val="decimal"/>
      <w:lvlText w:val="%6."/>
      <w:lvlJc w:val="start"/>
      <w:pPr>
        <w:tabs>
          <w:tab w:val="num" w:pos="4254"/>
        </w:tabs>
        <w:ind w:start="4254" w:hanging="283"/>
      </w:pPr>
      <w:rPr>
        <w:sz w:val="20"/>
        <w:b w:val="false"/>
        <w:szCs w:val="20"/>
        <w:bCs w:val="false"/>
      </w:rPr>
    </w:lvl>
    <w:lvl w:ilvl="6">
      <w:start w:val="1"/>
      <w:numFmt w:val="decimal"/>
      <w:lvlText w:val="%7."/>
      <w:lvlJc w:val="start"/>
      <w:pPr>
        <w:tabs>
          <w:tab w:val="num" w:pos="4963"/>
        </w:tabs>
        <w:ind w:start="4963" w:hanging="283"/>
      </w:pPr>
      <w:rPr>
        <w:sz w:val="20"/>
        <w:b w:val="false"/>
        <w:szCs w:val="20"/>
        <w:bCs w:val="false"/>
      </w:rPr>
    </w:lvl>
    <w:lvl w:ilvl="7">
      <w:start w:val="1"/>
      <w:numFmt w:val="decimal"/>
      <w:lvlText w:val="%8."/>
      <w:lvlJc w:val="start"/>
      <w:pPr>
        <w:tabs>
          <w:tab w:val="num" w:pos="5672"/>
        </w:tabs>
        <w:ind w:start="5672" w:hanging="283"/>
      </w:pPr>
      <w:rPr>
        <w:sz w:val="20"/>
        <w:b w:val="false"/>
        <w:szCs w:val="20"/>
        <w:bCs w:val="false"/>
      </w:rPr>
    </w:lvl>
    <w:lvl w:ilvl="8">
      <w:start w:val="1"/>
      <w:numFmt w:val="decimal"/>
      <w:lvlText w:val="%9."/>
      <w:lvlJc w:val="start"/>
      <w:pPr>
        <w:tabs>
          <w:tab w:val="num" w:pos="6381"/>
        </w:tabs>
        <w:ind w:start="6381" w:hanging="283"/>
      </w:pPr>
      <w:rPr>
        <w:sz w:val="20"/>
        <w:b w:val="false"/>
        <w:szCs w:val="20"/>
        <w:bCs w:val="false"/>
      </w:rPr>
    </w:lvl>
  </w:abstractNum>
  <w:abstractNum w:abstractNumId="3">
    <w:lvl w:ilvl="0">
      <w:start w:val="10"/>
      <w:numFmt w:val="decimal"/>
      <w:lvlText w:val="%1."/>
      <w:lvlJc w:val="start"/>
      <w:pPr>
        <w:tabs>
          <w:tab w:val="num" w:pos="709"/>
        </w:tabs>
        <w:ind w:start="709" w:hanging="283"/>
      </w:pPr>
      <w:rPr>
        <w:sz w:val="20"/>
        <w:b w:val="false"/>
        <w:szCs w:val="20"/>
        <w:bCs w:val="false"/>
      </w:rPr>
    </w:lvl>
    <w:lvl w:ilvl="1">
      <w:start w:val="1"/>
      <w:numFmt w:val="decimal"/>
      <w:lvlText w:val="%2."/>
      <w:lvlJc w:val="start"/>
      <w:pPr>
        <w:tabs>
          <w:tab w:val="num" w:pos="1418"/>
        </w:tabs>
        <w:ind w:start="1418" w:hanging="283"/>
      </w:pPr>
      <w:rPr>
        <w:sz w:val="20"/>
        <w:b w:val="false"/>
        <w:szCs w:val="20"/>
        <w:bCs w:val="false"/>
      </w:rPr>
    </w:lvl>
    <w:lvl w:ilvl="2">
      <w:start w:val="1"/>
      <w:numFmt w:val="decimal"/>
      <w:lvlText w:val="%3."/>
      <w:lvlJc w:val="start"/>
      <w:pPr>
        <w:tabs>
          <w:tab w:val="num" w:pos="2127"/>
        </w:tabs>
        <w:ind w:start="2127" w:hanging="283"/>
      </w:pPr>
      <w:rPr>
        <w:sz w:val="20"/>
        <w:b w:val="false"/>
        <w:szCs w:val="20"/>
        <w:bCs w:val="false"/>
      </w:rPr>
    </w:lvl>
    <w:lvl w:ilvl="3">
      <w:start w:val="1"/>
      <w:numFmt w:val="decimal"/>
      <w:lvlText w:val="%4."/>
      <w:lvlJc w:val="start"/>
      <w:pPr>
        <w:tabs>
          <w:tab w:val="num" w:pos="2836"/>
        </w:tabs>
        <w:ind w:start="2836" w:hanging="283"/>
      </w:pPr>
      <w:rPr>
        <w:sz w:val="20"/>
        <w:b w:val="false"/>
        <w:szCs w:val="20"/>
        <w:bCs w:val="false"/>
      </w:rPr>
    </w:lvl>
    <w:lvl w:ilvl="4">
      <w:start w:val="1"/>
      <w:numFmt w:val="decimal"/>
      <w:lvlText w:val="%5."/>
      <w:lvlJc w:val="start"/>
      <w:pPr>
        <w:tabs>
          <w:tab w:val="num" w:pos="3545"/>
        </w:tabs>
        <w:ind w:start="3545" w:hanging="283"/>
      </w:pPr>
      <w:rPr>
        <w:sz w:val="20"/>
        <w:b w:val="false"/>
        <w:szCs w:val="20"/>
        <w:bCs w:val="false"/>
      </w:rPr>
    </w:lvl>
    <w:lvl w:ilvl="5">
      <w:start w:val="1"/>
      <w:numFmt w:val="decimal"/>
      <w:lvlText w:val="%6."/>
      <w:lvlJc w:val="start"/>
      <w:pPr>
        <w:tabs>
          <w:tab w:val="num" w:pos="4254"/>
        </w:tabs>
        <w:ind w:start="4254" w:hanging="283"/>
      </w:pPr>
      <w:rPr>
        <w:sz w:val="20"/>
        <w:b w:val="false"/>
        <w:szCs w:val="20"/>
        <w:bCs w:val="false"/>
      </w:rPr>
    </w:lvl>
    <w:lvl w:ilvl="6">
      <w:start w:val="1"/>
      <w:numFmt w:val="decimal"/>
      <w:lvlText w:val="%7."/>
      <w:lvlJc w:val="start"/>
      <w:pPr>
        <w:tabs>
          <w:tab w:val="num" w:pos="4963"/>
        </w:tabs>
        <w:ind w:start="4963" w:hanging="283"/>
      </w:pPr>
      <w:rPr>
        <w:sz w:val="20"/>
        <w:b w:val="false"/>
        <w:szCs w:val="20"/>
        <w:bCs w:val="false"/>
      </w:rPr>
    </w:lvl>
    <w:lvl w:ilvl="7">
      <w:start w:val="1"/>
      <w:numFmt w:val="decimal"/>
      <w:lvlText w:val="%8."/>
      <w:lvlJc w:val="start"/>
      <w:pPr>
        <w:tabs>
          <w:tab w:val="num" w:pos="5672"/>
        </w:tabs>
        <w:ind w:start="5672" w:hanging="283"/>
      </w:pPr>
      <w:rPr>
        <w:sz w:val="20"/>
        <w:b w:val="false"/>
        <w:szCs w:val="20"/>
        <w:bCs w:val="false"/>
      </w:rPr>
    </w:lvl>
    <w:lvl w:ilvl="8">
      <w:start w:val="1"/>
      <w:numFmt w:val="decimal"/>
      <w:lvlText w:val="%9."/>
      <w:lvlJc w:val="start"/>
      <w:pPr>
        <w:tabs>
          <w:tab w:val="num" w:pos="6381"/>
        </w:tabs>
        <w:ind w:start="6381" w:hanging="283"/>
      </w:pPr>
      <w:rPr>
        <w:sz w:val="20"/>
        <w:b w:val="false"/>
        <w:szCs w:val="20"/>
        <w:bCs w:val="false"/>
      </w:rPr>
    </w:lvl>
  </w:abstractNum>
  <w:abstractNum w:abstractNumId="4">
    <w:lvl w:ilvl="0">
      <w:start w:val="11"/>
      <w:numFmt w:val="decimal"/>
      <w:lvlText w:val="%1."/>
      <w:lvlJc w:val="start"/>
      <w:pPr>
        <w:tabs>
          <w:tab w:val="num" w:pos="709"/>
        </w:tabs>
        <w:ind w:start="709" w:hanging="283"/>
      </w:pPr>
      <w:rPr>
        <w:sz w:val="20"/>
        <w:b w:val="false"/>
        <w:szCs w:val="20"/>
        <w:bCs w:val="false"/>
      </w:rPr>
    </w:lvl>
    <w:lvl w:ilvl="1">
      <w:start w:val="1"/>
      <w:numFmt w:val="decimal"/>
      <w:lvlText w:val="%2."/>
      <w:lvlJc w:val="start"/>
      <w:pPr>
        <w:tabs>
          <w:tab w:val="num" w:pos="1418"/>
        </w:tabs>
        <w:ind w:start="1418" w:hanging="283"/>
      </w:pPr>
      <w:rPr>
        <w:sz w:val="20"/>
        <w:b w:val="false"/>
        <w:szCs w:val="20"/>
        <w:bCs w:val="false"/>
      </w:rPr>
    </w:lvl>
    <w:lvl w:ilvl="2">
      <w:start w:val="1"/>
      <w:numFmt w:val="decimal"/>
      <w:lvlText w:val="%3."/>
      <w:lvlJc w:val="start"/>
      <w:pPr>
        <w:tabs>
          <w:tab w:val="num" w:pos="2127"/>
        </w:tabs>
        <w:ind w:start="2127" w:hanging="283"/>
      </w:pPr>
      <w:rPr>
        <w:sz w:val="20"/>
        <w:b w:val="false"/>
        <w:szCs w:val="20"/>
        <w:bCs w:val="false"/>
      </w:rPr>
    </w:lvl>
    <w:lvl w:ilvl="3">
      <w:start w:val="1"/>
      <w:numFmt w:val="decimal"/>
      <w:lvlText w:val="%4."/>
      <w:lvlJc w:val="start"/>
      <w:pPr>
        <w:tabs>
          <w:tab w:val="num" w:pos="2836"/>
        </w:tabs>
        <w:ind w:start="2836" w:hanging="283"/>
      </w:pPr>
      <w:rPr>
        <w:sz w:val="20"/>
        <w:b w:val="false"/>
        <w:szCs w:val="20"/>
        <w:bCs w:val="false"/>
      </w:rPr>
    </w:lvl>
    <w:lvl w:ilvl="4">
      <w:start w:val="1"/>
      <w:numFmt w:val="decimal"/>
      <w:lvlText w:val="%5."/>
      <w:lvlJc w:val="start"/>
      <w:pPr>
        <w:tabs>
          <w:tab w:val="num" w:pos="3545"/>
        </w:tabs>
        <w:ind w:start="3545" w:hanging="283"/>
      </w:pPr>
      <w:rPr>
        <w:sz w:val="20"/>
        <w:b w:val="false"/>
        <w:szCs w:val="20"/>
        <w:bCs w:val="false"/>
      </w:rPr>
    </w:lvl>
    <w:lvl w:ilvl="5">
      <w:start w:val="1"/>
      <w:numFmt w:val="decimal"/>
      <w:lvlText w:val="%6."/>
      <w:lvlJc w:val="start"/>
      <w:pPr>
        <w:tabs>
          <w:tab w:val="num" w:pos="4254"/>
        </w:tabs>
        <w:ind w:start="4254" w:hanging="283"/>
      </w:pPr>
      <w:rPr>
        <w:sz w:val="20"/>
        <w:b w:val="false"/>
        <w:szCs w:val="20"/>
        <w:bCs w:val="false"/>
      </w:rPr>
    </w:lvl>
    <w:lvl w:ilvl="6">
      <w:start w:val="1"/>
      <w:numFmt w:val="decimal"/>
      <w:lvlText w:val="%7."/>
      <w:lvlJc w:val="start"/>
      <w:pPr>
        <w:tabs>
          <w:tab w:val="num" w:pos="4963"/>
        </w:tabs>
        <w:ind w:start="4963" w:hanging="283"/>
      </w:pPr>
      <w:rPr>
        <w:sz w:val="20"/>
        <w:b w:val="false"/>
        <w:szCs w:val="20"/>
        <w:bCs w:val="false"/>
      </w:rPr>
    </w:lvl>
    <w:lvl w:ilvl="7">
      <w:start w:val="1"/>
      <w:numFmt w:val="decimal"/>
      <w:lvlText w:val="%8."/>
      <w:lvlJc w:val="start"/>
      <w:pPr>
        <w:tabs>
          <w:tab w:val="num" w:pos="5672"/>
        </w:tabs>
        <w:ind w:start="5672" w:hanging="283"/>
      </w:pPr>
      <w:rPr>
        <w:sz w:val="20"/>
        <w:b w:val="false"/>
        <w:szCs w:val="20"/>
        <w:bCs w:val="false"/>
      </w:rPr>
    </w:lvl>
    <w:lvl w:ilvl="8">
      <w:start w:val="1"/>
      <w:numFmt w:val="decimal"/>
      <w:lvlText w:val="%9."/>
      <w:lvlJc w:val="start"/>
      <w:pPr>
        <w:tabs>
          <w:tab w:val="num" w:pos="6381"/>
        </w:tabs>
        <w:ind w:start="6381" w:hanging="283"/>
      </w:pPr>
      <w:rPr>
        <w:sz w:val="20"/>
        <w:b w:val="false"/>
        <w:szCs w:val="20"/>
        <w:bCs w:val="false"/>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docVars>
    <w:docVar w:name="__Grammarly_42____i" w:val="H4sIAAAAAAAEAKtWckksSQxILCpxzi/NK1GyMqwFAAEhoTITAAAA"/>
    <w:docVar w:name="__Grammarly_42___1" w:val="H4sIAAAAAAAEAKtWcslP9kxRslIyNDYyNTU1MTE0N7A0NjcyMjRW0lEKTi0uzszPAykwNKgFAJZ1UMI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99"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05db7"/>
    <w:pPr>
      <w:widowControl/>
      <w:suppressAutoHyphens w:val="true"/>
      <w:bidi w:val="0"/>
      <w:spacing w:before="0" w:after="0"/>
      <w:jc w:val="start"/>
    </w:pPr>
    <w:rPr>
      <w:rFonts w:ascii="Times New Roman" w:hAnsi="Times New Roman" w:eastAsia="Times New Roman" w:cs="Times New Roman"/>
      <w:color w:val="auto"/>
      <w:kern w:val="0"/>
      <w:sz w:val="20"/>
      <w:szCs w:val="20"/>
      <w:lang w:val="en-GB" w:eastAsia="en-US" w:bidi="ar-SA"/>
    </w:rPr>
  </w:style>
  <w:style w:type="paragraph" w:styleId="Heading1">
    <w:name w:val="heading 1"/>
    <w:basedOn w:val="Heading"/>
    <w:next w:val="BodyText"/>
    <w:qFormat/>
    <w:pPr>
      <w:numPr>
        <w:ilvl w:val="0"/>
        <w:numId w:val="0"/>
      </w:numPr>
      <w:spacing w:before="240" w:after="120"/>
      <w:outlineLvl w:val="0"/>
    </w:pPr>
    <w:rPr>
      <w:rFonts w:ascii="Noto Serif" w:hAnsi="Noto Serif" w:eastAsia="Noto Serif CJK SC" w:cs="Noto Sans Devanagari"/>
      <w:b/>
      <w:bCs/>
      <w:sz w:val="48"/>
      <w:szCs w:val="48"/>
    </w:rPr>
  </w:style>
  <w:style w:type="paragraph" w:styleId="Heading2">
    <w:name w:val="heading 2"/>
    <w:basedOn w:val="Heading"/>
    <w:next w:val="BodyText"/>
    <w:qFormat/>
    <w:pPr>
      <w:numPr>
        <w:ilvl w:val="0"/>
        <w:numId w:val="0"/>
      </w:numPr>
      <w:spacing w:before="200" w:after="120"/>
      <w:outlineLvl w:val="1"/>
    </w:pPr>
    <w:rPr>
      <w:rFonts w:ascii="Noto Serif" w:hAnsi="Noto Serif" w:eastAsia="Noto Serif CJK SC" w:cs="Noto Sans Devanagari"/>
      <w:b/>
      <w:bCs/>
      <w:sz w:val="36"/>
      <w:szCs w:val="36"/>
    </w:rPr>
  </w:style>
  <w:style w:type="paragraph" w:styleId="Heading3">
    <w:name w:val="heading 3"/>
    <w:basedOn w:val="Normal"/>
    <w:link w:val="Heading3Char"/>
    <w:semiHidden/>
    <w:unhideWhenUsed/>
    <w:qFormat/>
    <w:rsid w:val="00cd2660"/>
    <w:pPr>
      <w:keepNext w:val="true"/>
      <w:outlineLvl w:val="2"/>
    </w:pPr>
    <w:rPr>
      <w:rFonts w:ascii="Tahoma" w:hAnsi="Tahoma" w:cs="Tahoma"/>
      <w:b/>
      <w:bCs/>
      <w:sz w:val="18"/>
      <w:szCs w:val="18"/>
      <w:lang w:eastAsia="en-GB"/>
    </w:rPr>
  </w:style>
  <w:style w:type="paragraph" w:styleId="Heading5">
    <w:name w:val="heading 5"/>
    <w:basedOn w:val="Normal"/>
    <w:link w:val="Heading5Char"/>
    <w:unhideWhenUsed/>
    <w:qFormat/>
    <w:rsid w:val="00cd2660"/>
    <w:pPr>
      <w:keepNext w:val="true"/>
      <w:outlineLvl w:val="4"/>
    </w:pPr>
    <w:rPr>
      <w:rFonts w:ascii="Tahoma" w:hAnsi="Tahoma" w:cs="Tahoma"/>
      <w:b/>
      <w:bCs/>
      <w:i/>
      <w:iCs/>
      <w:sz w:val="16"/>
      <w:szCs w:val="16"/>
      <w:lang w:eastAsia="en-GB"/>
    </w:rPr>
  </w:style>
  <w:style w:type="character" w:styleId="DefaultParagraphFont" w:default="1">
    <w:name w:val="Default Paragraph Font"/>
    <w:uiPriority w:val="1"/>
    <w:semiHidden/>
    <w:unhideWhenUsed/>
    <w:qFormat/>
    <w:rPr/>
  </w:style>
  <w:style w:type="character" w:styleId="PersonalComposeStyle" w:customStyle="1">
    <w:name w:val="Personal Compose Style"/>
    <w:basedOn w:val="DefaultParagraphFont"/>
    <w:qFormat/>
    <w:rPr>
      <w:rFonts w:ascii="Arial" w:hAnsi="Arial" w:cs="Arial"/>
      <w:color w:val="auto"/>
      <w:sz w:val="20"/>
    </w:rPr>
  </w:style>
  <w:style w:type="character" w:styleId="PersonalReplyStyle" w:customStyle="1">
    <w:name w:val="Personal Reply Style"/>
    <w:basedOn w:val="DefaultParagraphFont"/>
    <w:qFormat/>
    <w:rPr>
      <w:rFonts w:ascii="Arial" w:hAnsi="Arial" w:cs="Arial"/>
      <w:color w:val="auto"/>
      <w:sz w:val="20"/>
    </w:rPr>
  </w:style>
  <w:style w:type="character" w:styleId="Hyperlink">
    <w:name w:val="Hyperlink"/>
    <w:basedOn w:val="DefaultParagraphFont"/>
    <w:rsid w:val="00e043fc"/>
    <w:rPr>
      <w:color w:themeColor="hyperlink" w:val="0563C1"/>
      <w:u w:val="single"/>
    </w:rPr>
  </w:style>
  <w:style w:type="character" w:styleId="FollowedHyperlink">
    <w:name w:val="FollowedHyperlink"/>
    <w:basedOn w:val="DefaultParagraphFont"/>
    <w:rsid w:val="00e043fc"/>
    <w:rPr>
      <w:color w:themeColor="followedHyperlink" w:val="954F72"/>
      <w:u w:val="single"/>
    </w:rPr>
  </w:style>
  <w:style w:type="character" w:styleId="Emphasis">
    <w:name w:val="Emphasis"/>
    <w:basedOn w:val="DefaultParagraphFont"/>
    <w:qFormat/>
    <w:rsid w:val="00f178f4"/>
    <w:rPr>
      <w:i/>
      <w:iCs/>
    </w:rPr>
  </w:style>
  <w:style w:type="character" w:styleId="FootnoteTextChar" w:customStyle="1">
    <w:name w:val="Footnote Text Char"/>
    <w:basedOn w:val="DefaultParagraphFont"/>
    <w:link w:val="FootnoteText"/>
    <w:qFormat/>
    <w:rsid w:val="005920ae"/>
    <w:rPr>
      <w:lang w:eastAsia="en-US"/>
    </w:rPr>
  </w:style>
  <w:style w:type="character" w:styleId="FootnoteCharactersuser">
    <w:name w:val="Footnote Characters (user)"/>
    <w:basedOn w:val="DefaultParagraphFont"/>
    <w:unhideWhenUsed/>
    <w:qFormat/>
    <w:rsid w:val="005920a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eading3Char" w:customStyle="1">
    <w:name w:val="Heading 3 Char"/>
    <w:basedOn w:val="DefaultParagraphFont"/>
    <w:link w:val="Heading3"/>
    <w:semiHidden/>
    <w:qFormat/>
    <w:rsid w:val="00cd2660"/>
    <w:rPr>
      <w:rFonts w:ascii="Tahoma" w:hAnsi="Tahoma" w:cs="Tahoma"/>
      <w:b/>
      <w:bCs/>
      <w:sz w:val="18"/>
      <w:szCs w:val="18"/>
    </w:rPr>
  </w:style>
  <w:style w:type="character" w:styleId="Heading5Char" w:customStyle="1">
    <w:name w:val="Heading 5 Char"/>
    <w:basedOn w:val="DefaultParagraphFont"/>
    <w:link w:val="Heading5"/>
    <w:qFormat/>
    <w:rsid w:val="00cd2660"/>
    <w:rPr>
      <w:rFonts w:ascii="Tahoma" w:hAnsi="Tahoma" w:cs="Tahoma"/>
      <w:b/>
      <w:bCs/>
      <w:i/>
      <w:iCs/>
      <w:sz w:val="16"/>
      <w:szCs w:val="16"/>
    </w:rPr>
  </w:style>
  <w:style w:type="character" w:styleId="HeaderChar" w:customStyle="1">
    <w:name w:val="Header Char"/>
    <w:basedOn w:val="DefaultParagraphFont"/>
    <w:link w:val="Header"/>
    <w:qFormat/>
    <w:rsid w:val="00996f88"/>
    <w:rPr>
      <w:lang w:eastAsia="en-US"/>
    </w:rPr>
  </w:style>
  <w:style w:type="character" w:styleId="BalloonTextChar" w:customStyle="1">
    <w:name w:val="Balloon Text Char"/>
    <w:basedOn w:val="DefaultParagraphFont"/>
    <w:link w:val="BalloonText"/>
    <w:qFormat/>
    <w:rsid w:val="008d197c"/>
    <w:rPr>
      <w:rFonts w:ascii="Tahoma" w:hAnsi="Tahoma" w:cs="Tahoma"/>
      <w:sz w:val="16"/>
      <w:szCs w:val="16"/>
      <w:lang w:eastAsia="en-US"/>
    </w:rPr>
  </w:style>
  <w:style w:type="character" w:styleId="CommentReference">
    <w:name w:val="annotation reference"/>
    <w:basedOn w:val="DefaultParagraphFont"/>
    <w:qFormat/>
    <w:rsid w:val="007042cd"/>
    <w:rPr>
      <w:sz w:val="16"/>
      <w:szCs w:val="16"/>
    </w:rPr>
  </w:style>
  <w:style w:type="character" w:styleId="CommentTextChar" w:customStyle="1">
    <w:name w:val="Comment Text Char"/>
    <w:basedOn w:val="DefaultParagraphFont"/>
    <w:link w:val="CommentText"/>
    <w:qFormat/>
    <w:rsid w:val="007042cd"/>
    <w:rPr>
      <w:lang w:eastAsia="en-US"/>
    </w:rPr>
  </w:style>
  <w:style w:type="character" w:styleId="CommentSubjectChar" w:customStyle="1">
    <w:name w:val="Comment Subject Char"/>
    <w:basedOn w:val="CommentTextChar"/>
    <w:link w:val="annotationsubject"/>
    <w:qFormat/>
    <w:rsid w:val="007042cd"/>
    <w:rPr>
      <w:b/>
      <w:bCs/>
      <w:lang w:eastAsia="en-US"/>
    </w:rPr>
  </w:style>
  <w:style w:type="character" w:styleId="FooterChar" w:customStyle="1">
    <w:name w:val="Footer Char"/>
    <w:basedOn w:val="DefaultParagraphFont"/>
    <w:link w:val="Footer"/>
    <w:uiPriority w:val="99"/>
    <w:qFormat/>
    <w:rsid w:val="00c029f2"/>
    <w:rPr>
      <w:lang w:eastAsia="en-US"/>
    </w:rPr>
  </w:style>
  <w:style w:type="character" w:styleId="Mention1" w:customStyle="1">
    <w:name w:val="Mention1"/>
    <w:basedOn w:val="DefaultParagraphFont"/>
    <w:uiPriority w:val="99"/>
    <w:semiHidden/>
    <w:unhideWhenUsed/>
    <w:qFormat/>
    <w:rsid w:val="0011433a"/>
    <w:rPr>
      <w:color w:val="2B579A"/>
      <w:shd w:fill="E6E6E6" w:val="clear"/>
    </w:rPr>
  </w:style>
  <w:style w:type="character" w:styleId="UnresolvedMention1" w:customStyle="1">
    <w:name w:val="Unresolved Mention1"/>
    <w:basedOn w:val="DefaultParagraphFont"/>
    <w:uiPriority w:val="99"/>
    <w:semiHidden/>
    <w:unhideWhenUsed/>
    <w:qFormat/>
    <w:rsid w:val="00371f30"/>
    <w:rPr>
      <w:color w:val="808080"/>
      <w:shd w:fill="E6E6E6" w:val="clear"/>
    </w:rPr>
  </w:style>
  <w:style w:type="character" w:styleId="UnresolvedMention">
    <w:name w:val="Unresolved Mention"/>
    <w:basedOn w:val="DefaultParagraphFont"/>
    <w:uiPriority w:val="99"/>
    <w:semiHidden/>
    <w:unhideWhenUsed/>
    <w:qFormat/>
    <w:rsid w:val="00601f58"/>
    <w:rPr>
      <w:color w:val="605E5C"/>
      <w:shd w:fill="E1DFDD" w:val="clear"/>
    </w:rPr>
  </w:style>
  <w:style w:type="character" w:styleId="HTMLPreformattedChar" w:customStyle="1">
    <w:name w:val="HTML Preformatted Char"/>
    <w:basedOn w:val="DefaultParagraphFont"/>
    <w:link w:val="HTMLPreformatted"/>
    <w:uiPriority w:val="99"/>
    <w:semiHidden/>
    <w:qFormat/>
    <w:rsid w:val="000f6ca7"/>
    <w:rPr>
      <w:rFonts w:ascii="Courier New" w:hAnsi="Courier New" w:cs="Courier New"/>
    </w:rPr>
  </w:style>
  <w:style w:type="character" w:styleId="SourceText">
    <w:name w:val="Source Text"/>
    <w:qFormat/>
    <w:rPr>
      <w:rFonts w:ascii="Noto Sans Mono" w:hAnsi="Noto Sans Mono" w:eastAsia="Noto Sans Mono" w:cs="Noto Nastaliq Urdu"/>
    </w:rPr>
  </w:style>
  <w:style w:type="character" w:styleId="Strong">
    <w:name w:val="Strong"/>
    <w:qFormat/>
    <w:rPr>
      <w:b/>
      <w:bCs/>
    </w:rPr>
  </w:style>
  <w:style w:type="character" w:styleId="NumberingSymbols">
    <w:name w:val="Numbering Symbols"/>
    <w:qFormat/>
    <w:rPr>
      <w:b w:val="false"/>
      <w:bCs w:val="false"/>
      <w:sz w:val="20"/>
      <w:szCs w:val="20"/>
    </w:rPr>
  </w:style>
  <w:style w:type="paragraph" w:styleId="Heading">
    <w:name w:val="Heading"/>
    <w:basedOn w:val="Normal"/>
    <w:next w:val="BodyText"/>
    <w:qFormat/>
    <w:pPr>
      <w:keepNext w:val="true"/>
      <w:spacing w:before="240" w:after="120"/>
    </w:pPr>
    <w:rPr>
      <w:rFonts w:ascii="Noto Sans" w:hAnsi="Noto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e043fc"/>
    <w:pPr>
      <w:spacing w:lineRule="auto" w:line="276" w:before="0" w:after="200"/>
      <w:ind w:start="720"/>
      <w:contextualSpacing/>
    </w:pPr>
    <w:rPr>
      <w:rFonts w:ascii="Calibri" w:hAnsi="Calibri" w:eastAsia="" w:cs="" w:asciiTheme="minorHAnsi" w:cstheme="minorBidi" w:eastAsiaTheme="minorEastAsia" w:hAnsiTheme="minorHAnsi"/>
      <w:sz w:val="22"/>
      <w:szCs w:val="22"/>
      <w:lang w:eastAsia="en-GB"/>
    </w:rPr>
  </w:style>
  <w:style w:type="paragraph" w:styleId="FootnoteText">
    <w:name w:val="footnote text"/>
    <w:basedOn w:val="Normal"/>
    <w:link w:val="FootnoteTextChar"/>
    <w:unhideWhenUsed/>
    <w:rsid w:val="005920ae"/>
    <w:pPr/>
    <w:rPr/>
  </w:style>
  <w:style w:type="paragraph" w:styleId="preformatted" w:customStyle="1">
    <w:name w:val="preformatted"/>
    <w:basedOn w:val="Normal"/>
    <w:qFormat/>
    <w:rsid w:val="00cd2660"/>
    <w:pPr>
      <w:spacing w:beforeAutospacing="1" w:afterAutospacing="1"/>
    </w:pPr>
    <w:rPr>
      <w:rFonts w:ascii="Arial" w:hAnsi="Arial" w:cs="Arial"/>
      <w:sz w:val="24"/>
      <w:szCs w:val="24"/>
      <w:lang w:eastAsia="en-GB"/>
    </w:rPr>
  </w:style>
  <w:style w:type="paragraph" w:styleId="Default" w:customStyle="1">
    <w:name w:val="Default"/>
    <w:qFormat/>
    <w:rsid w:val="00a1285f"/>
    <w:pPr>
      <w:widowControl/>
      <w:suppressAutoHyphens w:val="true"/>
      <w:bidi w:val="0"/>
      <w:spacing w:before="0" w:after="0"/>
      <w:jc w:val="start"/>
    </w:pPr>
    <w:rPr>
      <w:rFonts w:ascii="Calibri" w:hAnsi="Calibri" w:eastAsia="Times New Roman" w:cs="Calibri"/>
      <w:color w:val="000000"/>
      <w:kern w:val="0"/>
      <w:sz w:val="24"/>
      <w:szCs w:val="24"/>
      <w:lang w:val="en-GB" w:eastAsia="en-GB" w:bidi="ar-SA"/>
    </w:rPr>
  </w:style>
  <w:style w:type="paragraph" w:styleId="HeaderandFooter">
    <w:name w:val="Header and Footer"/>
    <w:basedOn w:val="Normal"/>
    <w:qFormat/>
    <w:pPr/>
    <w:rPr/>
  </w:style>
  <w:style w:type="paragraph" w:styleId="Header">
    <w:name w:val="header"/>
    <w:basedOn w:val="Normal"/>
    <w:link w:val="HeaderChar"/>
    <w:unhideWhenUsed/>
    <w:rsid w:val="00996f88"/>
    <w:pPr>
      <w:tabs>
        <w:tab w:val="clear" w:pos="720"/>
        <w:tab w:val="center" w:pos="4153" w:leader="none"/>
        <w:tab w:val="right" w:pos="8306" w:leader="none"/>
      </w:tabs>
    </w:pPr>
    <w:rPr/>
  </w:style>
  <w:style w:type="paragraph" w:styleId="BalloonText">
    <w:name w:val="Balloon Text"/>
    <w:basedOn w:val="Normal"/>
    <w:link w:val="BalloonTextChar"/>
    <w:qFormat/>
    <w:rsid w:val="008d197c"/>
    <w:pPr/>
    <w:rPr>
      <w:rFonts w:ascii="Tahoma" w:hAnsi="Tahoma" w:cs="Tahoma"/>
      <w:sz w:val="16"/>
      <w:szCs w:val="16"/>
    </w:rPr>
  </w:style>
  <w:style w:type="paragraph" w:styleId="CommentText">
    <w:name w:val="annotation text"/>
    <w:basedOn w:val="Normal"/>
    <w:link w:val="CommentTextChar"/>
    <w:rsid w:val="007042cd"/>
    <w:pPr/>
    <w:rPr/>
  </w:style>
  <w:style w:type="paragraph" w:styleId="annotationsubject">
    <w:name w:val="annotation subject"/>
    <w:basedOn w:val="CommentText"/>
    <w:next w:val="CommentText"/>
    <w:link w:val="CommentSubjectChar"/>
    <w:qFormat/>
    <w:rsid w:val="007042cd"/>
    <w:pPr/>
    <w:rPr>
      <w:b/>
      <w:bCs/>
    </w:rPr>
  </w:style>
  <w:style w:type="paragraph" w:styleId="Footer">
    <w:name w:val="footer"/>
    <w:basedOn w:val="Normal"/>
    <w:link w:val="FooterChar"/>
    <w:uiPriority w:val="99"/>
    <w:rsid w:val="00c029f2"/>
    <w:pPr>
      <w:tabs>
        <w:tab w:val="clear" w:pos="720"/>
        <w:tab w:val="center" w:pos="4513" w:leader="none"/>
        <w:tab w:val="right" w:pos="9026" w:leader="none"/>
      </w:tabs>
    </w:pPr>
    <w:rPr/>
  </w:style>
  <w:style w:type="paragraph" w:styleId="Revision">
    <w:name w:val="Revision"/>
    <w:uiPriority w:val="99"/>
    <w:semiHidden/>
    <w:qFormat/>
    <w:rsid w:val="00061731"/>
    <w:pPr>
      <w:widowControl/>
      <w:suppressAutoHyphens w:val="true"/>
      <w:bidi w:val="0"/>
      <w:spacing w:before="0" w:after="0"/>
      <w:jc w:val="start"/>
    </w:pPr>
    <w:rPr>
      <w:rFonts w:ascii="Times New Roman" w:hAnsi="Times New Roman" w:eastAsia="Times New Roman" w:cs="Times New Roman"/>
      <w:color w:val="auto"/>
      <w:kern w:val="0"/>
      <w:sz w:val="20"/>
      <w:szCs w:val="20"/>
      <w:lang w:val="en-GB" w:eastAsia="en-US" w:bidi="ar-SA"/>
    </w:rPr>
  </w:style>
  <w:style w:type="paragraph" w:styleId="HTMLPreformatted">
    <w:name w:val="HTML Preformatted"/>
    <w:basedOn w:val="Normal"/>
    <w:link w:val="HTMLPreformattedChar"/>
    <w:uiPriority w:val="99"/>
    <w:semiHidden/>
    <w:unhideWhenUsed/>
    <w:qFormat/>
    <w:rsid w:val="000f6ca7"/>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e043fc"/>
    <w:rPr>
      <w:rFonts w:asciiTheme="minorHAnsi" w:hAnsiTheme="minorHAnsi" w:eastAsiaTheme="minorEastAsia"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numpy.org/doc/" TargetMode="External"/><Relationship Id="rId3" Type="http://schemas.openxmlformats.org/officeDocument/2006/relationships/hyperlink" Target="https://pandas.pydata.org/docs/" TargetMode="External"/><Relationship Id="rId4" Type="http://schemas.openxmlformats.org/officeDocument/2006/relationships/hyperlink" Target="https://scikit-learn.org/stable/documentation.html" TargetMode="External"/><Relationship Id="rId5" Type="http://schemas.openxmlformats.org/officeDocument/2006/relationships/hyperlink" Target="https://tqdm.github.io/" TargetMode="External"/><Relationship Id="rId6" Type="http://schemas.openxmlformats.org/officeDocument/2006/relationships/hyperlink" Target="https://matplotlib.org/stable/contents.html" TargetMode="External"/><Relationship Id="rId7" Type="http://schemas.openxmlformats.org/officeDocument/2006/relationships/hyperlink" Target="https://seaborn.pydata.org/" TargetMode="External"/><Relationship Id="rId8" Type="http://schemas.openxmlformats.org/officeDocument/2006/relationships/hyperlink" Target="https://xgboost.readthedocs.io/en/stable/" TargetMode="External"/><Relationship Id="rId9" Type="http://schemas.openxmlformats.org/officeDocument/2006/relationships/hyperlink" Target="https://docs.python.org/3/library/" TargetMode="External"/><Relationship Id="rId10" Type="http://schemas.openxmlformats.org/officeDocument/2006/relationships/hyperlink" Target="https://scikit-learn.org/stable/modules/preprocessing.html"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Relationship Id="rId22" Type="http://schemas.openxmlformats.org/officeDocument/2006/relationships/customXml" Target="../customXml/item2.xml"/><Relationship Id="rId23" Type="http://schemas.openxmlformats.org/officeDocument/2006/relationships/customXml" Target="../customXml/item3.xml"/><Relationship Id="rId24"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B86AB3E3F1BEA40B4D3DC6B8B1B65B5" ma:contentTypeVersion="2" ma:contentTypeDescription="Create a new document." ma:contentTypeScope="" ma:versionID="02a0cf680c67ee1c52e8590e43d0cb5b">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E3DA182-8A3D-4F08-ADD1-3A6EF2283D04}">
  <ds:schemaRefs>
    <ds:schemaRef ds:uri="http://schemas.openxmlformats.org/officeDocument/2006/bibliography"/>
  </ds:schemaRefs>
</ds:datastoreItem>
</file>

<file path=customXml/itemProps2.xml><?xml version="1.0" encoding="utf-8"?>
<ds:datastoreItem xmlns:ds="http://schemas.openxmlformats.org/officeDocument/2006/customXml" ds:itemID="{75814EF0-D83C-4745-A411-32C81060432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CD3F3F3-ED5C-4C8C-917A-799AFCD561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895584D5-495B-41A3-8B1D-620654EBB8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1060</TotalTime>
  <Application>LibreOffice/25.8.3.2$Linux_X86_64 LibreOffice_project/580$Build-2</Application>
  <AppVersion>15.0000</AppVersion>
  <Pages>61</Pages>
  <Words>10564</Words>
  <Characters>81165</Characters>
  <CharactersWithSpaces>90628</CharactersWithSpaces>
  <Paragraphs>1730</Paragraphs>
  <Company>Coventry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2025-09-25T23:16:00Z</dcterms:created>
  <dc:creator>Charlotte Collins</dc:creator>
  <dc:description/>
  <dc:language>en-GB</dc:language>
  <cp:lastModifiedBy/>
  <dcterms:modified xsi:type="dcterms:W3CDTF">2025-12-01T13:51:36Z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0x0101007B86AB3E3F1BEA40B4D3DC6B8B1B65B5</vt:lpwstr>
  </property>
  <property fmtid="{D5CDD505-2E9C-101B-9397-08002B2CF9AE}" pid="3" name="IsMyDocuments">
    <vt:bool>1</vt:bool>
  </property>
  <property fmtid="{D5CDD505-2E9C-101B-9397-08002B2CF9AE}" pid="4" name="Order">
    <vt:r8>21900</vt:r8>
  </property>
  <property fmtid="{D5CDD505-2E9C-101B-9397-08002B2CF9AE}" pid="5" name="SharedWithInternal">
    <vt:lpwstr/>
  </property>
  <property fmtid="{D5CDD505-2E9C-101B-9397-08002B2CF9AE}" pid="6" name="_CopySource">
    <vt:lpwstr>https://mysite.coventry.ac.uk/personal/ab2941/Documents/Assessment Working Group/Assessment Policy Final Draft/Module Guide Template.docx</vt:lpwstr>
  </property>
</Properties>
</file>