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hapter-1-introduction"/>
    <w:p>
      <w:pPr>
        <w:pStyle w:val="Heading1"/>
      </w:pPr>
      <w:r>
        <w:t xml:space="preserve">Chapter 1: Introduction</w:t>
      </w:r>
    </w:p>
    <w:p>
      <w:pPr>
        <w:pStyle w:val="FirstParagraph"/>
      </w:pPr>
      <w:r>
        <w:rPr>
          <w:b/>
          <w:bCs/>
        </w:rPr>
        <w:t xml:space="preserve">PROVISIONAL — artifact-category task, dataset access, originality, prototype feasibility, and approvals require supervisor confirmation.</w:t>
      </w:r>
    </w:p>
    <w:p>
      <w:pPr>
        <w:pStyle w:val="BodyText"/>
      </w:pPr>
      <w:r>
        <w:rPr>
          <w:b/>
          <w:bCs/>
        </w:rPr>
        <w:t xml:space="preserve">Provisional title:</w:t>
      </w:r>
      <w:r>
        <w:t xml:space="preserve"> </w:t>
      </w:r>
      <w:r>
        <w:t xml:space="preserve">Subject-Disjoint Benchmarking of Lightweight EEG Artifact-Category Identification for BCI Signal-Quality Triage</w:t>
      </w:r>
    </w:p>
    <w:p>
      <w:pPr>
        <w:pStyle w:val="BodyText"/>
      </w:pPr>
      <w:r>
        <w:rPr>
          <w:b/>
          <w:bCs/>
        </w:rPr>
        <w:t xml:space="preserve">Student:</w:t>
      </w:r>
      <w:r>
        <w:t xml:space="preserve"> </w:t>
      </w:r>
      <w:r>
        <w:t xml:space="preserve">[Name and registration number]</w:t>
      </w:r>
      <w:r>
        <w:br/>
      </w:r>
      <w:r>
        <w:rPr>
          <w:b/>
          <w:bCs/>
        </w:rPr>
        <w:t xml:space="preserve">Programme:</w:t>
      </w:r>
      <w:r>
        <w:t xml:space="preserve"> </w:t>
      </w:r>
      <w:r>
        <w:t xml:space="preserve">[Degree programme]</w:t>
      </w:r>
      <w:r>
        <w:br/>
      </w:r>
      <w:r>
        <w:rPr>
          <w:b/>
          <w:bCs/>
        </w:rPr>
        <w:t xml:space="preserve">Supervisor:</w:t>
      </w:r>
      <w:r>
        <w:t xml:space="preserve"> </w:t>
      </w:r>
      <w:r>
        <w:t xml:space="preserve">[Name]</w:t>
      </w:r>
      <w:r>
        <w:br/>
      </w:r>
      <w:r>
        <w:rPr>
          <w:b/>
          <w:bCs/>
        </w:rPr>
        <w:t xml:space="preserve">Date:</w:t>
      </w:r>
      <w:r>
        <w:t xml:space="preserve"> </w:t>
      </w:r>
      <w:r>
        <w:t xml:space="preserve">[Date]</w:t>
      </w:r>
    </w:p>
    <w:bookmarkStart w:id="9" w:name="introduction"/>
    <w:p>
      <w:pPr>
        <w:pStyle w:val="Heading2"/>
      </w:pPr>
      <w:r>
        <w:t xml:space="preserve">1.1 Introduction</w:t>
      </w:r>
    </w:p>
    <w:p>
      <w:pPr>
        <w:pStyle w:val="FirstParagraph"/>
      </w:pPr>
      <w:r>
        <w:t xml:space="preserve">A brain–computer interface (BCI) uses measured brain activity to communicate with or control an external system. Electroencephalography (EEG) is used in non-invasive BCIs because electrodes placed on the scalp can record brain-related electrical activity without surgical implantation. Portable and wearable EEG systems offer opportunities to study these interfaces outside fixed laboratory settings, where users and devices may be exposed to more variable conditions. Arpaia et al. (2025) review artifact handling in such systems in</w:t>
      </w:r>
      <w:r>
        <w:t xml:space="preserve"> </w:t>
      </w:r>
      <w:r>
        <w:rPr>
          <w:i/>
          <w:iCs/>
        </w:rPr>
        <w:t xml:space="preserve">A Systematic Review of Techniques for Artifact Detection and Artifact Category Identification in Electroencephalography from Wearable Devices</w:t>
      </w:r>
      <w:r>
        <w:t xml:space="preserve">.</w:t>
      </w:r>
    </w:p>
    <w:p>
      <w:pPr>
        <w:pStyle w:val="BodyText"/>
      </w:pPr>
      <w:r>
        <w:t xml:space="preserve">An EEG channel records a voltage difference between electrodes over time. The recorded signal reflects brain activity mixed with other physiological and instrumental contributions. BCI hardware and software must preserve task-relevant information and recognise difficult recording conditions. Signal quality depends on the electrodes, their placement and contact with the skin, and the recording environment. Reliable processing is therefore an engineering concern across acquisition, transmission and analysis (Arpaia et al., 2025).</w:t>
      </w:r>
    </w:p>
    <w:p>
      <w:pPr>
        <w:pStyle w:val="BodyText"/>
      </w:pPr>
      <w:r>
        <w:t xml:space="preserve">An artifact is a component of a recording that interferes with the intended analysis. Eye blinks and eye movements introduce ocular activity; muscle activity can affect the recording, as can body movement and disturbances at the electrode–skin interface. Electrical interference from the environment is another potential source of contamination (Arpaia et al., 2025; Britton et al., 2016). These structured disturbances differ from general background or electronic noise, although both can obscure features of interest. Contamination can complicate interpretation without necessarily causing an incorrect BCI decision.</w:t>
      </w:r>
    </w:p>
    <w:p>
      <w:pPr>
        <w:pStyle w:val="BodyText"/>
      </w:pPr>
      <w:r>
        <w:t xml:space="preserve">Wearable designs differ in their electrode technologies and layouts. Some provide fewer channels and less scalp coverage than conventional systems, limiting the spatial information available for assessing contamination. Dry electrodes, changing contact and movement can also affect signal quality; the extent of these effects depends on the device and how it is used. A system intended for portable use may also need to process signals within limits on memory, power or response time. These constraints make both classification performance and computational cost relevant when assessing an artifact-identification method (Arpaia et al., 2025).</w:t>
      </w:r>
    </w:p>
    <w:p>
      <w:pPr>
        <w:pStyle w:val="BodyText"/>
      </w:pPr>
      <w:r>
        <w:t xml:space="preserve">Artifact detection determines whether interference is present, whereas artifact-category identification estimates what kind of interference is present. Rejection excludes unsuitable segments, and correction attempts to reduce unwanted components. A category label could inform a later quality-control or processing decision, but it does not establish that neural information has been preserved or that BCI performance has improved. In</w:t>
      </w:r>
      <w:r>
        <w:t xml:space="preserve"> </w:t>
      </w:r>
      <w:r>
        <w:rPr>
          <w:i/>
          <w:iCs/>
        </w:rPr>
        <w:t xml:space="preserve">A gated artifact management pipeline for low-density eyewear EEG</w:t>
      </w:r>
      <w:r>
        <w:t xml:space="preserve">, Palmisciano et al. (2026) describe detection, three-category discrimination and correction. The current proposal considers a subject-disjoint comparison of compact classifiers on annotated TUAR recordings, with attention to classification and computational costs (Neural Engineering Data Consortium, n.d.). This benchmark remains provisional: TUAR is clinical EEG, and its results alone would not establish wearable performance or the originality of a new classifier. The next section describes the acquisition and signal-quality background for this investigation.</w:t>
      </w:r>
    </w:p>
    <w:bookmarkEnd w:id="9"/>
    <w:bookmarkStart w:id="10" w:name="X04a83c4417fdf7d5e0e1a65edb1d32a8da14b42"/>
    <w:p>
      <w:pPr>
        <w:pStyle w:val="Heading2"/>
      </w:pPr>
      <w:r>
        <w:t xml:space="preserve">1.2 Brief background information about the project</w:t>
      </w:r>
    </w:p>
    <w:p>
      <w:pPr>
        <w:pStyle w:val="FirstParagraph"/>
      </w:pPr>
      <w:r>
        <w:t xml:space="preserve">Scalp EEG measures time-varying electrical potential differences associated with brain activity. Its recordings typically contain small signals, often expressed in microvolts, alongside activity from other biological and environmental sources. Electrode positions can be described using the international 10–20 system, which places sites at proportional distances between anatomical landmarks. Named positions help relate a recording to regions of the scalp and make electrode layouts easier to describe. A channel represents a voltage difference between two points: a recording electrode may be compared with a reference electrode or another recording electrode. A separate ground electrode provides a common electrical reference for the acquisition system; its role depends on the device design (Britton et al., 2016).</w:t>
      </w:r>
    </w:p>
    <w:p>
      <w:pPr>
        <w:pStyle w:val="BodyText"/>
      </w:pPr>
      <w:r>
        <w:t xml:space="preserve">An acquisition system collects these differences through electrodes and amplifies them before an analogue-to-digital converter represents them as a sequence of samples. The sampling frequency describes how many samples are recorded each second and constrains the frequencies that can be represented; its choice and the acquisition filters must suit the signal content under study. After digital acquisition, preprocessing can include filtering, segmentation into time windows and normalization. Filtering can reduce some unwanted frequency components, but it can also alter brain activity or artifact features that overlap those components. Poor electrode contact, amplifier limitations or saturation can therefore affect information available to later processing, even when the software is otherwise well designed (Britton et al., 2016; Arpaia et al., 2025).</w:t>
      </w:r>
    </w:p>
    <w:p>
      <w:pPr>
        <w:pStyle w:val="BodyText"/>
      </w:pPr>
      <w:r>
        <w:t xml:space="preserve">An artifact is a recorded component that interferes with the analysis of the signal of interest. Physiological artifacts can originate in eye activity, facial or scalp muscles, and cardiac activity. Eye movements change the orientation of the eye’s electrical field, while muscle contractions produce electrical activity that can enter scalp recordings. Non-physiological disturbances include changes at an electrode–skin interface, cable or electrode movement, and electrical interference from the surroundings. Movement can also involve muscle activity, so a single event may have more than one contributing mechanism. Different artifacts can overlap in time and resemble one another or neural activity; their categories do not have perfectly unique signatures (Britton et al., 2016; Arpaia et al., 2025).</w:t>
      </w:r>
    </w:p>
    <w:p>
      <w:pPr>
        <w:pStyle w:val="BodyText"/>
      </w:pPr>
      <w:r>
        <w:t xml:space="preserve">An identification system can examine how a window changes over time, its amplitude and statistical variation, and how its energy is distributed across frequencies. A time–frequency representation describes how frequency content changes within a window. When several channels are available, differences or relationships between them may provide additional spatial information. These properties are potential cues, not definitive labels: their usefulness depends on the recording arrangement, preprocessing and types of activity present. A feature-based system calculates selected measures from the signal, whereas another model may learn useful representations from examples (Arpaia et al., 2025).</w:t>
      </w:r>
    </w:p>
    <w:p>
      <w:pPr>
        <w:pStyle w:val="BodyText"/>
      </w:pPr>
      <w:r>
        <w:t xml:space="preserve">Wearable EEG systems must balance scalp coverage and electrode placement with portability, comfort, power and processing resources. Dry electrodes may be more convenient to apply than electrodes that use conductive gel, but their contact with the skin can change during use. A reduced number of channels provides fewer locations from which to observe a disturbance and may make similar patterns harder to distinguish. Recording conditions and signal quality vary across devices and users; neither a wearable recording nor a laboratory recording is necessarily free from artifacts. Digitally selecting fewer channels from a clinical dataset changes the available spatial information but does not reproduce a wearable device’s electrodes, motion or electrical characteristics (Arpaia et al., 2025).</w:t>
      </w:r>
    </w:p>
    <w:p>
      <w:pPr>
        <w:pStyle w:val="BodyText"/>
      </w:pPr>
      <w:r>
        <w:t xml:space="preserve">The intended processing task determines what a system’s output means. Detection estimates whether a segment contains an artifact; category identification predicts one or more types of artifact. Rejection excludes a segment from a chosen analysis, whereas correction attempts to suppress an unwanted contribution while preserving useful activity. An identified category could inform a later quality-control decision, but identification alone does not establish that correction has preserved brain activity or improved BCI decoding (Arpaia et al., 2025).</w:t>
      </w:r>
    </w:p>
    <w:p>
      <w:pPr>
        <w:pStyle w:val="BodyText"/>
      </w:pPr>
      <w:r>
        <w:t xml:space="preserve">In supervised classification, a model learns relationships between recorded examples and their artifact labels and is then evaluated on examples withheld from training. Because signal characteristics can vary between people and recordings, evaluation on participants excluded from model development provides evidence about performance on unseen participants within the sampled data. Preprocessing steps that learn parameters also need to be fitted using training data so that information from the evaluation set does not influence the model. The proposed comparison would examine classification performance alongside computational requirements, such as model size and processing time, rather than assume that a more complex model is preferable.</w:t>
      </w:r>
    </w:p>
    <w:p>
      <w:pPr>
        <w:pStyle w:val="BodyText"/>
      </w:pPr>
      <w:r>
        <w:t xml:space="preserve">The provisional benchmark uses the TUH EEG Artifact Corpus (TUAR), an annotated subset of clinical EEG recordings with five documented artifact categories (Neural Engineering Data Consortium, n.d.). Its suitability for the proposed participant-level evaluation depends on access and inspection of participant identifiers, channels and annotation overlap. Results from this corpus would describe performance under its clinical recording conditions; wearable operation and downstream BCI benefit require separate evaluation. The following section examines existing artifact-identification studies and the limits of the proposed research gap.</w:t>
      </w:r>
    </w:p>
    <w:bookmarkEnd w:id="10"/>
    <w:bookmarkStart w:id="15" w:name="X151d7d2db97b0d70f4f7ad938b635b9ddc1ecb0"/>
    <w:p>
      <w:pPr>
        <w:pStyle w:val="Heading2"/>
      </w:pPr>
      <w:r>
        <w:t xml:space="preserve">1.3 Literature review to focus on gap analysis</w:t>
      </w:r>
    </w:p>
    <w:p>
      <w:pPr>
        <w:pStyle w:val="FirstParagraph"/>
      </w:pPr>
      <w:r>
        <w:t xml:space="preserve">This review examines work on identifying EEG artifact categories, with particular attention to wearable recording conditions, evaluation on unseen participants and computational requirements. Artifact detection, category identification and correction address different questions, so evidence from one task cannot establish performance on another. The research considered below includes wearable recordings, controlled laboratory data and clinical EEG; their performance measures and label definitions are not directly interchangeable.</w:t>
      </w:r>
    </w:p>
    <w:bookmarkStart w:id="11" w:name="X52a4002eeaee10a42a79d69ac34caf3903d9d3a"/>
    <w:p>
      <w:pPr>
        <w:pStyle w:val="Heading3"/>
      </w:pPr>
      <w:r>
        <w:t xml:space="preserve">Artifact handling and category identification</w:t>
      </w:r>
    </w:p>
    <w:p>
      <w:pPr>
        <w:pStyle w:val="FirstParagraph"/>
      </w:pPr>
      <w:r>
        <w:t xml:space="preserve">In their systematic review of wearable EEG artifact handling, Arpaia et al. (2025) examined 58 studies identified by a search ending on 24 April 2025. Many methods combined detection and removal, making it difficult to attribute the final result to either stage. Only two studies met the review’s specific criteria for category or source identification. This is a finding about the review’s selection and cutoff date, not a count of all relevant work through October 2026. Reference signals, recording conditions and reported metrics also varied, limiting direct comparison between methods.</w:t>
      </w:r>
    </w:p>
    <w:p>
      <w:pPr>
        <w:pStyle w:val="BodyText"/>
      </w:pPr>
      <w:r>
        <w:t xml:space="preserve">Arpaia et al. (2025) describe Inoue and colleagues’ wearable approach to ocular and muscle interference, but note that its discrimination procedure was not clearly described and that its evaluation of discrimination was limited. Zhang et al. (2022) proposed a staged single-channel method that identifies ocular, muscle and power-line-related interference before applying targeted removal. Their publisher abstract reports tests using simulated contamination and clinical EEG. These studies establish precedents for category-aware processing, although the available evidence does not establish that every category can be reliably separated in natural wearable recordings. The primary methods of Inoue and Zhang were not available for full-text inspection in this review.</w:t>
      </w:r>
    </w:p>
    <w:p>
      <w:pPr>
        <w:pStyle w:val="BodyText"/>
      </w:pPr>
      <w:r>
        <w:t xml:space="preserve">Grosselin et al. (2019), in</w:t>
      </w:r>
      <w:r>
        <w:t xml:space="preserve"> </w:t>
      </w:r>
      <w:r>
        <w:rPr>
          <w:i/>
          <w:iCs/>
        </w:rPr>
        <w:t xml:space="preserve">Quality Assessment of Single-Channel EEG for Wearable Devices</w:t>
      </w:r>
      <w:r>
        <w:t xml:space="preserve">, used signal features and classifiers to assess quality levels and a spectral measure to distinguish muscle contamination. Their evaluation included real and simulated data and a dry-electrode wearable dataset. The authors reported rapid processing in their experimental environment, while identifying recognition of other specific artifact sources as future work. Their output concerns quality levels and muscle discrimination, rather than the same fixed set of categories as a clinical-corpus benchmark. It nevertheless shows that feature-based assessment of low-channel wearable EEG is established.</w:t>
      </w:r>
    </w:p>
    <w:p>
      <w:pPr>
        <w:pStyle w:val="BodyText"/>
      </w:pPr>
      <w:r>
        <w:t xml:space="preserve">More recently, Palmisciano et al. (2026), in</w:t>
      </w:r>
      <w:r>
        <w:t xml:space="preserve"> </w:t>
      </w:r>
      <w:r>
        <w:rPr>
          <w:i/>
          <w:iCs/>
        </w:rPr>
        <w:t xml:space="preserve">A gated artifact management pipeline for low-density eyewear EEG</w:t>
      </w:r>
      <w:r>
        <w:t xml:space="preserve">, report a wearable dry-electrode pipeline combining a feature-based detection gate, a three-class discriminator and a denoising component. The three classes are blinks, horizontal eye movements and facial movements. The abstract reports leave-one-subject-out evaluation on 29 participants, with balanced accuracy of 0.84 and median macro-F1 of 0.83 for artifact classification, as well as evaluation on an external benchmark. These results directly contradict claims that wearable low-density category classification or subject-disjoint evaluation is new. The full protocol, exact electrode positions and computational measurements could not be independently inspected here; their absence from this review is not evidence that the paper omitted them.</w:t>
      </w:r>
    </w:p>
    <w:bookmarkEnd w:id="11"/>
    <w:bookmarkStart w:id="12" w:name="X827eb875467e41a1184e09f19fea1ce535c33f6"/>
    <w:p>
      <w:pPr>
        <w:pStyle w:val="Heading3"/>
      </w:pPr>
      <w:r>
        <w:t xml:space="preserve">Clinical datasets and overlap between artifacts</w:t>
      </w:r>
    </w:p>
    <w:p>
      <w:pPr>
        <w:pStyle w:val="FirstParagraph"/>
      </w:pPr>
      <w:r>
        <w:t xml:space="preserve">The Temple University EEG Artifact Corpus (TUAR) is an annotated subset of clinical EEG, with official documentation naming eye movement, chewing, shivering, electrode-related and muscle artifacts (Neural Engineering Data Consortium, n.d.). The corpus requires an access request. A published analysis describes 310 recordings from 213 patients and annotation labels that include combinations of artifact types (Ingolfsson et al., 2022). The original annotation files, channel availability, data-use terms and distributions remain to be checked for the version obtained by this project. Category overlap matters because choosing one label for every window can obscure simultaneous disturbances; excluding ambiguous windows also changes the population to which results apply.</w:t>
      </w:r>
    </w:p>
    <w:p>
      <w:pPr>
        <w:pStyle w:val="BodyText"/>
      </w:pPr>
      <w:r>
        <w:t xml:space="preserve">Yu et al. (2026) trained a time-domain and time–frequency fusion network on artifact segments from TUAR and examined a separate clinical dataset. Their classification module uses softmax outputs for mutually exclusive classes; the authors report a six-class experiment for their private dataset and describe five artifact categories in the public corpus. The paper reports an 8:2 train–test division and five-fold cross-validation, but the inspected methods do not clearly specify whether the public-data split was grouped by participant. Its cross-dataset clinical experiment is evidence of a transfer evaluation, not proof of wearable transfer. The reported public accuracy and F1 score describe that paper’s task and split and cannot be ranked directly against the eyewear results.</w:t>
      </w:r>
    </w:p>
    <w:p>
      <w:pPr>
        <w:pStyle w:val="BodyText"/>
      </w:pPr>
      <w:r>
        <w:t xml:space="preserve">Another relevant source is</w:t>
      </w:r>
      <w:r>
        <w:t xml:space="preserve"> </w:t>
      </w:r>
      <w:r>
        <w:rPr>
          <w:i/>
          <w:iCs/>
        </w:rPr>
        <w:t xml:space="preserve">PhysioMotion Artifact</w:t>
      </w:r>
      <w:r>
        <w:t xml:space="preserve">, described by Yang et al. (2026). Its controlled recordings contain 30 participants, 59 raw EEG channels and annotated tasks that induce single and combined physiological artifacts. The accompanying benchmark uses nested subject-grouped folds and a 14-class model, reporting 79.7% overall test accuracy; some combined or related classes have substantially lower reported precision and recall. These are deliberately induced conditions and task labels, rather than direct evidence of naturally occurring artifact mixtures in a wearable system. The dataset is documented as publicly available, and its repository declares a CC0 data license. The channel-level annotation files and the suitability of their combined labels for a genuinely multi-label task still require inspection.</w:t>
      </w:r>
    </w:p>
    <w:p>
      <w:pPr>
        <w:pStyle w:val="BodyText"/>
      </w:pPr>
      <w:r>
        <w:t xml:space="preserve">Cho et al. (2017) provide a complementary laboratory dataset with 52 participants and short controlled recordings of blinking, eye movement, head movement and jaw clenching. The artifact examples were collected in separate brief blocks. They can support exploratory assessment of elicited patterns, but do not by themselves establish labels for naturally overlapping events or performance on a wearable headset. Both Cho’s dataset and PhysioMotion also require a carefully justified mapping between their task labels and any TUAR categories before a cross-dataset comparison can be interpreted.</w:t>
      </w:r>
    </w:p>
    <w:bookmarkEnd w:id="12"/>
    <w:bookmarkStart w:id="13" w:name="X5bfab10f985a2a8c1873c52c698fd96009d46f0"/>
    <w:p>
      <w:pPr>
        <w:pStyle w:val="Heading3"/>
      </w:pPr>
      <w:r>
        <w:t xml:space="preserve">Generalization and computational constraints</w:t>
      </w:r>
    </w:p>
    <w:p>
      <w:pPr>
        <w:pStyle w:val="FirstParagraph"/>
      </w:pPr>
      <w:r>
        <w:t xml:space="preserve">The distinction between channel-level detection and identification of an artifact type is important when reading computational studies. Peh et al. (2022) report separate detectors for five artifact types and then combine their outputs into an overall artifact-versus-background decision. This supports category-specific detection, but the final combined output is binary. Its abstract reports different balanced accuracies across the five detectors, illustrating that one aggregate number can conceal class-specific difficulty. The full methods were not independently inspected for this review.</w:t>
      </w:r>
    </w:p>
    <w:p>
      <w:pPr>
        <w:pStyle w:val="BodyText"/>
      </w:pPr>
      <w:r>
        <w:t xml:space="preserve">In</w:t>
      </w:r>
      <w:r>
        <w:t xml:space="preserve"> </w:t>
      </w:r>
      <w:r>
        <w:rPr>
          <w:i/>
          <w:iCs/>
        </w:rPr>
        <w:t xml:space="preserve">Energy-Efficient Tree-Based EEG Artifact Detection</w:t>
      </w:r>
      <w:r>
        <w:t xml:space="preserve">, Ingolfsson et al. (2022) tested three TUAR formulations, including per-channel multiclass outputs that distinguish artifact labels and combinations. Their study used four temporal derivations, feature-based tree ensembles and model pruning, and measured processing on the Mr. Wolf embedded processor. The 250 Hz multiclass-multioutput experiment reported 89.23% accuracy and a weighted F1 of 0.867 before the embedded trade-offs reported in the paper. Its stated patient-independent split refers to a study discussed in its related work; the inspected text does not clearly establish a participant-disjoint split for Ingolfsson et al.’s own artifact experiment. Therefore, the results demonstrate existing category-aware and resource-constrained engineering work, but cannot be treated as evidence of the proposed subject-disjoint evaluation.</w:t>
      </w:r>
    </w:p>
    <w:p>
      <w:pPr>
        <w:pStyle w:val="BodyText"/>
      </w:pPr>
      <w:r>
        <w:t xml:space="preserve">Ingolfsson et al. (2024) further investigated pruned tree models, artifact handling and a seizure-detection application, reporting measured processing on an embedded processor and a reduction in false alarms in their evaluated seizure setting. Their conclusion calls for further validation on wearable and alternative electrode arrays. This is evidence that artifact-aware processing can affect a downstream task under a particular protocol; it does not show that knowing the artifact category improves a general BCI quality-control task compared with binary detection. Separately, Yang and Lin (2023) compared dry and wet three-channel configurations during an oddball task with treadmill walking. Their focus was motion-artifact suppression and event-related signal quality, rather than category classification; it illustrates why hardware and movement conditions must be evaluated directly.</w:t>
      </w:r>
    </w:p>
    <w:p>
      <w:pPr>
        <w:pStyle w:val="BodyText"/>
      </w:pPr>
      <w:r>
        <w:t xml:space="preserve">A particularly close comparator to the proposed research question is</w:t>
      </w:r>
      <w:r>
        <w:t xml:space="preserve"> </w:t>
      </w:r>
      <w:r>
        <w:rPr>
          <w:i/>
          <w:iCs/>
        </w:rPr>
        <w:t xml:space="preserve">EEG-Bench</w:t>
      </w:r>
      <w:r>
        <w:t xml:space="preserve"> </w:t>
      </w:r>
      <w:r>
        <w:t xml:space="preserve">by Kastrati et al. (2025). The authors report a cross-subject clinical benchmark that includes TUAR multiclass artifact classification and compares feature-based support vector machines and linear discriminant analysis with neural foundation models. They report balanced accuracy and weighted F1 under their benchmark conditions. This work already establishes a classical-versus-neural comparison on held-out TUAR participants. It does not, by itself, answer every possible question about smaller models, per-window CPU latency or a particular label mapping; those differences must be justified as a useful experiment rather than presented as proof of novelty. Its recording conditions are clinical, and the cited workshop paper is not evidence of actual wearable validation.</w:t>
      </w:r>
    </w:p>
    <w:bookmarkEnd w:id="13"/>
    <w:bookmarkStart w:id="14" w:name="research-gap-and-implications"/>
    <w:p>
      <w:pPr>
        <w:pStyle w:val="Heading3"/>
      </w:pPr>
      <w:r>
        <w:t xml:space="preserve">Research gap and implications</w:t>
      </w:r>
    </w:p>
    <w:p>
      <w:pPr>
        <w:pStyle w:val="FirstParagraph"/>
      </w:pPr>
      <w:r>
        <w:t xml:space="preserve">The literature establishes category-aware processing with few channels, a subject-disjoint wearable classifier, subject-disjoint clinical comparisons, and embedded implementations. It also shows that combined artifact conditions and cross-dataset evaluation have been investigated. The strongest remaining practical question is whether a reproducible comparison of compact feature-based and compact neural models on the same participant-disjoint TUAR partitions would reveal a useful trade-off between category-level performance and measured CPU cost. Such a comparison is conditionally testable only after access, channel compatibility, participant identities, class balance and overlapping annotations are checked. EEG-Bench and the Ingolfsson studies overlap materially with its main elements; the reviewed evidence does not establish that this precise combination constitutes an original contribution.</w:t>
      </w:r>
    </w:p>
    <w:p>
      <w:pPr>
        <w:pStyle w:val="BodyText"/>
      </w:pPr>
      <w:r>
        <w:t xml:space="preserve">A candidate evaluation would require a common label policy, participant-disjoint model selection and test sets, and preprocessing learned from training data only. It would report class-sensitive metrics and measured cost under stated conditions, rather than infer real-time performance or compare scores across incompatible studies. The live EEG prototype is a separate feasibility requirement: no complete, approved acquisition system has been verified within the US$300 delivered budget. A dataset-only result cannot satisfy that requirement or establish performance on a wearable device. The proposed comparison therefore remains an exploratory question for supervisor review, and Section 1.4 should be revisited after the originality and equipment decisions are made.</w:t>
      </w:r>
    </w:p>
    <w:bookmarkEnd w:id="14"/>
    <w:bookmarkEnd w:id="15"/>
    <w:bookmarkStart w:id="16" w:name="problem-definition"/>
    <w:p>
      <w:pPr>
        <w:pStyle w:val="Heading2"/>
      </w:pPr>
      <w:r>
        <w:t xml:space="preserve">1.4 Problem Definition</w:t>
      </w:r>
    </w:p>
    <w:p>
      <w:pPr>
        <w:pStyle w:val="FirstParagraph"/>
      </w:pPr>
      <w:r>
        <w:t xml:space="preserve">Artifact labels can help a BCI signal-quality layer decide which windows require attention, but methods report different tasks, datasets, references, metrics and recording populations. Reported accuracy values cannot be ranked directly across studies. Existing work already establishes category-aware and low-density wearable identification, along with larger neural multi-class models on clinical EEG [1, 5, 7, 8]. The unresolved engineering question is narrower: under participant-disjoint evaluation of TUAR’s fixed categories, does a compact classical model provide a useful performance-versus-compute trade-off against a compact neural baseline? Any result would apply to the selected clinical corpus and label mapping, not to wearable devices or downstream BCI performance. Dataset access and DCE acceptance of a benchmark-only contribution are unconfirmed.</w:t>
      </w:r>
    </w:p>
    <w:p>
      <w:pPr>
        <w:pStyle w:val="BodyText"/>
      </w:pPr>
      <w:r>
        <w:t xml:space="preserve">The research problem is the lack of a controlled, subject-disjoint comparison of artifact-category classification performance and computational cost for compact baseline models on the selected annotated EEG corpus.</w:t>
      </w:r>
    </w:p>
    <w:bookmarkEnd w:id="16"/>
    <w:bookmarkStart w:id="17" w:name="aims-and-objectives"/>
    <w:p>
      <w:pPr>
        <w:pStyle w:val="Heading2"/>
      </w:pPr>
      <w:r>
        <w:t xml:space="preserve">1.5 Aims and Objectives</w:t>
      </w:r>
    </w:p>
    <w:p>
      <w:pPr>
        <w:pStyle w:val="FirstParagraph"/>
      </w:pPr>
      <w:r>
        <w:rPr>
          <w:b/>
          <w:bCs/>
        </w:rPr>
        <w:t xml:space="preserve">Aim:</w:t>
      </w:r>
      <w:r>
        <w:t xml:space="preserve"> </w:t>
      </w:r>
      <w:r>
        <w:t xml:space="preserve">To develop and evaluate a reproducible comparison of compact EEG artifact-category classifiers on TUAR recordings, as a candidate signal-quality component for non-invasive BCI systems.</w:t>
      </w:r>
    </w:p>
    <w:p>
      <w:pPr>
        <w:pStyle w:val="BodyText"/>
      </w:pPr>
      <w:r>
        <w:rPr>
          <w:b/>
          <w:bCs/>
        </w:rPr>
        <w:t xml:space="preserve">Research question:</w:t>
      </w:r>
      <w:r>
        <w:t xml:space="preserve"> </w:t>
      </w:r>
      <w:r>
        <w:t xml:space="preserve">On TUAR recordings, how do a compact feature-based classifier and a compact neural classifier compare in subject-disjoint macro-F1 and balanced accuracy, model size, and per-window inference latency for the five documented artifact categories?</w:t>
      </w:r>
    </w:p>
    <w:p>
      <w:pPr>
        <w:pStyle w:val="BodyText"/>
      </w:pPr>
      <w:r>
        <w:rPr>
          <w:b/>
          <w:bCs/>
        </w:rPr>
        <w:t xml:space="preserve">Objectives:</w:t>
      </w:r>
    </w:p>
    <w:p>
      <w:pPr>
        <w:pStyle w:val="Compact"/>
        <w:numPr>
          <w:ilvl w:val="0"/>
          <w:numId w:val="1001"/>
        </w:numPr>
      </w:pPr>
      <w:r>
        <w:t xml:space="preserve">Before model training, audit the available TUAR participant identifiers, channels, annotations, category overlap and class counts, and document a consistent label and inclusion protocol.</w:t>
      </w:r>
    </w:p>
    <w:p>
      <w:pPr>
        <w:pStyle w:val="Compact"/>
        <w:numPr>
          <w:ilvl w:val="0"/>
          <w:numId w:val="1001"/>
        </w:numPr>
      </w:pPr>
      <w:r>
        <w:t xml:space="preserve">Implement a compact feature-based classifier and a compact neural classifier using the same channel-compatible inputs and non-overlapping windows, with learned preprocessing and model selection restricted to training data.</w:t>
      </w:r>
    </w:p>
    <w:p>
      <w:pPr>
        <w:pStyle w:val="Compact"/>
        <w:numPr>
          <w:ilvl w:val="0"/>
          <w:numId w:val="1001"/>
        </w:numPr>
      </w:pPr>
      <w:r>
        <w:t xml:space="preserve">Compare the classifiers on participant-disjoint test partitions using category-level precision and recall, macro-F1 and balanced accuracy, and measure model size and per-window CPU inference latency under stated conditions.</w:t>
      </w:r>
    </w:p>
    <w:p>
      <w:pPr>
        <w:pStyle w:val="Compact"/>
        <w:numPr>
          <w:ilvl w:val="0"/>
          <w:numId w:val="1001"/>
        </w:numPr>
      </w:pPr>
      <w:r>
        <w:t xml:space="preserve">By the end of the project, develop and demonstrate a stored-data replay tool that displays predicted artifact categories, appropriately qualified feedback and processing latency, and check its outputs against selected annotated recordings.</w:t>
      </w:r>
    </w:p>
    <w:p>
      <w:pPr>
        <w:pStyle w:val="FirstParagraph"/>
      </w:pPr>
      <w:r>
        <w:t xml:space="preserve">The comparison is provisional: TUAR access, suitable annotations and the originality of the proposed contribution remain to be confirmed. Live EEG acquisition is conditional on a complete, safe, institutionally approved system within the US$300 total budget, including delivery and import costs. The replay tool does not meet a physical acquisition requirement; the supervisor must resolve the equipment or scope decision.</w:t>
      </w:r>
    </w:p>
    <w:bookmarkEnd w:id="17"/>
    <w:bookmarkStart w:id="22" w:name="methods-and-instruments"/>
    <w:p>
      <w:pPr>
        <w:pStyle w:val="Heading2"/>
      </w:pPr>
      <w:r>
        <w:t xml:space="preserve">1.6 Methods and Instruments</w:t>
      </w:r>
    </w:p>
    <w:p>
      <w:pPr>
        <w:pStyle w:val="FirstParagraph"/>
      </w:pPr>
      <w:r>
        <w:t xml:space="preserve">The proposed study will use an iterative engineering design process and a controlled quantitative comparison. The research instrument will consist of a documented data preparation and evaluation pipeline, two compact classifiers and a stored-data replay interface. Both classifiers will be assessed on the same annotated recordings and held-out participants. The study will investigate their classification performance and computational cost; it will not assume that either method is more accurate or that the comparison is novel. Its contribution and suitability for the dissertation remain subject to supervisor review in light of existing work (Kastrati et al., 2025; Ingolfsson et al., 2022).</w:t>
      </w:r>
    </w:p>
    <w:bookmarkStart w:id="18" w:name="data-and-annotation-audit"/>
    <w:p>
      <w:pPr>
        <w:pStyle w:val="Heading3"/>
      </w:pPr>
      <w:r>
        <w:t xml:space="preserve">Data and annotation audit</w:t>
      </w:r>
    </w:p>
    <w:p>
      <w:pPr>
        <w:pStyle w:val="FirstParagraph"/>
      </w:pPr>
      <w:r>
        <w:t xml:space="preserve">The proposed primary data source is version 3.0.1 of the Temple University Hospital EEG Artifact Corpus (TUAR), a subset of clinical EEG recordings. Its documentation identifies five categories: eye movement (EYEM), chewing (CHEW), shivering (SHIV), electrode pop, electrode static and lead artifacts (ELPP), and muscle artifacts (MUSC) (Neural Engineering Data Consortium, n.d.). Access must be requested through the corpus provider. The applicable data-use conditions and any institutional ethics determination must be confirmed before analysis. Access, the recordings and their annotation files have not yet been obtained.</w:t>
      </w:r>
    </w:p>
    <w:p>
      <w:pPr>
        <w:pStyle w:val="BodyText"/>
      </w:pPr>
      <w:r>
        <w:t xml:space="preserve">Before training, the study will inspect the available participant and recording identifiers, channel labels, references, sampling rates, annotation intervals and artifact counts. A record will be kept of missing or unusable files, exclusions, usable duration and category counts by participant. Channel availability and reference configurations will determine a common compatible input; selecting a subset of clinical channels will not reproduce the conditions of a wearable device. The audit will establish how channel-specific annotations and overlapping categories relate to each analysis window and whether each category has enough participants for the proposed evaluation.</w:t>
      </w:r>
    </w:p>
    <w:p>
      <w:pPr>
        <w:pStyle w:val="BodyText"/>
      </w:pPr>
      <w:r>
        <w:t xml:space="preserve">A label and inclusion protocol will be fixed before model fitting. If the annotations support a defensible mutually exclusive task, windows with overlapping or ambiguous labels will be handled according to an explicit, reported rule, including exclusion where necessary. A background class will be used only if the annotations support it. If overlap cannot be represented adequately by that protocol, a multi-label formulation and appropriate per-label metrics will require supervisor review; the study will not silently assign a single category. If corpus access, participant grouping or label coverage cannot support the research question, the limitation will be reported and the experiment will not proceed under a weaker split or an unapproved substitute dataset.</w:t>
      </w:r>
    </w:p>
    <w:bookmarkEnd w:id="18"/>
    <w:bookmarkStart w:id="19" w:name="signal-preparation-and-classifiers"/>
    <w:p>
      <w:pPr>
        <w:pStyle w:val="Heading3"/>
      </w:pPr>
      <w:r>
        <w:t xml:space="preserve">Signal preparation and classifiers</w:t>
      </w:r>
    </w:p>
    <w:p>
      <w:pPr>
        <w:pStyle w:val="FirstParagraph"/>
      </w:pPr>
      <w:r>
        <w:t xml:space="preserve">Recordings will be imported with their channel and timing metadata. The preparation protocol will check sample rates, reference arrangements, missing channels and corrupted segments, then select a common channel-compatible representation. Any resampling or filtering will be documented and justified against the artifact characteristics under study so that information needed to distinguish categories is not inadvertently removed. Artifact correction is outside the proposed classification task. Fixed, non-overlapping windows will be extracted, and their labels assigned using the frozen annotation protocol. Window duration and any processing parameters that require selection will be chosen using training data and validation only.</w:t>
      </w:r>
    </w:p>
    <w:p>
      <w:pPr>
        <w:pStyle w:val="BodyText"/>
      </w:pPr>
      <w:r>
        <w:t xml:space="preserve">The feature-based baseline will use a compact classifier, such as a random forest, with documented time-domain statistics and spectral features calculated for each window. The neural baseline will use a compact one-dimensional convolutional network trained on the same windowed input and category definitions. These are established model families selected for comparison rather than claims of a new architecture. Feature-based tree methods and resource measurements have previously been studied on TUAR (Ingolfsson et al., 2022). Model sizes and training configurations will be recorded, and the comparison will use the same participant partitions for both methods.</w:t>
      </w:r>
    </w:p>
    <w:bookmarkEnd w:id="19"/>
    <w:bookmarkStart w:id="20" w:name="experimental-evaluation"/>
    <w:p>
      <w:pPr>
        <w:pStyle w:val="Heading3"/>
      </w:pPr>
      <w:r>
        <w:t xml:space="preserve">Experimental evaluation</w:t>
      </w:r>
    </w:p>
    <w:p>
      <w:pPr>
        <w:pStyle w:val="FirstParagraph"/>
      </w:pPr>
      <w:r>
        <w:t xml:space="preserve">Participants will be the independent grouping unit. Whole participants and their recordings will be assigned to training, validation and final test partitions before window-level processing; no participant, recording or adjacent window may cross partitions. Model selection, feature selection, normalization, class weights and any decision thresholds will be learned or chosen within the training and validation partitions only. The final held-out participants will not be used to tune the models. The partition assignments, random seeds, preprocessing choices and software versions will be recorded so that the experiment can be repeated. If category counts permit, grouped cross-validation within the training data will support model selection.</w:t>
      </w:r>
    </w:p>
    <w:p>
      <w:pPr>
        <w:pStyle w:val="BodyText"/>
      </w:pPr>
      <w:r>
        <w:t xml:space="preserve">For the agreed single-label task, both models will be evaluated on the same held-out windows using per-category precision and recall, macro-F1, balanced accuracy and a confusion matrix. The report will include the number of participants and windows per category, excluded data and any categories whose test support is insufficient for a reliable estimate. Where the number and distribution of held-out participants permit, uncertainty will be estimated by resampling participants rather than treating neighbouring windows as independent observations. If a multi-label formulation is subsequently approved, per-label precision, recall and F1 and a suitable multi-label summary will replace metrics that require mutually exclusive classes. Results will be reported even if neither model has an advantage.</w:t>
      </w:r>
    </w:p>
    <w:p>
      <w:pPr>
        <w:pStyle w:val="BodyText"/>
      </w:pPr>
      <w:r>
        <w:t xml:space="preserve">Computational cost will be measured on the same specified computer, with the processor, software environment, input dimensions and measurement procedure documented. The study will report model parameter count or saved model size, and per-window CPU inference latency for both models under the same conditions. Initialization and input preparation will be identified separately from timed inference; repeated measurements will show the distribution of latency rather than a single favourable value. These measurements describe the tested computer and will not establish real-time performance on a wearable device.</w:t>
      </w:r>
    </w:p>
    <w:bookmarkEnd w:id="20"/>
    <w:bookmarkStart w:id="21" w:name="demonstrator-and-instruments"/>
    <w:p>
      <w:pPr>
        <w:pStyle w:val="Heading3"/>
      </w:pPr>
      <w:r>
        <w:t xml:space="preserve">Demonstrator and instruments</w:t>
      </w:r>
    </w:p>
    <w:p>
      <w:pPr>
        <w:pStyle w:val="FirstParagraph"/>
      </w:pPr>
      <w:r>
        <w:t xml:space="preserve">The software demonstrator will replay permitted, annotated recordings as successive windows through a trained classifier and display the predicted category, a qualified interpretation and processing latency. Feedback will distinguish a predicted category from a suggested action: an electrode-related prediction, for example, may prompt a sensor check without claiming a confirmed physical cause. Selected annotated recordings will be used to check that displayed labels and messages correspond to model outputs and to identify false or missed category warnings. Annotation comparisons will assess the demonstration on those recordings; they will not establish reliable live feedback or diagnose the source of interference.</w:t>
      </w:r>
    </w:p>
    <w:p>
      <w:pPr>
        <w:pStyle w:val="BodyText"/>
      </w:pPr>
      <w:r>
        <w:t xml:space="preserve">The planned software instruments are Python, MNE-Python for EEG data handling, NumPy and SciPy for signal processing, scikit-learn for the feature-based model, and PyTorch for the neural model. Experiment records will retain the dataset version, split manifest, label policy, model settings and evaluation results without redistributing restricted recordings. The replay interface is a software artifact and does not implement a BCI command decoder, robotic-arm control or live acquisition.</w:t>
      </w:r>
    </w:p>
    <w:p>
      <w:pPr>
        <w:pStyle w:val="BodyText"/>
      </w:pPr>
      <w:r>
        <w:t xml:space="preserve">A separate physical prototype remains a feasibility gate. A live system would require raw EEG access, suitable electrodes and channels for the selected artifact classes, reference and ground arrangements, appropriate sampling and timing, compatible accessories and acquisition software, and documented equipment safety. No complete, institutionally approved setup with electrodes, accessories, shipping and Zimbabwe import costs has been verified within the total US$300 budget. Live recording therefore remains blocked pending a complete landed quote or confirmed equipment access, safety assessment and institutional ethics approval. The supervisor must decide how the physical requirement will be met or whether the scope and resources will be revised.</w:t>
      </w:r>
    </w:p>
    <w:bookmarkEnd w:id="21"/>
    <w:bookmarkEnd w:id="22"/>
    <w:bookmarkStart w:id="25" w:name="Xca513201c45a0f1d8ee46cab0058c929eb43e3e"/>
    <w:p>
      <w:pPr>
        <w:pStyle w:val="Heading2"/>
      </w:pPr>
      <w:r>
        <w:t xml:space="preserve">1.7 Expected results and Significance of the project</w:t>
      </w:r>
    </w:p>
    <w:bookmarkStart w:id="23" w:name="expected-results"/>
    <w:p>
      <w:pPr>
        <w:pStyle w:val="Heading3"/>
      </w:pPr>
      <w:r>
        <w:t xml:space="preserve">1.7.1 Expected results</w:t>
      </w:r>
    </w:p>
    <w:p>
      <w:pPr>
        <w:pStyle w:val="FirstParagraph"/>
      </w:pPr>
      <w:r>
        <w:t xml:space="preserve">The study is expected to produce an audit of the available TUAR recordings and a documented protocol for selecting channels and assigning artifact labels. The audit will report participant identifiers, annotation overlap, category counts and exclusions, subject to access to the corpus. These records will show whether the five documented categories can support the intended comparison and participant-disjoint evaluation. If access or annotation suitability prevents a valid experiment, the project will report the specific limitation instead of presenting an unsupported comparison.</w:t>
      </w:r>
    </w:p>
    <w:p>
      <w:pPr>
        <w:pStyle w:val="BodyText"/>
      </w:pPr>
      <w:r>
        <w:t xml:space="preserve">The expected engineering outputs include reproducible implementations of a compact feature-based classifier and a compact neural classifier. Both will use the same compatible inputs, windowing and participant partitions. Their preparation and evaluation records will describe the data version, label policy, preprocessing, model settings and split assignments, so that the comparison can be inspected and repeated under the stated conditions.</w:t>
      </w:r>
    </w:p>
    <w:p>
      <w:pPr>
        <w:pStyle w:val="BodyText"/>
      </w:pPr>
      <w:r>
        <w:t xml:space="preserve">The evaluation is intended to produce category-level precision and recall, macro-F1, balanced accuracy and confusion matrices for the agreed single-label task, together with model size and per-window CPU inference latency. These measurements will indicate whether the models show a performance and computational-cost trade-off on the selected clinical recordings. The findings may also show no clear difference or insufficient evidence for a reliable comparison; no accuracy advantage is assumed. If a multi-label formulation is approved after the annotation audit, the reported measures will follow the revised protocol.</w:t>
      </w:r>
    </w:p>
    <w:p>
      <w:pPr>
        <w:pStyle w:val="BodyText"/>
      </w:pPr>
      <w:r>
        <w:t xml:space="preserve">A stored-data replay demonstrator is expected to display predicted artifact categories, qualified user feedback and processing latency for selected annotated recordings. Its displayed predictions and messages will be checked against model outputs and annotations, including false or missed warnings. An electrode-related prediction may prompt a sensor check without asserting a confirmed physical fault. The demonstrator is a software artifact; it does not provide live EEG acquisition. A physical EEG prototype remains blocked until a complete, safe and approved setup is confirmed within the total US$300 delivered budget, or the supervisor resolves the required scope and resources.</w:t>
      </w:r>
    </w:p>
    <w:bookmarkEnd w:id="23"/>
    <w:bookmarkStart w:id="24" w:name="significance-of-the-project"/>
    <w:p>
      <w:pPr>
        <w:pStyle w:val="Heading3"/>
      </w:pPr>
      <w:r>
        <w:t xml:space="preserve">1.7.2 Significance of the project</w:t>
      </w:r>
    </w:p>
    <w:p>
      <w:pPr>
        <w:pStyle w:val="FirstParagraph"/>
      </w:pPr>
      <w:r>
        <w:t xml:space="preserve">EEG and BCI researchers could use the proposed comparison to examine how two compact artifact-category classifiers perform on previously unseen participants under a common clinical-data protocol. Category-level errors and documented exclusions would help readers judge where the methods are less reliable and whether the findings apply to a similar research question. The label policy and participant partitions could also support careful replication, subject to TUAR access and its data-use conditions. Such evidence would be useful even if neither classifier shows a clear advantage.</w:t>
      </w:r>
    </w:p>
    <w:p>
      <w:pPr>
        <w:pStyle w:val="BodyText"/>
      </w:pPr>
      <w:r>
        <w:t xml:space="preserve">For biomedical and computer engineers, the study could provide measured evidence about the relationship between classification performance, model size and CPU inference time on the specified computer. These measures can inform the choice of candidates for further investigation when computing resources matter. Previous work has already compared classical and neural models on clinical EEG and examined resource-conscious artifact processing (Kastrati et al., 2025; Ingolfsson et al., 2022). The proposed study therefore seeks a bounded comparative result rather than claiming to introduce artifact classification or establish a new algorithm.</w:t>
      </w:r>
    </w:p>
    <w:p>
      <w:pPr>
        <w:pStyle w:val="BodyText"/>
      </w:pPr>
      <w:r>
        <w:t xml:space="preserve">Developers of EEG processing systems could use the replay demonstrator to examine one way of presenting predicted categories and qualified feedback alongside recorded signals. A prediction and an accompanying suggestion to check a sensor would remain distinct from a confirmed diagnosis of the cause of interference. Evaluation against selected annotations may reveal display errors or misleading warnings that should be addressed before any future user-facing application.</w:t>
      </w:r>
    </w:p>
    <w:p>
      <w:pPr>
        <w:pStyle w:val="BodyText"/>
      </w:pPr>
      <w:r>
        <w:t xml:space="preserve">Any benefit to people using EEG interfaces is indirect and would depend on further work, including validation with live recordings, suitable equipment and intended users. Results from TUAR describe the selected clinical recordings and do not establish wearable performance or improved BCI command decisions. Dataset access, annotation suitability and acceptance of the comparative contribution remain unresolved; these conditions limit what the study can establish.</w:t>
      </w:r>
    </w:p>
    <w:bookmarkEnd w:id="24"/>
    <w:bookmarkEnd w:id="25"/>
    <w:bookmarkStart w:id="32" w:name="feasibility-study"/>
    <w:p>
      <w:pPr>
        <w:pStyle w:val="Heading2"/>
      </w:pPr>
      <w:r>
        <w:t xml:space="preserve">1.8 Feasibility study</w:t>
      </w:r>
    </w:p>
    <w:p>
      <w:pPr>
        <w:pStyle w:val="FirstParagraph"/>
      </w:pPr>
      <w:r>
        <w:rPr>
          <w:b/>
          <w:bCs/>
        </w:rPr>
        <w:t xml:space="preserve">Overall assessment: PROVISIONAL; live EEG prototype BLOCKED.</w:t>
      </w:r>
      <w:r>
        <w:t xml:space="preserve"> </w:t>
      </w:r>
      <w:r>
        <w:t xml:space="preserve">The planned offline comparison and replay tool have a plausible technical path, but their completion depends on data access, suitable annotations and available computing resources. A complete, safe and institutionally approved live EEG setup within the US$300 total hardware budget has not been confirmed. The software demonstrator cannot satisfy that separate physical acquisition requirement.</w:t>
      </w:r>
    </w:p>
    <w:bookmarkStart w:id="26" w:name="technical-feasibility"/>
    <w:p>
      <w:pPr>
        <w:pStyle w:val="Heading3"/>
      </w:pPr>
      <w:r>
        <w:t xml:space="preserve">Technical feasibility</w:t>
      </w:r>
    </w:p>
    <w:p>
      <w:pPr>
        <w:pStyle w:val="FirstParagraph"/>
      </w:pPr>
      <w:r>
        <w:t xml:space="preserve">TUAR is the proposed source for the classifier comparison. The corpus provider documents five artifact categories and an application process, but the project has not yet obtained its recordings or data-use agreement (Neural Engineering Data Consortium, n.d.). The participant identifiers, channel configurations, overlap between annotations and representation of each category must be audited before the proposed participant-disjoint evaluation can be considered viable. Insufficient labels or participant groups would prevent a valid comparison under the present research question. Because TUAR contains clinical recordings, its results cannot establish performance on a wearable headset.</w:t>
      </w:r>
    </w:p>
    <w:p>
      <w:pPr>
        <w:pStyle w:val="BodyText"/>
      </w:pPr>
      <w:r>
        <w:t xml:space="preserve">A feature-based model and a compact neural model are implementable in principle using the Python tools specified in Section 1.6. Their practical training time, memory use and inference latency remain unmeasured, and a suitable computer and storage capacity have not been confirmed. Grouping participants before preparing windows and fitting learned preprocessing within training partitions are necessary for a credible comparison. The replay interface can display classifications from stored recordings and be checked against annotations; its operation would not establish live acquisition, real-time performance or BCI command control. Existing clinical comparisons and embedded artifact-processing studies also mean that the originality of this particular benchmark remains uncertain (Kastrati et al., 2025; Ingolfsson et al., 2022).</w:t>
      </w:r>
    </w:p>
    <w:p>
      <w:pPr>
        <w:pStyle w:val="BodyText"/>
      </w:pPr>
      <w:r>
        <w:t xml:space="preserve">A live acquisition system would additionally require raw EEG access, electrodes in positions compatible with the chosen classes, sufficient independent channels, a suitable reference and ground, documented sampling and timing, compatible recording software and appropriate electrical safety evidence. The channel selection and annotation audit have not yet established a specific montage; a small channel count cannot be assumed to distinguish every artifact category. Compatibility between clinical training recordings and a live device would need separate evaluation.</w:t>
      </w:r>
    </w:p>
    <w:bookmarkEnd w:id="26"/>
    <w:bookmarkStart w:id="27" w:name="operational-feasibility"/>
    <w:p>
      <w:pPr>
        <w:pStyle w:val="Heading3"/>
      </w:pPr>
      <w:r>
        <w:t xml:space="preserve">Operational feasibility</w:t>
      </w:r>
    </w:p>
    <w:p>
      <w:pPr>
        <w:pStyle w:val="FirstParagraph"/>
      </w:pPr>
      <w:r>
        <w:t xml:space="preserve">The two-semester schedule provides a plausible framework for an audit, implementation, evaluation and replay demonstration if corpus access and suitable computing resources become available early enough. Access approval, the label audit and agreement on a defensible research contribution are dependencies for model development; delays or incompatible labels may prevent completion of the comparison. The student’s available computer, storage, relevant skills and support have not been confirmed, so runtime and workload must be reviewed against actual resources rather than assumed.</w:t>
      </w:r>
    </w:p>
    <w:p>
      <w:pPr>
        <w:pStyle w:val="BodyText"/>
      </w:pPr>
      <w:r>
        <w:t xml:space="preserve">The planned demonstration uses prerecorded EEG and can be assessed without recruiting participants. Live recording would require an approved device and acquisition protocol, institutional ethics review, informed consent and an equipment safety assessment before recruitment or recording. No university device loan or approval has been confirmed. The supervisor must decide how the physical acquisition requirement can be met within the available resources or whether the requirement, funding or project scope must be formally revised.</w:t>
      </w:r>
    </w:p>
    <w:bookmarkEnd w:id="27"/>
    <w:bookmarkStart w:id="31" w:name="economic-feasibility"/>
    <w:p>
      <w:pPr>
        <w:pStyle w:val="Heading3"/>
      </w:pPr>
      <w:r>
        <w:t xml:space="preserve">Economic feasibility</w:t>
      </w:r>
    </w:p>
    <w:p>
      <w:pPr>
        <w:pStyle w:val="FirstParagraph"/>
      </w:pPr>
      <w:r>
        <w:t xml:space="preserve">The total hardware ceiling is US$300, including electrodes, necessary accessories, shipping to Zimbabwe and import charges. The software stack is available without a proposed paid licence, but the cost and availability of a suitable computer and storage are unconfirmed. The planned offline objectives do not themselves establish the affordability of live recording.</w:t>
      </w:r>
    </w:p>
    <w:p>
      <w:pPr>
        <w:pStyle w:val="BodyText"/>
      </w:pPr>
      <w:r>
        <w:t xml:space="preserve">On 29 October 2026,</w:t>
      </w:r>
      <w:r>
        <w:t xml:space="preserve"> </w:t>
      </w:r>
      <w:hyperlink r:id="rId28">
        <w:r>
          <w:rPr>
            <w:rStyle w:val="Hyperlink"/>
          </w:rPr>
          <w:t xml:space="preserve">OpenBCI’s Ganglion product page</w:t>
        </w:r>
      </w:hyperlink>
      <w:r>
        <w:t xml:space="preserve"> </w:t>
      </w:r>
      <w:r>
        <w:t xml:space="preserve">listed its four-channel, 200 Hz board at US$624.99. Electrodes and a required computer dongle are separate purchases; therefore the board price alone exceeds the complete-project ceiling before shipping and import charges. The listing describes hardware capabilities, not institutional approval for participant recording (OpenBCI, n.d.).</w:t>
      </w:r>
    </w:p>
    <w:p>
      <w:pPr>
        <w:pStyle w:val="BodyText"/>
      </w:pPr>
      <w:r>
        <w:t xml:space="preserve">On the same date,</w:t>
      </w:r>
      <w:r>
        <w:t xml:space="preserve"> </w:t>
      </w:r>
      <w:hyperlink r:id="rId29">
        <w:r>
          <w:rPr>
            <w:rStyle w:val="Hyperlink"/>
          </w:rPr>
          <w:t xml:space="preserve">Olimex’s EEG-SMT product page</w:t>
        </w:r>
      </w:hyperlink>
      <w:r>
        <w:t xml:space="preserve"> </w:t>
      </w:r>
      <w:r>
        <w:t xml:space="preserve">listed its assembled USB device at €99, excluding the required five electrodes and USB cable. Its published serial protocol reports sampling at 256 Hz, but the price is not a complete delivered-system cost. The</w:t>
      </w:r>
      <w:r>
        <w:t xml:space="preserve"> </w:t>
      </w:r>
      <w:hyperlink r:id="rId30">
        <w:r>
          <w:rPr>
            <w:rStyle w:val="Hyperlink"/>
          </w:rPr>
          <w:t xml:space="preserve">manufacturer’s manual</w:t>
        </w:r>
      </w:hyperlink>
      <w:r>
        <w:t xml:space="preserve"> </w:t>
      </w:r>
      <w:r>
        <w:t xml:space="preserve">states that devices built from the referenced designs were not tested to the cited IEC 601 requirements and warns that connecting electrodes to people is potentially hazardous. Its published conformity declarations concern electromagnetic compatibility and hazardous substances; they do not establish the required patient electrical safety approval. This device is therefore not an acceptable human-recording workaround under the project’s safety requirement (Olimex, n.d.; Olimex, 2013).</w:t>
      </w:r>
    </w:p>
    <w:p>
      <w:pPr>
        <w:pStyle w:val="BodyText"/>
      </w:pPr>
      <w:r>
        <w:t xml:space="preserve">No complete, suitable system with a documented Zimbabwe delivery charge, import cost, compatible accessories, raw-data access and institutional safety acceptance has been verified at or below US$300. A confirmed equipment loan or additional funding could change the assessment, but neither is presently available. Economic feasibility for the required live prototype is consequently not established; the combined project remains blocked at the physical acquisition gate.</w:t>
      </w:r>
    </w:p>
    <w:bookmarkEnd w:id="31"/>
    <w:bookmarkEnd w:id="32"/>
    <w:bookmarkStart w:id="33" w:name="ethics-consideration"/>
    <w:p>
      <w:pPr>
        <w:pStyle w:val="Heading2"/>
      </w:pPr>
      <w:r>
        <w:t xml:space="preserve">1.9 Ethics Consideration</w:t>
      </w:r>
    </w:p>
    <w:p>
      <w:pPr>
        <w:pStyle w:val="FirstParagraph"/>
      </w:pPr>
      <w:r>
        <w:t xml:space="preserve">The proposed comparison uses previously recorded clinical EEG from the Temple University Hospital EEG Artifact Corpus (TUAR); the replay demonstrator also uses stored recordings. Neither objective requires recruitment or new human recordings. The corpus is available through a request process, and its data-use conditions have yet to be obtained (Neural Engineering Data Consortium, n.d.). Before accessing or analysing the data, the student will consult the supervisor and the responsible university office to determine whether secondary use requires ethics review or an exemption determination, and will follow the resulting decision. No clearance or exemption has yet been confirmed.</w:t>
      </w:r>
    </w:p>
    <w:p>
      <w:pPr>
        <w:pStyle w:val="BodyText"/>
      </w:pPr>
      <w:r>
        <w:t xml:space="preserve">Access to TUAR will be sought from its provider, and the recordings will be used only for purposes permitted by the applicable agreement. The project will not attempt to identify people represented in the clinical data or redistribute recordings where the agreement restricts this. Data will be limited to what is needed for the study, stored with restricted access and protected through encryption where appropriate. Backups, any transfer between systems, retention and deletion will follow the applicable data-use conditions and institutional requirements. The supervisor and university must confirm the approved storage arrangements, access controls and retention period; none is assumed here. Research outputs will be checked for identifying information and compliance with the agreement before sharing.</w:t>
      </w:r>
    </w:p>
    <w:p>
      <w:pPr>
        <w:pStyle w:val="BodyText"/>
      </w:pPr>
      <w:r>
        <w:t xml:space="preserve">A separate live EEG prototype remains an unresolved requirement. If the supervisor authorizes a scope and resource arrangement that includes human recording, the student will prepare the proposed procedures and submit them for the applicable institutional review before recruitment. Recording will begin only after the required authorization, informed consent and equipment safety assessment are in place. Prospective participants would receive an explanation of the purpose, electrode application, tasks, expected duration, possible discomfort, data handling and access arrangements. Participation would be voluntary, with no penalty for refusal, and participants could stop a session. The approved consent procedure must explain how to request withdrawal of data and any limits once data are irreversibly anonymized or incorporated into published results.</w:t>
      </w:r>
    </w:p>
    <w:p>
      <w:pPr>
        <w:pStyle w:val="BodyText"/>
      </w:pPr>
      <w:r>
        <w:t xml:space="preserve">Any later human recording would require a complete acquisition system assessed for suitable electrical isolation and safe electrode contact, together with manufacturer operating instructions and institutional equipment acceptance. Commercial availability alone does not establish safety. No complete approved system has been confirmed within the US$300 delivered budget, so live recording remains blocked. An approved procedure would also address electrode hygiene, skin discomfort, fatigue, appropriate supervision and stopping a session when a participant is uncomfortable or an equipment problem occurs. Where new data are collected, coded identifiers should be used and any identity key and consent records protected separately; coded data are not necessarily anonymous.</w:t>
      </w:r>
    </w:p>
    <w:p>
      <w:pPr>
        <w:pStyle w:val="BodyText"/>
      </w:pPr>
      <w:r>
        <w:t xml:space="preserve">The replay tool will present artifact categories as model predictions and qualify any associated feedback. A mistaken category or missed artifact could mislead a reader about the recording; an electrode-related prediction, for example, does not establish a physical fault. The comparison will report category errors, exclusions and limitations rather than assume equal performance across participants or transfer from clinical recordings to wearable devices. Dataset provenance, access conditions, processing choices and results will be documented accurately, and scientific sources cited. The dissertation will distinguish proposed work from completed experiments and stored-data replay from live acquisition; any AI-assisted writing will be checked by the student against applicable university guidance.</w:t>
      </w:r>
    </w:p>
    <w:bookmarkEnd w:id="33"/>
    <w:bookmarkStart w:id="36" w:name="X05dcb678b9f097b438bdf585dfe4b2bea462bde"/>
    <w:p>
      <w:pPr>
        <w:pStyle w:val="Heading2"/>
      </w:pPr>
      <w:r>
        <w:t xml:space="preserve">1.10 Delimitations and Limitations of the research</w:t>
      </w:r>
    </w:p>
    <w:bookmarkStart w:id="34" w:name="delimitations"/>
    <w:p>
      <w:pPr>
        <w:pStyle w:val="Heading3"/>
      </w:pPr>
      <w:r>
        <w:t xml:space="preserve">Delimitations</w:t>
      </w:r>
    </w:p>
    <w:p>
      <w:pPr>
        <w:pStyle w:val="FirstParagraph"/>
      </w:pPr>
      <w:r>
        <w:t xml:space="preserve">The proposed study focuses on identifying artifact categories in recorded scalp EEG using the Temple University Hospital EEG Artifact Corpus (TUAR). The intended task concerns its five documented categories: eye movement, chewing, shivering, electrode-related artifacts and muscle artifacts (Neural Engineering Data Consortium, n.d.). Their inclusion depends on corpus access and an audit of the available annotations. A documented label protocol will define which windows can support the comparison; ambiguous or overlapping annotations will not be forced into a single category without justification.</w:t>
      </w:r>
    </w:p>
    <w:p>
      <w:pPr>
        <w:pStyle w:val="BodyText"/>
      </w:pPr>
      <w:r>
        <w:t xml:space="preserve">The comparison is restricted to one compact feature-based classifier and one compact neural classifier using compatible inputs and participant-disjoint evaluation. This provides a manageable assessment of classification and CPU costs without surveying all model families. The associated demonstrator will replay stored recordings and present predicted categories with qualified feedback. The research does not evaluate artifact rejection or correction, physical source attribution beyond the dataset labels, clinical diagnosis, live BCI command decoding, visual stimulation or robotic control. It does not test whether artifact identification improves a downstream BCI task.</w:t>
      </w:r>
    </w:p>
    <w:bookmarkEnd w:id="34"/>
    <w:bookmarkStart w:id="35" w:name="limitations"/>
    <w:p>
      <w:pPr>
        <w:pStyle w:val="Heading3"/>
      </w:pPr>
      <w:r>
        <w:t xml:space="preserve">Limitations</w:t>
      </w:r>
    </w:p>
    <w:p>
      <w:pPr>
        <w:pStyle w:val="FirstParagraph"/>
      </w:pPr>
      <w:r>
        <w:t xml:space="preserve">Access to TUAR and its data-use terms remain unconfirmed. The participant identifiers, channel configurations, annotation overlap and class counts must be inspected before the proposed evaluation can be judged viable. Sparse category representation or ambiguous labels, if found, may restrict the analysis or prevent a valid comparison. The planned audit, explicit inclusion rules and reporting of exclusions and per-category results will help readers assess these effects; they cannot create reliable labels where the data do not support them.</w:t>
      </w:r>
    </w:p>
    <w:p>
      <w:pPr>
        <w:pStyle w:val="BodyText"/>
      </w:pPr>
      <w:r>
        <w:t xml:space="preserve">TUAR contains clinical recordings obtained under conditions that differ from wearable use. Selecting channels digitally from those recordings does not reproduce a wearable headset’s electrodes, contact conditions or movement. Evaluation on held-out participants can show performance on unseen participants within the sampled corpus, but it does not by itself establish generalization to other devices, recording environments, independently held-out sessions or populations. Model size and CPU latency will be measured on the specified computer, so the results will describe that environment rather than establish wearable or real-time performance. The availability and capability of the computer and storage needed for the work remain to be confirmed.</w:t>
      </w:r>
    </w:p>
    <w:p>
      <w:pPr>
        <w:pStyle w:val="BodyText"/>
      </w:pPr>
      <w:r>
        <w:t xml:space="preserve">The offline comparison and replay tool do not meet the separate physical acquisition requirement. No complete, suitable EEG system with institutional safety acceptance and all delivery and import costs has been confirmed within the total US$300 hardware budget. Live acquisition therefore remains blocked pending equipment access or a supervisor-approved resource or scope decision, as well as the applicable approvals. Dataset access, the annotation audit, the unresolved originality of the comparison and the hardware decision may also affect completion within two semesters. The study will report these constraints and any inconclusive outcome rather than treat a replay demonstration as live validation.</w:t>
      </w:r>
    </w:p>
    <w:bookmarkEnd w:id="35"/>
    <w:bookmarkEnd w:id="36"/>
    <w:bookmarkStart w:id="42" w:name="budget-and-timelines"/>
    <w:p>
      <w:pPr>
        <w:pStyle w:val="Heading2"/>
      </w:pPr>
      <w:r>
        <w:t xml:space="preserve">1.11 Budget and Timelines</w:t>
      </w:r>
    </w:p>
    <w:bookmarkStart w:id="40" w:name="project-budget"/>
    <w:p>
      <w:pPr>
        <w:pStyle w:val="Heading3"/>
      </w:pPr>
      <w:r>
        <w:t xml:space="preserve">Project Budget</w:t>
      </w:r>
    </w:p>
    <w:p>
      <w:pPr>
        <w:pStyle w:val="FirstParagraph"/>
      </w:pPr>
      <w:r>
        <w:t xml:space="preserve">The offline objectives require permitted TUAR access, storage and a computer capable of the stated evaluation. Python, MNE-Python, NumPy, SciPy, scikit-learn and PyTorch do not require a proposed paid licence, but the availability of suitable computer and storage resources is unconfirmed. TUAR access conditions and any associated cost remain unconfirmed. No robotic, command-decoding or visual-stimulation hardware is budgeted because these features are outside the current objectives.</w:t>
      </w:r>
    </w:p>
    <w:p>
      <w:pPr>
        <w:pStyle w:val="BodyText"/>
      </w:pPr>
      <w:r>
        <w:t xml:space="preserve">Table 1 records public manufacturer listings checked on 29 October 2026. They are evidence of component prices, not quotations for a complete delivered human-recording system. Shipping to Zimbabwe, customs and import charges, conductive paste, and any required research-access charge are unknown and are therefore not included in any subtotal.</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Item</w:t>
            </w:r>
          </w:p>
        </w:tc>
        <w:tc>
          <w:tcPr/>
          <w:p>
            <w:pPr>
              <w:pStyle w:val="Compact"/>
              <w:jc w:val="right"/>
            </w:pPr>
            <w:r>
              <w:t xml:space="preserve">Quantity</w:t>
            </w:r>
          </w:p>
        </w:tc>
        <w:tc>
          <w:tcPr/>
          <w:p>
            <w:pPr>
              <w:pStyle w:val="Compact"/>
              <w:jc w:val="right"/>
            </w:pPr>
            <w:r>
              <w:t xml:space="preserve">Listed unit cost</w:t>
            </w:r>
          </w:p>
        </w:tc>
        <w:tc>
          <w:tcPr/>
          <w:p>
            <w:pPr>
              <w:pStyle w:val="Compact"/>
              <w:jc w:val="right"/>
            </w:pPr>
            <w:r>
              <w:t xml:space="preserve">Subtotal</w:t>
            </w:r>
          </w:p>
        </w:tc>
        <w:tc>
          <w:tcPr/>
          <w:p>
            <w:pPr>
              <w:pStyle w:val="Compact"/>
            </w:pPr>
            <w:r>
              <w:t xml:space="preserve">Source and status</w:t>
            </w:r>
          </w:p>
        </w:tc>
      </w:tr>
      <w:tr>
        <w:tc>
          <w:tcPr/>
          <w:p>
            <w:pPr>
              <w:pStyle w:val="Compact"/>
            </w:pPr>
            <w:r>
              <w:t xml:space="preserve">Muse 2 headband</w:t>
            </w:r>
          </w:p>
        </w:tc>
        <w:tc>
          <w:tcPr/>
          <w:p>
            <w:pPr>
              <w:pStyle w:val="Compact"/>
              <w:jc w:val="right"/>
            </w:pPr>
            <w:r>
              <w:t xml:space="preserve">1</w:t>
            </w:r>
          </w:p>
        </w:tc>
        <w:tc>
          <w:tcPr/>
          <w:p>
            <w:pPr>
              <w:pStyle w:val="Compact"/>
              <w:jc w:val="right"/>
            </w:pPr>
            <w:r>
              <w:t xml:space="preserve">US$249.99</w:t>
            </w:r>
          </w:p>
        </w:tc>
        <w:tc>
          <w:tcPr/>
          <w:p>
            <w:pPr>
              <w:pStyle w:val="Compact"/>
              <w:jc w:val="right"/>
            </w:pPr>
            <w:r>
              <w:t xml:space="preserve">US$249.99</w:t>
            </w:r>
          </w:p>
        </w:tc>
        <w:tc>
          <w:tcPr/>
          <w:p>
            <w:pPr>
              <w:pStyle w:val="Compact"/>
            </w:pPr>
            <w:hyperlink r:id="rId37">
              <w:r>
                <w:rPr>
                  <w:rStyle w:val="Hyperlink"/>
                </w:rPr>
                <w:t xml:space="preserve">Muse product listing</w:t>
              </w:r>
            </w:hyperlink>
            <w:r>
              <w:t xml:space="preserve">; headband only. Academic research tools and licensing require separate contact and are unconfirmed.</w:t>
            </w:r>
          </w:p>
        </w:tc>
      </w:tr>
      <w:tr>
        <w:tc>
          <w:tcPr/>
          <w:p>
            <w:pPr>
              <w:pStyle w:val="Compact"/>
            </w:pPr>
            <w:r>
              <w:t xml:space="preserve">OpenBCI Ganglion board</w:t>
            </w:r>
          </w:p>
        </w:tc>
        <w:tc>
          <w:tcPr/>
          <w:p>
            <w:pPr>
              <w:pStyle w:val="Compact"/>
              <w:jc w:val="right"/>
            </w:pPr>
            <w:r>
              <w:t xml:space="preserve">1</w:t>
            </w:r>
          </w:p>
        </w:tc>
        <w:tc>
          <w:tcPr/>
          <w:p>
            <w:pPr>
              <w:pStyle w:val="Compact"/>
              <w:jc w:val="right"/>
            </w:pPr>
            <w:r>
              <w:t xml:space="preserve">US$624.99</w:t>
            </w:r>
          </w:p>
        </w:tc>
        <w:tc>
          <w:tcPr/>
          <w:p>
            <w:pPr>
              <w:pStyle w:val="Compact"/>
              <w:jc w:val="right"/>
            </w:pPr>
            <w:r>
              <w:t xml:space="preserve">US$624.99</w:t>
            </w:r>
          </w:p>
        </w:tc>
        <w:tc>
          <w:tcPr/>
          <w:p>
            <w:pPr>
              <w:pStyle w:val="Compact"/>
            </w:pPr>
            <w:hyperlink r:id="rId28">
              <w:r>
                <w:rPr>
                  <w:rStyle w:val="Hyperlink"/>
                </w:rPr>
                <w:t xml:space="preserve">OpenBCI listing</w:t>
              </w:r>
            </w:hyperlink>
            <w:r>
              <w:t xml:space="preserve">; four channels at 200 Hz; listed as sold out.</w:t>
            </w:r>
          </w:p>
        </w:tc>
      </w:tr>
      <w:tr>
        <w:tc>
          <w:tcPr/>
          <w:p>
            <w:pPr>
              <w:pStyle w:val="Compact"/>
            </w:pPr>
            <w:r>
              <w:t xml:space="preserve">Ganglion computer dongle</w:t>
            </w:r>
          </w:p>
        </w:tc>
        <w:tc>
          <w:tcPr/>
          <w:p>
            <w:pPr>
              <w:pStyle w:val="Compact"/>
              <w:jc w:val="right"/>
            </w:pPr>
            <w:r>
              <w:t xml:space="preserve">1</w:t>
            </w:r>
          </w:p>
        </w:tc>
        <w:tc>
          <w:tcPr/>
          <w:p>
            <w:pPr>
              <w:pStyle w:val="Compact"/>
              <w:jc w:val="right"/>
            </w:pPr>
            <w:r>
              <w:t xml:space="preserve">US$19.99</w:t>
            </w:r>
          </w:p>
        </w:tc>
        <w:tc>
          <w:tcPr/>
          <w:p>
            <w:pPr>
              <w:pStyle w:val="Compact"/>
              <w:jc w:val="right"/>
            </w:pPr>
            <w:r>
              <w:t xml:space="preserve">US$19.99</w:t>
            </w:r>
          </w:p>
        </w:tc>
        <w:tc>
          <w:tcPr/>
          <w:p>
            <w:pPr>
              <w:pStyle w:val="Compact"/>
            </w:pPr>
            <w:hyperlink r:id="rId38">
              <w:r>
                <w:rPr>
                  <w:rStyle w:val="Hyperlink"/>
                </w:rPr>
                <w:t xml:space="preserve">OpenBCI listing</w:t>
              </w:r>
            </w:hyperlink>
            <w:r>
              <w:t xml:space="preserve">; required for computer use; listed as sold out.</w:t>
            </w:r>
          </w:p>
        </w:tc>
      </w:tr>
      <w:tr>
        <w:tc>
          <w:tcPr/>
          <w:p>
            <w:pPr>
              <w:pStyle w:val="Compact"/>
            </w:pPr>
            <w:r>
              <w:t xml:space="preserve">Ten OpenBCI gold-cup electrodes</w:t>
            </w:r>
          </w:p>
        </w:tc>
        <w:tc>
          <w:tcPr/>
          <w:p>
            <w:pPr>
              <w:pStyle w:val="Compact"/>
              <w:jc w:val="right"/>
            </w:pPr>
            <w:r>
              <w:t xml:space="preserve">1 set</w:t>
            </w:r>
          </w:p>
        </w:tc>
        <w:tc>
          <w:tcPr/>
          <w:p>
            <w:pPr>
              <w:pStyle w:val="Compact"/>
              <w:jc w:val="right"/>
            </w:pPr>
            <w:r>
              <w:t xml:space="preserve">US$44.99</w:t>
            </w:r>
          </w:p>
        </w:tc>
        <w:tc>
          <w:tcPr/>
          <w:p>
            <w:pPr>
              <w:pStyle w:val="Compact"/>
              <w:jc w:val="right"/>
            </w:pPr>
            <w:r>
              <w:t xml:space="preserve">US$44.99</w:t>
            </w:r>
          </w:p>
        </w:tc>
        <w:tc>
          <w:tcPr/>
          <w:p>
            <w:pPr>
              <w:pStyle w:val="Compact"/>
            </w:pPr>
            <w:hyperlink r:id="rId39">
              <w:r>
                <w:rPr>
                  <w:rStyle w:val="Hyperlink"/>
                </w:rPr>
                <w:t xml:space="preserve">OpenBCI listing</w:t>
              </w:r>
            </w:hyperlink>
            <w:r>
              <w:t xml:space="preserve">; conductive paste is separate; listed as sold out.</w:t>
            </w:r>
          </w:p>
        </w:tc>
      </w:tr>
      <w:tr>
        <w:tc>
          <w:tcPr/>
          <w:p>
            <w:pPr>
              <w:pStyle w:val="Compact"/>
            </w:pPr>
            <w:r>
              <w:t xml:space="preserve">Ganglion component subtotal</w:t>
            </w:r>
          </w:p>
        </w:tc>
        <w:tc>
          <w:tcPr/>
          <w:p>
            <w:pPr>
              <w:pStyle w:val="Compact"/>
            </w:pPr>
          </w:p>
        </w:tc>
        <w:tc>
          <w:tcPr/>
          <w:p>
            <w:pPr>
              <w:pStyle w:val="Compact"/>
            </w:pPr>
          </w:p>
        </w:tc>
        <w:tc>
          <w:tcPr/>
          <w:p>
            <w:pPr>
              <w:pStyle w:val="Compact"/>
              <w:jc w:val="right"/>
            </w:pPr>
            <w:r>
              <w:rPr>
                <w:b/>
                <w:bCs/>
              </w:rPr>
              <w:t xml:space="preserve">US$689.97</w:t>
            </w:r>
          </w:p>
        </w:tc>
        <w:tc>
          <w:tcPr/>
          <w:p>
            <w:pPr>
              <w:pStyle w:val="Compact"/>
            </w:pPr>
            <w:r>
              <w:t xml:space="preserve">Board, dongle and electrodes only; US$389.97 above the US$300 ceiling before unknown essential costs.</w:t>
            </w:r>
          </w:p>
        </w:tc>
      </w:tr>
      <w:tr>
        <w:tc>
          <w:tcPr/>
          <w:p>
            <w:pPr>
              <w:pStyle w:val="Compact"/>
            </w:pPr>
            <w:r>
              <w:t xml:space="preserve">Olimex EEG-SMT</w:t>
            </w:r>
          </w:p>
        </w:tc>
        <w:tc>
          <w:tcPr/>
          <w:p>
            <w:pPr>
              <w:pStyle w:val="Compact"/>
              <w:jc w:val="right"/>
            </w:pPr>
            <w:r>
              <w:t xml:space="preserve">1</w:t>
            </w:r>
          </w:p>
        </w:tc>
        <w:tc>
          <w:tcPr/>
          <w:p>
            <w:pPr>
              <w:pStyle w:val="Compact"/>
              <w:jc w:val="right"/>
            </w:pPr>
            <w:r>
              <w:t xml:space="preserve">€99.00</w:t>
            </w:r>
          </w:p>
        </w:tc>
        <w:tc>
          <w:tcPr/>
          <w:p>
            <w:pPr>
              <w:pStyle w:val="Compact"/>
              <w:jc w:val="right"/>
            </w:pPr>
            <w:r>
              <w:t xml:space="preserve">€99.00</w:t>
            </w:r>
          </w:p>
        </w:tc>
        <w:tc>
          <w:tcPr/>
          <w:p>
            <w:pPr>
              <w:pStyle w:val="Compact"/>
            </w:pPr>
            <w:hyperlink r:id="rId29">
              <w:r>
                <w:rPr>
                  <w:rStyle w:val="Hyperlink"/>
                </w:rPr>
                <w:t xml:space="preserve">Manufacturer listing</w:t>
              </w:r>
            </w:hyperlink>
            <w:r>
              <w:t xml:space="preserve">; electrodes and USB cable are separate. Excluded from a live human-recording budget: the</w:t>
            </w:r>
            <w:r>
              <w:t xml:space="preserve"> </w:t>
            </w:r>
            <w:hyperlink r:id="rId30">
              <w:r>
                <w:rPr>
                  <w:rStyle w:val="Hyperlink"/>
                </w:rPr>
                <w:t xml:space="preserve">manual</w:t>
              </w:r>
            </w:hyperlink>
            <w:r>
              <w:t xml:space="preserve"> </w:t>
            </w:r>
            <w:r>
              <w:t xml:space="preserve">states that the designs were not tested to the cited IEC 601 requirements and warns that connection to people may be hazardous.</w:t>
            </w:r>
          </w:p>
        </w:tc>
      </w:tr>
      <w:tr>
        <w:tc>
          <w:tcPr/>
          <w:p>
            <w:pPr>
              <w:pStyle w:val="Compact"/>
            </w:pPr>
            <w:r>
              <w:t xml:space="preserve">Zimbabwe shipping, import, accessories, safety assessment and contingency</w:t>
            </w:r>
          </w:p>
        </w:tc>
        <w:tc>
          <w:tcPr/>
          <w:p>
            <w:pPr>
              <w:pStyle w:val="Compact"/>
              <w:jc w:val="right"/>
            </w:pPr>
            <w:r>
              <w:t xml:space="preserve">—</w:t>
            </w:r>
          </w:p>
        </w:tc>
        <w:tc>
          <w:tcPr/>
          <w:p>
            <w:pPr>
              <w:pStyle w:val="Compact"/>
              <w:jc w:val="right"/>
            </w:pPr>
            <w:r>
              <w:t xml:space="preserve">Unknown</w:t>
            </w:r>
          </w:p>
        </w:tc>
        <w:tc>
          <w:tcPr/>
          <w:p>
            <w:pPr>
              <w:pStyle w:val="Compact"/>
              <w:jc w:val="right"/>
            </w:pPr>
            <w:r>
              <w:t xml:space="preserve">Unknown</w:t>
            </w:r>
          </w:p>
        </w:tc>
        <w:tc>
          <w:tcPr/>
          <w:p>
            <w:pPr>
              <w:pStyle w:val="Compact"/>
            </w:pPr>
            <w:r>
              <w:t xml:space="preserve">A complete quote and institutional acceptance are required.</w:t>
            </w:r>
          </w:p>
        </w:tc>
      </w:tr>
      <w:tr>
        <w:tc>
          <w:tcPr/>
          <w:p>
            <w:pPr>
              <w:pStyle w:val="Compact"/>
            </w:pPr>
            <w:r>
              <w:t xml:space="preserve">Software, dataset access, computer and storage</w:t>
            </w:r>
          </w:p>
        </w:tc>
        <w:tc>
          <w:tcPr/>
          <w:p>
            <w:pPr>
              <w:pStyle w:val="Compact"/>
              <w:jc w:val="right"/>
            </w:pPr>
            <w:r>
              <w:t xml:space="preserve">—</w:t>
            </w:r>
          </w:p>
        </w:tc>
        <w:tc>
          <w:tcPr/>
          <w:p>
            <w:pPr>
              <w:pStyle w:val="Compact"/>
              <w:jc w:val="right"/>
            </w:pPr>
            <w:r>
              <w:t xml:space="preserve">Unknown or no proposed licence cost</w:t>
            </w:r>
          </w:p>
        </w:tc>
        <w:tc>
          <w:tcPr/>
          <w:p>
            <w:pPr>
              <w:pStyle w:val="Compact"/>
              <w:jc w:val="right"/>
            </w:pPr>
            <w:r>
              <w:t xml:space="preserve">Unknown</w:t>
            </w:r>
          </w:p>
        </w:tc>
        <w:tc>
          <w:tcPr/>
          <w:p>
            <w:pPr>
              <w:pStyle w:val="Compact"/>
            </w:pPr>
            <w:r>
              <w:t xml:space="preserve">Existing resources and access conditions require confirmation.</w:t>
            </w:r>
          </w:p>
        </w:tc>
      </w:tr>
    </w:tbl>
    <w:p>
      <w:pPr>
        <w:pStyle w:val="BodyText"/>
      </w:pPr>
      <w:r>
        <w:t xml:space="preserve">The Muse listing falls below the board-price ceiling, but its total delivered cost, raw-data research access, acquisition suitability and institutional equipment acceptance have not been verified. It cannot be presented as an approved configuration. The Ganglion subtotal already exceeds the ceiling. The budget therefore does not establish economic feasibility for the separate live prototype. A supervisor decision is required early in the project: confirm an approved complete system or equipment loan, provide additional resources, or formally revise the physical-prototype requirement. The offline benchmark and replay tool can proceed only if TUAR access and suitable computing resources are confirmed.</w:t>
      </w:r>
    </w:p>
    <w:bookmarkEnd w:id="40"/>
    <w:bookmarkStart w:id="41" w:name="project-timeline"/>
    <w:p>
      <w:pPr>
        <w:pStyle w:val="Heading3"/>
      </w:pPr>
      <w:r>
        <w:t xml:space="preserve">Project Timeline</w:t>
      </w:r>
    </w:p>
    <w:p>
      <w:pPr>
        <w:pStyle w:val="FirstParagraph"/>
      </w:pPr>
      <w:r>
        <w:t xml:space="preserve">The schedule covers two relative four-month semesters; it does not state university calendar dates. Dataset access, the label audit and the physical-prototype decision are early dependencies. Live recording is not scheduled because it requires a complete approved device, an institutional determination and an approved procedure.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Activity and milestone</w:t>
            </w:r>
          </w:p>
        </w:tc>
        <w:tc>
          <w:tcPr/>
          <w:p>
            <w:pPr>
              <w:pStyle w:val="Compact"/>
            </w:pPr>
            <w:r>
              <w:t xml:space="preserve">Dependency or decision gate</w:t>
            </w:r>
          </w:p>
        </w:tc>
      </w:tr>
      <w:tr>
        <w:tc>
          <w:tcPr/>
          <w:p>
            <w:pPr>
              <w:pStyle w:val="Compact"/>
            </w:pPr>
            <w:r>
              <w:t xml:space="preserve">Semester 1, month 1</w:t>
            </w:r>
          </w:p>
        </w:tc>
        <w:tc>
          <w:tcPr/>
          <w:p>
            <w:pPr>
              <w:pStyle w:val="Compact"/>
            </w:pPr>
            <w:r>
              <w:t xml:space="preserve">Confirm the research contribution, scope, data-use route and hardware requirements.</w:t>
            </w:r>
          </w:p>
        </w:tc>
        <w:tc>
          <w:tcPr/>
          <w:p>
            <w:pPr>
              <w:pStyle w:val="Compact"/>
            </w:pPr>
            <w:r>
              <w:t xml:space="preserve">Supervisor reviews the benchmark scope and resolves the route for TUAR access.</w:t>
            </w:r>
          </w:p>
        </w:tc>
      </w:tr>
      <w:tr>
        <w:tc>
          <w:tcPr/>
          <w:p>
            <w:pPr>
              <w:pStyle w:val="Compact"/>
            </w:pPr>
            <w:r>
              <w:t xml:space="preserve">Semester 1, month 2</w:t>
            </w:r>
          </w:p>
        </w:tc>
        <w:tc>
          <w:tcPr/>
          <w:p>
            <w:pPr>
              <w:pStyle w:val="Compact"/>
            </w:pPr>
            <w:r>
              <w:t xml:space="preserve">Request TUAR access; obtain complete device or loan quotations and check safety documentation.</w:t>
            </w:r>
          </w:p>
        </w:tc>
        <w:tc>
          <w:tcPr/>
          <w:p>
            <w:pPr>
              <w:pStyle w:val="Compact"/>
            </w:pPr>
            <w:r>
              <w:t xml:space="preserve">If no approved complete hardware path is available, supervisor resolves resources or scope before later integration work.</w:t>
            </w:r>
          </w:p>
        </w:tc>
      </w:tr>
      <w:tr>
        <w:tc>
          <w:tcPr/>
          <w:p>
            <w:pPr>
              <w:pStyle w:val="Compact"/>
            </w:pPr>
            <w:r>
              <w:t xml:space="preserve">Semester 1, months 2–3</w:t>
            </w:r>
          </w:p>
        </w:tc>
        <w:tc>
          <w:tcPr/>
          <w:p>
            <w:pPr>
              <w:pStyle w:val="Compact"/>
            </w:pPr>
            <w:r>
              <w:t xml:space="preserve">Audit identifiers, channels, labels, overlap and class counts; freeze the inclusion and split protocol.</w:t>
            </w:r>
          </w:p>
        </w:tc>
        <w:tc>
          <w:tcPr/>
          <w:p>
            <w:pPr>
              <w:pStyle w:val="Compact"/>
            </w:pPr>
            <w:r>
              <w:t xml:space="preserve">Stop or revise the experiment if access, participant grouping or labels cannot support the question.</w:t>
            </w:r>
          </w:p>
        </w:tc>
      </w:tr>
      <w:tr>
        <w:tc>
          <w:tcPr/>
          <w:p>
            <w:pPr>
              <w:pStyle w:val="Compact"/>
            </w:pPr>
            <w:r>
              <w:t xml:space="preserve">Semester 1, month 4</w:t>
            </w:r>
          </w:p>
        </w:tc>
        <w:tc>
          <w:tcPr/>
          <w:p>
            <w:pPr>
              <w:pStyle w:val="Compact"/>
            </w:pPr>
            <w:r>
              <w:t xml:space="preserve">Implement training-only preprocessing and matched compact classifier baselines.</w:t>
            </w:r>
          </w:p>
        </w:tc>
        <w:tc>
          <w:tcPr/>
          <w:p>
            <w:pPr>
              <w:pStyle w:val="Compact"/>
            </w:pPr>
            <w:r>
              <w:t xml:space="preserve">Requires the frozen protocol and usable computing resources.</w:t>
            </w:r>
          </w:p>
        </w:tc>
      </w:tr>
      <w:tr>
        <w:tc>
          <w:tcPr/>
          <w:p>
            <w:pPr>
              <w:pStyle w:val="Compact"/>
            </w:pPr>
            <w:r>
              <w:t xml:space="preserve">Semester 2, months 1–2</w:t>
            </w:r>
          </w:p>
        </w:tc>
        <w:tc>
          <w:tcPr/>
          <w:p>
            <w:pPr>
              <w:pStyle w:val="Compact"/>
            </w:pPr>
            <w:r>
              <w:t xml:space="preserve">Conduct participant-disjoint evaluation and record per-category measures, model size and CPU latency.</w:t>
            </w:r>
          </w:p>
        </w:tc>
        <w:tc>
          <w:tcPr/>
          <w:p>
            <w:pPr>
              <w:pStyle w:val="Compact"/>
            </w:pPr>
            <w:r>
              <w:t xml:space="preserve">Report an inconclusive result if support is insufficient; do not weaken the split.</w:t>
            </w:r>
          </w:p>
        </w:tc>
      </w:tr>
      <w:tr>
        <w:tc>
          <w:tcPr/>
          <w:p>
            <w:pPr>
              <w:pStyle w:val="Compact"/>
            </w:pPr>
            <w:r>
              <w:t xml:space="preserve">Semester 2, month 3</w:t>
            </w:r>
          </w:p>
        </w:tc>
        <w:tc>
          <w:tcPr/>
          <w:p>
            <w:pPr>
              <w:pStyle w:val="Compact"/>
            </w:pPr>
            <w:r>
              <w:t xml:space="preserve">Build and check the stored-data replay demonstrator against selected annotations.</w:t>
            </w:r>
          </w:p>
        </w:tc>
        <w:tc>
          <w:tcPr/>
          <w:p>
            <w:pPr>
              <w:pStyle w:val="Compact"/>
            </w:pPr>
            <w:r>
              <w:t xml:space="preserve">Demonstrates the fourth objective; it does not meet the live-prototype requirement.</w:t>
            </w:r>
          </w:p>
        </w:tc>
      </w:tr>
      <w:tr>
        <w:tc>
          <w:tcPr/>
          <w:p>
            <w:pPr>
              <w:pStyle w:val="Compact"/>
            </w:pPr>
            <w:r>
              <w:t xml:space="preserve">Semester 2, month 4</w:t>
            </w:r>
          </w:p>
        </w:tc>
        <w:tc>
          <w:tcPr/>
          <w:p>
            <w:pPr>
              <w:pStyle w:val="Compact"/>
            </w:pPr>
            <w:r>
              <w:t xml:space="preserve">Analyse results, document limitations, prepare the dissertation and rehearse the approved demonstration.</w:t>
            </w:r>
          </w:p>
        </w:tc>
        <w:tc>
          <w:tcPr/>
          <w:p>
            <w:pPr>
              <w:pStyle w:val="Compact"/>
            </w:pPr>
            <w:r>
              <w:t xml:space="preserve">Final demonstration reflects only completed, supported work.</w:t>
            </w:r>
          </w:p>
        </w:tc>
      </w:tr>
    </w:tbl>
    <w:p>
      <w:pPr>
        <w:pStyle w:val="BodyText"/>
      </w:pPr>
      <w:r>
        <w:t xml:space="preserve">The hardware decision must be resolved during Semester 1, before any procurement, safety assessment or live work can begin. If an approved live path emerges, its ethics and equipment steps must precede recruitment and recording; their durations are not estimated because the relevant institutional requirements are unconfirmed. The software schedule remains conditional on timely corpus access, valid annotations and available computing resources.</w:t>
      </w:r>
    </w:p>
    <w:bookmarkEnd w:id="41"/>
    <w:bookmarkEnd w:id="42"/>
    <w:bookmarkStart w:id="43" w:name="conclusion"/>
    <w:p>
      <w:pPr>
        <w:pStyle w:val="Heading2"/>
      </w:pPr>
      <w:r>
        <w:t xml:space="preserve">1.12 Conclusion</w:t>
      </w:r>
    </w:p>
    <w:p>
      <w:pPr>
        <w:pStyle w:val="FirstParagraph"/>
      </w:pPr>
      <w:r>
        <w:t xml:space="preserve">EEG signal quality affects the interpretation of brain activity in non-invasive brain–computer interfaces. Physiological activity and disturbances from electrodes or the recording environment can obscure the signals being analysed. Identifying the category of an artifact could inform a later signal-quality decision, although category identification alone does not establish that an artifact has been removed or that BCI performance has improved.</w:t>
      </w:r>
    </w:p>
    <w:p>
      <w:pPr>
        <w:pStyle w:val="BodyText"/>
      </w:pPr>
      <w:r>
        <w:t xml:space="preserve">Existing studies have already investigated artifact categories in wearable and clinical EEG, including comparisons using participant-disjoint evaluation. The proposed comparison therefore remains a provisional engineering investigation rather than an established novel approach. It will examine classification performance and computational cost for a compact feature-based classifier and a compact neural classifier on the TUH EEG Artifact Corpus (TUAR). Its suitability depends on access to the corpus and an audit of participant identifiers, channels, annotations, overlapping labels and category support. The originality of the resulting comparison also requires supervisor review.</w:t>
      </w:r>
    </w:p>
    <w:p>
      <w:pPr>
        <w:pStyle w:val="BodyText"/>
      </w:pPr>
      <w:r>
        <w:t xml:space="preserve">Subject-disjoint evaluation is intended to assess performance on held-out participants within the clinical corpus. The expected outputs include a documented label protocol, the two classifier implementations, comparative classification and CPU measurements, and a stored-data replay demonstrator that presents predicted artifact categories with qualified feedback. These outputs could help EEG researchers and engineers assess model trade-offs under the conditions studied. They would not establish performance on a wearable device or demonstrate live BCI command decoding.</w:t>
      </w:r>
    </w:p>
    <w:p>
      <w:pPr>
        <w:pStyle w:val="BodyText"/>
      </w:pPr>
      <w:r>
        <w:t xml:space="preserve">The software investigation remains conditional on suitable data and computing resources. The separate live EEG prototype is blocked until a complete, suitable system receives the necessary safety and institutional acceptance within the US$300 delivered budget, or the supervisor resolves the resource or scope requirement. Subsequent chapters will develop the proposed investigation in light of these conditions and the evidence available.</w:t>
      </w:r>
    </w:p>
    <w:bookmarkEnd w:id="43"/>
    <w:bookmarkStart w:id="60" w:name="references"/>
    <w:p>
      <w:pPr>
        <w:pStyle w:val="Heading2"/>
      </w:pPr>
      <w:r>
        <w:t xml:space="preserve">References</w:t>
      </w:r>
    </w:p>
    <w:p>
      <w:pPr>
        <w:pStyle w:val="FirstParagraph"/>
      </w:pPr>
      <w:r>
        <w:rPr>
          <w:i/>
          <w:iCs/>
        </w:rPr>
        <w:t xml:space="preserve">Provisional IEEE-style references. Publisher or dataset documentation was reviewed to the extent recorded below; university style requirements and complete claim-level checks remain pending.</w:t>
      </w:r>
    </w:p>
    <w:p>
      <w:pPr>
        <w:pStyle w:val="BodyText"/>
      </w:pPr>
      <w:r>
        <w:t xml:space="preserve">[1] P. Arpaia et al., “A Systematic Review of Techniques for Artifact Detection and Artifact Category Identification in Electroencephalography from Wearable Devices,”</w:t>
      </w:r>
      <w:r>
        <w:t xml:space="preserve"> </w:t>
      </w:r>
      <w:r>
        <w:rPr>
          <w:i/>
          <w:iCs/>
        </w:rPr>
        <w:t xml:space="preserve">Sensors</w:t>
      </w:r>
      <w:r>
        <w:t xml:space="preserve">, vol. 25, no. 18, art. 5770, 2025, doi:</w:t>
      </w:r>
      <w:r>
        <w:t xml:space="preserve"> </w:t>
      </w:r>
      <w:hyperlink r:id="rId44">
        <w:r>
          <w:rPr>
            <w:rStyle w:val="Hyperlink"/>
          </w:rPr>
          <w:t xml:space="preserve">10.3390/s25185770</w:t>
        </w:r>
      </w:hyperlink>
      <w:r>
        <w:t xml:space="preserve">. Full text reviewed.</w:t>
      </w:r>
    </w:p>
    <w:p>
      <w:pPr>
        <w:pStyle w:val="BodyText"/>
      </w:pPr>
      <w:r>
        <w:t xml:space="preserve">[2] J. W. Britton et al.,</w:t>
      </w:r>
      <w:r>
        <w:t xml:space="preserve"> </w:t>
      </w:r>
      <w:r>
        <w:rPr>
          <w:i/>
          <w:iCs/>
        </w:rPr>
        <w:t xml:space="preserve">Electroencephalography: An Introductory Text and Atlas of Normal and Abnormal Findings in Adults, Children, and Infants</w:t>
      </w:r>
      <w:r>
        <w:t xml:space="preserve">, American Epilepsy Society, 2016, Appendix 4.</w:t>
      </w:r>
      <w:r>
        <w:t xml:space="preserve"> </w:t>
      </w:r>
      <w:hyperlink r:id="rId45">
        <w:r>
          <w:rPr>
            <w:rStyle w:val="Hyperlink"/>
          </w:rPr>
          <w:t xml:space="preserve">Online</w:t>
        </w:r>
      </w:hyperlink>
      <w:r>
        <w:t xml:space="preserve">. Chapter section reviewed.</w:t>
      </w:r>
    </w:p>
    <w:p>
      <w:pPr>
        <w:pStyle w:val="BodyText"/>
      </w:pPr>
      <w:r>
        <w:t xml:space="preserve">[3] Y. van Stigt et al., “The effect of artifact rejection on the performance of a convolutional neural network based algorithm for binary EEG data classification,”</w:t>
      </w:r>
      <w:r>
        <w:t xml:space="preserve"> </w:t>
      </w:r>
      <w:r>
        <w:rPr>
          <w:i/>
          <w:iCs/>
        </w:rPr>
        <w:t xml:space="preserve">Biomedical Signal Processing and Control</w:t>
      </w:r>
      <w:r>
        <w:t xml:space="preserve">, vol. 85, art. 105032, 2023. doi:</w:t>
      </w:r>
      <w:r>
        <w:t xml:space="preserve"> </w:t>
      </w:r>
      <w:hyperlink r:id="rId46">
        <w:r>
          <w:rPr>
            <w:rStyle w:val="Hyperlink"/>
          </w:rPr>
          <w:t xml:space="preserve">10.1016/j.bspc.2023.105032</w:t>
        </w:r>
      </w:hyperlink>
      <w:r>
        <w:t xml:space="preserve">. Metadata/abstract only in this pass.</w:t>
      </w:r>
    </w:p>
    <w:p>
      <w:pPr>
        <w:pStyle w:val="BodyText"/>
      </w:pPr>
      <w:r>
        <w:t xml:space="preserve">[4] R. Goto et al., “Recording and Characterization of EEGs by Using Wearable EEG Device,” in</w:t>
      </w:r>
      <w:r>
        <w:t xml:space="preserve"> </w:t>
      </w:r>
      <w:r>
        <w:rPr>
          <w:i/>
          <w:iCs/>
        </w:rPr>
        <w:t xml:space="preserve">2019 19th International Conference on Control, Automation and Systems</w:t>
      </w:r>
      <w:r>
        <w:t xml:space="preserve">, pp. 194–197, 2019, doi:</w:t>
      </w:r>
      <w:r>
        <w:t xml:space="preserve"> </w:t>
      </w:r>
      <w:hyperlink r:id="rId47">
        <w:r>
          <w:rPr>
            <w:rStyle w:val="Hyperlink"/>
          </w:rPr>
          <w:t xml:space="preserve">10.23919/ICCAS47443.2019.8971564</w:t>
        </w:r>
      </w:hyperlink>
      <w:r>
        <w:t xml:space="preserve">. Abstract/record reviewed; classification task differs from the proposed fixed corpus benchmark.</w:t>
      </w:r>
    </w:p>
    <w:p>
      <w:pPr>
        <w:pStyle w:val="BodyText"/>
      </w:pPr>
      <w:r>
        <w:t xml:space="preserve">[5] C. Zhang et al., “Automatic Removal of Multiple Artifacts for Single-Channel Electroencephalography,”</w:t>
      </w:r>
      <w:r>
        <w:t xml:space="preserve"> </w:t>
      </w:r>
      <w:r>
        <w:rPr>
          <w:i/>
          <w:iCs/>
        </w:rPr>
        <w:t xml:space="preserve">Journal of Shanghai Jiao Tong University (Science)</w:t>
      </w:r>
      <w:r>
        <w:t xml:space="preserve">, vol. 27, no. 4, pp. 437–451, 2022, doi:</w:t>
      </w:r>
      <w:r>
        <w:t xml:space="preserve"> </w:t>
      </w:r>
      <w:hyperlink r:id="rId48">
        <w:r>
          <w:rPr>
            <w:rStyle w:val="Hyperlink"/>
          </w:rPr>
          <w:t xml:space="preserve">10.1007/s12204-021-2374-5</w:t>
        </w:r>
      </w:hyperlink>
      <w:r>
        <w:t xml:space="preserve">. Publisher abstract/full bibliographic record reviewed; accessible full methods were not inspected.</w:t>
      </w:r>
    </w:p>
    <w:p>
      <w:pPr>
        <w:pStyle w:val="BodyText"/>
      </w:pPr>
      <w:r>
        <w:t xml:space="preserve">[6] M. Grosselin et al., “Automatic EEG signal cleaning based on classification of signal quality: a preliminary study,”</w:t>
      </w:r>
      <w:r>
        <w:t xml:space="preserve"> </w:t>
      </w:r>
      <w:r>
        <w:rPr>
          <w:i/>
          <w:iCs/>
        </w:rPr>
        <w:t xml:space="preserve">Journal of Neural Engineering</w:t>
      </w:r>
      <w:r>
        <w:t xml:space="preserve">, vol. 16, no. 3, 2019. DOI/reference details to verify from Arpaia et al. before final citation. Cited in [1]; not independently retrieved in this pass.</w:t>
      </w:r>
    </w:p>
    <w:p>
      <w:pPr>
        <w:pStyle w:val="BodyText"/>
      </w:pPr>
      <w:r>
        <w:t xml:space="preserve">[7] A. C. Palmisciano et al., “A gated artifact management pipeline for low-density eyewear EEG,”</w:t>
      </w:r>
      <w:r>
        <w:t xml:space="preserve"> </w:t>
      </w:r>
      <w:r>
        <w:rPr>
          <w:i/>
          <w:iCs/>
        </w:rPr>
        <w:t xml:space="preserve">Physiological Measurement</w:t>
      </w:r>
      <w:r>
        <w:t xml:space="preserve">, vol. 47, no. 9, 2026, doi:</w:t>
      </w:r>
      <w:r>
        <w:t xml:space="preserve"> </w:t>
      </w:r>
      <w:hyperlink r:id="rId49">
        <w:r>
          <w:rPr>
            <w:rStyle w:val="Hyperlink"/>
          </w:rPr>
          <w:t xml:space="preserve">10.1088/1361-6579/ae99ab</w:t>
        </w:r>
      </w:hyperlink>
      <w:r>
        <w:t xml:space="preserve">. PubMed abstract and publisher-indexed evidence reviewed; study reports 29 participants, leave-one-subject-out and three artifact classes; source/code not independently audited.</w:t>
      </w:r>
    </w:p>
    <w:p>
      <w:pPr>
        <w:pStyle w:val="BodyText"/>
      </w:pPr>
      <w:r>
        <w:t xml:space="preserve">[8] Q. Yu, C. Lin, W. Wang, Z. Feng et al., “Automatic EEG artifact detection using a local-global feature fusion network in time and time-frequency domains,”</w:t>
      </w:r>
      <w:r>
        <w:t xml:space="preserve"> </w:t>
      </w:r>
      <w:r>
        <w:rPr>
          <w:i/>
          <w:iCs/>
        </w:rPr>
        <w:t xml:space="preserve">Acta Epileptologica</w:t>
      </w:r>
      <w:r>
        <w:t xml:space="preserve">, vol. 8, art. 7, 2026, doi:</w:t>
      </w:r>
      <w:r>
        <w:t xml:space="preserve"> </w:t>
      </w:r>
      <w:hyperlink r:id="rId50">
        <w:r>
          <w:rPr>
            <w:rStyle w:val="Hyperlink"/>
          </w:rPr>
          <w:t xml:space="preserve">10.1186/s42494-026-00248-4</w:t>
        </w:r>
      </w:hyperlink>
      <w:r>
        <w:t xml:space="preserve">. Full publisher text reviewed; author list is abbreviated here.</w:t>
      </w:r>
    </w:p>
    <w:p>
      <w:pPr>
        <w:pStyle w:val="BodyText"/>
      </w:pPr>
      <w:r>
        <w:t xml:space="preserve">[9] Neural Engineering Data Consortium, “Temple University EEG Corpus: TUH EEG Artifact Corpus (TUAR) documentation,” version 3.0.1, accessed 29 Oct. 2026.</w:t>
      </w:r>
      <w:r>
        <w:t xml:space="preserve"> </w:t>
      </w:r>
      <w:hyperlink r:id="rId51">
        <w:r>
          <w:rPr>
            <w:rStyle w:val="Hyperlink"/>
          </w:rPr>
          <w:t xml:space="preserve">Official documentation</w:t>
        </w:r>
      </w:hyperlink>
      <w:r>
        <w:t xml:space="preserve">. Access procedure, corpus description and five artifact labels reviewed; license and per-record overlap/class balance not settled by the landing page.</w:t>
      </w:r>
    </w:p>
    <w:p>
      <w:pPr>
        <w:pStyle w:val="BodyText"/>
      </w:pPr>
      <w:r>
        <w:t xml:space="preserve">[10] C. Yang et al., “PhysioMotion Artifact: A task-driven EEG dataset with point-wise motion artifact annotations,”</w:t>
      </w:r>
      <w:r>
        <w:t xml:space="preserve"> </w:t>
      </w:r>
      <w:r>
        <w:rPr>
          <w:i/>
          <w:iCs/>
        </w:rPr>
        <w:t xml:space="preserve">Scientific Data</w:t>
      </w:r>
      <w:r>
        <w:t xml:space="preserve">, 13, 807, 2026.</w:t>
      </w:r>
      <w:r>
        <w:t xml:space="preserve"> </w:t>
      </w:r>
      <w:hyperlink r:id="rId52">
        <w:r>
          <w:rPr>
            <w:rStyle w:val="Hyperlink"/>
          </w:rPr>
          <w:t xml:space="preserve">https://doi.org/10.1038/s41597-026-07120-7</w:t>
        </w:r>
      </w:hyperlink>
      <w:r>
        <w:t xml:space="preserve">. Full text: dataset and validation methods reviewed.</w:t>
      </w:r>
    </w:p>
    <w:p>
      <w:pPr>
        <w:pStyle w:val="BodyText"/>
      </w:pPr>
      <w:r>
        <w:t xml:space="preserve">[11] T. M. Ingolfsson, A. Cossettini, S. Benatti, and L. Benini, “Energy-Efficient Tree-Based EEG Artifact Detection,”</w:t>
      </w:r>
      <w:r>
        <w:t xml:space="preserve"> </w:t>
      </w:r>
      <w:r>
        <w:rPr>
          <w:i/>
          <w:iCs/>
        </w:rPr>
        <w:t xml:space="preserve">2022 44th Annual International Conference of the IEEE Engineering in Medicine &amp; Biology Society</w:t>
      </w:r>
      <w:r>
        <w:t xml:space="preserve">, 3723–3728, 2022.</w:t>
      </w:r>
      <w:r>
        <w:t xml:space="preserve"> </w:t>
      </w:r>
      <w:hyperlink r:id="rId53">
        <w:r>
          <w:rPr>
            <w:rStyle w:val="Hyperlink"/>
          </w:rPr>
          <w:t xml:space="preserve">https://doi.org/10.1109/EMBC48229.2022.9871413</w:t>
        </w:r>
      </w:hyperlink>
      <w:r>
        <w:t xml:space="preserve">. Full conference paper reviewed.</w:t>
      </w:r>
    </w:p>
    <w:p>
      <w:pPr>
        <w:pStyle w:val="BodyText"/>
      </w:pPr>
      <w:r>
        <w:t xml:space="preserve">[12] A. Kastrati, J. Bürki, J. Lauer, C. Xuan, R. Iaquinto, and R. Wattenhofer, “EEG-Bench: A Benchmark for EEG Foundation Models in Clinical Applications,”</w:t>
      </w:r>
      <w:r>
        <w:t xml:space="preserve"> </w:t>
      </w:r>
      <w:r>
        <w:rPr>
          <w:i/>
          <w:iCs/>
        </w:rPr>
        <w:t xml:space="preserve">Foundation Models for the Brain and Body Workshop at NeurIPS</w:t>
      </w:r>
      <w:r>
        <w:t xml:space="preserve">, 2025.</w:t>
      </w:r>
      <w:r>
        <w:t xml:space="preserve"> </w:t>
      </w:r>
      <w:hyperlink r:id="rId54">
        <w:r>
          <w:rPr>
            <w:rStyle w:val="Hyperlink"/>
          </w:rPr>
          <w:t xml:space="preserve">https://doi.org/10.3929/ethz-c-000790426</w:t>
        </w:r>
      </w:hyperlink>
      <w:r>
        <w:t xml:space="preserve">. Full workshop paper reviewed.</w:t>
      </w:r>
    </w:p>
    <w:p>
      <w:pPr>
        <w:pStyle w:val="BodyText"/>
      </w:pPr>
      <w:r>
        <w:t xml:space="preserve">[13] F. Grosselin, X. Navarro-Sune, A. Vozzi, K. Pandremmenou, F. de Vico Fallani, Y. Attal, and M. Chavez, “Quality Assessment of Single-Channel EEG for Wearable Devices,”</w:t>
      </w:r>
      <w:r>
        <w:t xml:space="preserve"> </w:t>
      </w:r>
      <w:r>
        <w:rPr>
          <w:i/>
          <w:iCs/>
        </w:rPr>
        <w:t xml:space="preserve">Sensors</w:t>
      </w:r>
      <w:r>
        <w:t xml:space="preserve">, 19(3), 601, 2019.</w:t>
      </w:r>
      <w:r>
        <w:t xml:space="preserve"> </w:t>
      </w:r>
      <w:hyperlink r:id="rId55">
        <w:r>
          <w:rPr>
            <w:rStyle w:val="Hyperlink"/>
          </w:rPr>
          <w:t xml:space="preserve">https://doi.org/10.3390/s19030601</w:t>
        </w:r>
      </w:hyperlink>
      <w:r>
        <w:t xml:space="preserve">. Full text reviewed. Existing entry [6] does not match this verified paper; retain temporarily pending chapter-wide reference repair.</w:t>
      </w:r>
    </w:p>
    <w:p>
      <w:pPr>
        <w:pStyle w:val="BodyText"/>
      </w:pPr>
      <w:r>
        <w:t xml:space="preserve">[14] W. Y. Peh, Y. Yao, and J. Dauwels, “Transformer Convolutional Neural Networks for Automated Artifact Detection in Scalp EEG,”</w:t>
      </w:r>
      <w:r>
        <w:t xml:space="preserve"> </w:t>
      </w:r>
      <w:r>
        <w:rPr>
          <w:i/>
          <w:iCs/>
        </w:rPr>
        <w:t xml:space="preserve">2022 44th Annual International Conference of the IEEE Engineering in Medicine &amp; Biology Society</w:t>
      </w:r>
      <w:r>
        <w:t xml:space="preserve">, 3599–3602, 2022.</w:t>
      </w:r>
      <w:r>
        <w:t xml:space="preserve"> </w:t>
      </w:r>
      <w:hyperlink r:id="rId56">
        <w:r>
          <w:rPr>
            <w:rStyle w:val="Hyperlink"/>
          </w:rPr>
          <w:t xml:space="preserve">https://doi.org/10.1109/EMBC48229.2022.9871916</w:t>
        </w:r>
      </w:hyperlink>
      <w:r>
        <w:t xml:space="preserve">. Institutional publication record and abstract reviewed; full text inaccessible.</w:t>
      </w:r>
    </w:p>
    <w:p>
      <w:pPr>
        <w:pStyle w:val="BodyText"/>
      </w:pPr>
      <w:r>
        <w:t xml:space="preserve">[15] T. M. Ingolfsson et al., “Minimizing artifact-induced false-alarms for seizure detection in wearable EEG devices with gradient-boosted tree classifiers,”</w:t>
      </w:r>
      <w:r>
        <w:t xml:space="preserve"> </w:t>
      </w:r>
      <w:r>
        <w:rPr>
          <w:i/>
          <w:iCs/>
        </w:rPr>
        <w:t xml:space="preserve">Scientific Reports</w:t>
      </w:r>
      <w:r>
        <w:t xml:space="preserve">, 14, 2980, 2024.</w:t>
      </w:r>
      <w:r>
        <w:t xml:space="preserve"> </w:t>
      </w:r>
      <w:hyperlink r:id="rId57">
        <w:r>
          <w:rPr>
            <w:rStyle w:val="Hyperlink"/>
          </w:rPr>
          <w:t xml:space="preserve">https://doi.org/10.1038/s41598-024-52551-0</w:t>
        </w:r>
      </w:hyperlink>
      <w:r>
        <w:t xml:space="preserve">. Full text: artifact and seizure evaluations reviewed.</w:t>
      </w:r>
    </w:p>
    <w:p>
      <w:pPr>
        <w:pStyle w:val="BodyText"/>
      </w:pPr>
      <w:r>
        <w:t xml:space="preserve">[16] H. Cho, M. Ahn, S. Ahn, M. Kwon, and S. C. Jun, “EEG datasets for motor imagery brain–computer interface,”</w:t>
      </w:r>
      <w:r>
        <w:t xml:space="preserve"> </w:t>
      </w:r>
      <w:r>
        <w:rPr>
          <w:i/>
          <w:iCs/>
        </w:rPr>
        <w:t xml:space="preserve">GigaScience</w:t>
      </w:r>
      <w:r>
        <w:t xml:space="preserve">, 6(7), 1–8, 2017.</w:t>
      </w:r>
      <w:r>
        <w:t xml:space="preserve"> </w:t>
      </w:r>
      <w:hyperlink r:id="rId58">
        <w:r>
          <w:rPr>
            <w:rStyle w:val="Hyperlink"/>
          </w:rPr>
          <w:t xml:space="preserve">https://doi.org/10.1093/gigascience/gix034</w:t>
        </w:r>
      </w:hyperlink>
      <w:r>
        <w:t xml:space="preserve">. Full text: acquisition and noise tasks reviewed.</w:t>
      </w:r>
    </w:p>
    <w:p>
      <w:pPr>
        <w:pStyle w:val="BodyText"/>
      </w:pPr>
      <w:r>
        <w:t xml:space="preserve">[17] S.-Y. Yang and Y.-P. Lin, “Movement Artifact Suppression in Wearable Low-Density and Dry EEG Recordings Using Active Electrodes and Artifact Subspace Reconstruction,”</w:t>
      </w:r>
      <w:r>
        <w:t xml:space="preserve"> </w:t>
      </w:r>
      <w:r>
        <w:rPr>
          <w:i/>
          <w:iCs/>
        </w:rPr>
        <w:t xml:space="preserve">IEEE Transactions on Neural Systems and Rehabilitation Engineering</w:t>
      </w:r>
      <w:r>
        <w:t xml:space="preserve">, 31, 3844–3853, 2023.</w:t>
      </w:r>
      <w:r>
        <w:t xml:space="preserve"> </w:t>
      </w:r>
      <w:hyperlink r:id="rId59">
        <w:r>
          <w:rPr>
            <w:rStyle w:val="Hyperlink"/>
          </w:rPr>
          <w:t xml:space="preserve">https://doi.org/10.1109/TNSRE.2023.3319355</w:t>
        </w:r>
      </w:hyperlink>
      <w:r>
        <w:t xml:space="preserve">. PubMed abstract reviewed.</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choosemuse.com/products/muse-2" TargetMode="External" /><Relationship Type="http://schemas.openxmlformats.org/officeDocument/2006/relationships/hyperlink" Id="rId48" Target="https://doi.org/10.1007/s12204-021-2374-5" TargetMode="External" /><Relationship Type="http://schemas.openxmlformats.org/officeDocument/2006/relationships/hyperlink" Id="rId46" Target="https://doi.org/10.1016/j.bspc.2023.105032" TargetMode="External" /><Relationship Type="http://schemas.openxmlformats.org/officeDocument/2006/relationships/hyperlink" Id="rId52" Target="https://doi.org/10.1038/s41597-026-07120-7" TargetMode="External" /><Relationship Type="http://schemas.openxmlformats.org/officeDocument/2006/relationships/hyperlink" Id="rId57" Target="https://doi.org/10.1038/s41598-024-52551-0" TargetMode="External" /><Relationship Type="http://schemas.openxmlformats.org/officeDocument/2006/relationships/hyperlink" Id="rId49" Target="https://doi.org/10.1088/1361-6579/ae99ab" TargetMode="External" /><Relationship Type="http://schemas.openxmlformats.org/officeDocument/2006/relationships/hyperlink" Id="rId58" Target="https://doi.org/10.1093/gigascience/gix034" TargetMode="External" /><Relationship Type="http://schemas.openxmlformats.org/officeDocument/2006/relationships/hyperlink" Id="rId53" Target="https://doi.org/10.1109/EMBC48229.2022.9871413" TargetMode="External" /><Relationship Type="http://schemas.openxmlformats.org/officeDocument/2006/relationships/hyperlink" Id="rId56" Target="https://doi.org/10.1109/EMBC48229.2022.9871916" TargetMode="External" /><Relationship Type="http://schemas.openxmlformats.org/officeDocument/2006/relationships/hyperlink" Id="rId59" Target="https://doi.org/10.1109/TNSRE.2023.3319355" TargetMode="External" /><Relationship Type="http://schemas.openxmlformats.org/officeDocument/2006/relationships/hyperlink" Id="rId50" Target="https://doi.org/10.1186/s42494-026-00248-4" TargetMode="External" /><Relationship Type="http://schemas.openxmlformats.org/officeDocument/2006/relationships/hyperlink" Id="rId47" Target="https://doi.org/10.23919/ICCAS47443.2019.8971564" TargetMode="External" /><Relationship Type="http://schemas.openxmlformats.org/officeDocument/2006/relationships/hyperlink" Id="rId55" Target="https://doi.org/10.3390/s19030601" TargetMode="External" /><Relationship Type="http://schemas.openxmlformats.org/officeDocument/2006/relationships/hyperlink" Id="rId44" Target="https://doi.org/10.3390/s25185770" TargetMode="External" /><Relationship Type="http://schemas.openxmlformats.org/officeDocument/2006/relationships/hyperlink" Id="rId54" Target="https://doi.org/10.3929/ethz-c-000790426" TargetMode="External" /><Relationship Type="http://schemas.openxmlformats.org/officeDocument/2006/relationships/hyperlink" Id="rId51" Target="https://isip.piconepress.com/projects/nedc/html/tuh_eeg/" TargetMode="External" /><Relationship Type="http://schemas.openxmlformats.org/officeDocument/2006/relationships/hyperlink" Id="rId38" Target="https://shop.openbci.com/collections/frontpage/products/ganglion-dongle" TargetMode="External" /><Relationship Type="http://schemas.openxmlformats.org/officeDocument/2006/relationships/hyperlink" Id="rId39" Target="https://shop.openbci.com/collections/frontpage/products/openbci-gold-cup-electrodes" TargetMode="External" /><Relationship Type="http://schemas.openxmlformats.org/officeDocument/2006/relationships/hyperlink" Id="rId28" Target="https://shop.openbci.com/products/ganglion-board" TargetMode="External" /><Relationship Type="http://schemas.openxmlformats.org/officeDocument/2006/relationships/hyperlink" Id="rId45" Target="https://www.ncbi.nlm.nih.gov/books/NBK390358/" TargetMode="External" /><Relationship Type="http://schemas.openxmlformats.org/officeDocument/2006/relationships/hyperlink" Id="rId29" Target="https://www.olimex.com/Products/EEG/OpenEEG/EEG-SMT/" TargetMode="External" /><Relationship Type="http://schemas.openxmlformats.org/officeDocument/2006/relationships/hyperlink" Id="rId30" Target="https://www.olimex.com/Products/EEG/OpenEEG/EEG-SMT/resources/EEG-SMT.pdf" TargetMode="External" /></Relationships>
</file>

<file path=word/_rels/footnotes.xml.rels><?xml version="1.0" encoding="UTF-8"?><Relationships xmlns="http://schemas.openxmlformats.org/package/2006/relationships"><Relationship Type="http://schemas.openxmlformats.org/officeDocument/2006/relationships/hyperlink" Id="rId37" Target="https://choosemuse.com/products/muse-2" TargetMode="External" /><Relationship Type="http://schemas.openxmlformats.org/officeDocument/2006/relationships/hyperlink" Id="rId48" Target="https://doi.org/10.1007/s12204-021-2374-5" TargetMode="External" /><Relationship Type="http://schemas.openxmlformats.org/officeDocument/2006/relationships/hyperlink" Id="rId46" Target="https://doi.org/10.1016/j.bspc.2023.105032" TargetMode="External" /><Relationship Type="http://schemas.openxmlformats.org/officeDocument/2006/relationships/hyperlink" Id="rId52" Target="https://doi.org/10.1038/s41597-026-07120-7" TargetMode="External" /><Relationship Type="http://schemas.openxmlformats.org/officeDocument/2006/relationships/hyperlink" Id="rId57" Target="https://doi.org/10.1038/s41598-024-52551-0" TargetMode="External" /><Relationship Type="http://schemas.openxmlformats.org/officeDocument/2006/relationships/hyperlink" Id="rId49" Target="https://doi.org/10.1088/1361-6579/ae99ab" TargetMode="External" /><Relationship Type="http://schemas.openxmlformats.org/officeDocument/2006/relationships/hyperlink" Id="rId58" Target="https://doi.org/10.1093/gigascience/gix034" TargetMode="External" /><Relationship Type="http://schemas.openxmlformats.org/officeDocument/2006/relationships/hyperlink" Id="rId53" Target="https://doi.org/10.1109/EMBC48229.2022.9871413" TargetMode="External" /><Relationship Type="http://schemas.openxmlformats.org/officeDocument/2006/relationships/hyperlink" Id="rId56" Target="https://doi.org/10.1109/EMBC48229.2022.9871916" TargetMode="External" /><Relationship Type="http://schemas.openxmlformats.org/officeDocument/2006/relationships/hyperlink" Id="rId59" Target="https://doi.org/10.1109/TNSRE.2023.3319355" TargetMode="External" /><Relationship Type="http://schemas.openxmlformats.org/officeDocument/2006/relationships/hyperlink" Id="rId50" Target="https://doi.org/10.1186/s42494-026-00248-4" TargetMode="External" /><Relationship Type="http://schemas.openxmlformats.org/officeDocument/2006/relationships/hyperlink" Id="rId47" Target="https://doi.org/10.23919/ICCAS47443.2019.8971564" TargetMode="External" /><Relationship Type="http://schemas.openxmlformats.org/officeDocument/2006/relationships/hyperlink" Id="rId55" Target="https://doi.org/10.3390/s19030601" TargetMode="External" /><Relationship Type="http://schemas.openxmlformats.org/officeDocument/2006/relationships/hyperlink" Id="rId44" Target="https://doi.org/10.3390/s25185770" TargetMode="External" /><Relationship Type="http://schemas.openxmlformats.org/officeDocument/2006/relationships/hyperlink" Id="rId54" Target="https://doi.org/10.3929/ethz-c-000790426" TargetMode="External" /><Relationship Type="http://schemas.openxmlformats.org/officeDocument/2006/relationships/hyperlink" Id="rId51" Target="https://isip.piconepress.com/projects/nedc/html/tuh_eeg/" TargetMode="External" /><Relationship Type="http://schemas.openxmlformats.org/officeDocument/2006/relationships/hyperlink" Id="rId38" Target="https://shop.openbci.com/collections/frontpage/products/ganglion-dongle" TargetMode="External" /><Relationship Type="http://schemas.openxmlformats.org/officeDocument/2006/relationships/hyperlink" Id="rId39" Target="https://shop.openbci.com/collections/frontpage/products/openbci-gold-cup-electrodes" TargetMode="External" /><Relationship Type="http://schemas.openxmlformats.org/officeDocument/2006/relationships/hyperlink" Id="rId28" Target="https://shop.openbci.com/products/ganglion-board" TargetMode="External" /><Relationship Type="http://schemas.openxmlformats.org/officeDocument/2006/relationships/hyperlink" Id="rId45" Target="https://www.ncbi.nlm.nih.gov/books/NBK390358/" TargetMode="External" /><Relationship Type="http://schemas.openxmlformats.org/officeDocument/2006/relationships/hyperlink" Id="rId29" Target="https://www.olimex.com/Products/EEG/OpenEEG/EEG-SMT/" TargetMode="External" /><Relationship Type="http://schemas.openxmlformats.org/officeDocument/2006/relationships/hyperlink" Id="rId30" Target="https://www.olimex.com/Products/EEG/OpenEEG/EEG-SMT/resources/EEG-SM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2026-10-29T00:52:40Z</dcterms:created>
  <dcterms:modified xsi:type="dcterms:W3CDTF">2026-10-29T00:52:40Z</dcterms:modified>
</cp:coreProperties>
</file>

<file path=docProps/custom.xml><?xml version="1.0" encoding="utf-8"?>
<Properties xmlns="http://schemas.openxmlformats.org/officeDocument/2006/custom-properties" xmlns:vt="http://schemas.openxmlformats.org/officeDocument/2006/docPropsVTypes"/>
</file>