
<file path=[Content_Types].xml><?xml version="1.0" encoding="utf-8"?>
<Types xmlns="http://schemas.openxmlformats.org/package/2006/content-types">
  <Default ContentType="application/vnd.openxmlformats-officedocument.obfuscatedFont" Extension="odttf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r="http://schemas.openxmlformats.org/officeDocument/2006/relationships">
  <w:body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  <w:jc w:val="center"/>
      </w:pPr>
      <w:r>
        <w:drawing>
          <wp:inline>
            <wp:extent cx="4343400" cy="1539240"/>
            <wp:docPr id="0" name="Drawing 0" descr="155835791-f7df-4fd2-aafc-02560f487bca.png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155835791-f7df-4fd2-aafc-02560f487bca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>Tarefa 6 - Arquitetura de Software 2</w:t>
      </w: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Arial MT Pro Bold" w:hAnsi="Arial MT Pro Bold" w:cs="Arial MT Pro Bold" w:eastAsia="Arial MT Pro Bold"/>
          <w:b/>
          <w:bCs/>
          <w:color w:val="000000"/>
          <w:sz w:val="23"/>
          <w:szCs w:val="23"/>
        </w:rPr>
        <w:t>Uso Acadêmico Exclusivo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Aluno: Djordan Gabriel Bezerra Moura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>Redesenho da Grades API do Prometheus V2 — Escalabilidade e Resiliência</w:t>
      </w: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 xml:space="preserve">
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1. Escopo e premissas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atividade pede a seleção de um módulo do Prometheus V2 com desafios de carga ou disponibilidade, a análise de suas limitações e uma proposta arquitetural que integre uma estratégia de escalonamento, um padrão de resiliência e o uso de serviços de nuvem.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componente escolhido é a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Grades API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sugerida pelo próprio enunciado. A escolha não é arbitrária: entre os módulos do sistema, é o que combina três características que tornam o problema interessante — carga fortemente concentrada no tempo, leitura muito mais frequente que escrita, e consequência alta em caso de indisponibilidade.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Premissa declarada.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material do curso descreve o caso Prometheus qualitativamente, sem métricas publicadas do V1. Os números usados adiante são, portanto, um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cenário de carga assumido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para dar concretude ao dimensionamento, e estão marcados como tal. Eles servem para justificar decisões, não para relatar medições.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2. Análise do componente atual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2.1. O que a Grades API faz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Concentra publicação de avaliações pelo professor, consulta de notas pelo aluno, cálculo de média e situação, e emissão de histórico. É o módulo que o aluno mais consulta e o que o professor menos usa — assimetria que a arquitetura atual ignora.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2.2. Limitações identificadas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Carga concentrada, não distribuída.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Notas não são consultadas uniformemente ao longo do semestre. Elas são consultadas em rajada, minutos depois de o professor publicar, e no fechamento do período. Uma arquitetura dimensionada para a média fica ociosa 95% do tempo e cai justamente no momento em que todo mundo olha.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Cenário assumido: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8.000 alunos ativos, consulta média de 2 req/s, com picos de 400 req/s nos 10 minutos após uma publicação em massa — uma razão de 200× entre pico e média.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Leitura e escrita no mesmo caminho.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Cada consulta de nota recalcula média e situação a partir das avaliações. Isso significa que uma operação predominantemente de leitura carrega o custo de agregação a cada requisição, e que o banco transacional recebe carga de leitura que não precisaria chegar até ele.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Acoplamento síncrono com módulos vizinhos.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Publicar uma nota dispara notificação ao aluno. Se o Messaging Service estiver lento, a publicação fica lenta junto — o professor espera por um subsistema que não deveria estar no caminho crítico da sua ação. Pior: se o Messaging cair, a publicação falha, e uma operação que deveria ter sido concluída é revertida por causa de um efeito colateral secundário.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Falha sem contenção.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Sem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timeout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sem disjuntor, uma dependência degradada consome threads do serviço chamador até esgotá-las. O resultado é que a lentidão de um módulo periférico derruba a Grades API inteira — o padrão de falha em cascata.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3. Design proposto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1678378"/>
            <wp:docPr id="100" name="Imagem 100" descr="Figura 1 — Grades API redesenhada, com CQRS, cache e assincronismo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0" name="Imagem 100"/>
                    <pic:cNvPicPr/>
                  </pic:nvPicPr>
                  <pic:blipFill>
                    <a:blip r:embed="rIdImg90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78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ind w:firstLine="0" w:start="0"/>
        <w:jc w:val="center"/>
      </w:pPr>
      <w:r>
        <w:rPr>
          <w:rFonts w:ascii="Open Sans" w:hAnsi="Open Sans" w:cs="Open Sans" w:eastAsia="Open Sans"/>
          <w:i/>
          <w:iCs/>
          <w:color w:val="555555"/>
          <w:sz w:val="19"/>
          <w:szCs w:val="19"/>
        </w:rPr>
        <w:t xml:space="preserve">Figura 1 — Grades API redesenhada, com CQRS, cache e assincronismo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3.1. Estratégia de escalonamento: horizontal, com separação leitura/escrita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escolha é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escalonamento horizontal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a razão é a forma da carga. Escalonamento vertical — uma máquina maior — não serve para picos de 200×: exigiria dimensionar permanentemente para o pior caso, pagando por capacidade ociosa quase o tempo todo, e esbarraria num teto físico.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decisão que torna o horizontal viável é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separar leitura de escrita (CQRS)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Sem ela, replicar o serviço não resolveria, porque todas as réplicas continuariam disputando o mesmo banco transacional. Com a separação: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Command (escrita)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Query (leitura)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Volume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baixo e previsível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alto e em rajada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Instâncias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2 a 4, fixas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3 a 20, auto-scaling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Persistência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primário PostgreSQL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Redis + réplicas de leitura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Gatilho de escala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CPU &gt; 60% ou latência p95 &gt; 300 ms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caminho de leitura escala sozinho e o de escrita permanece estável, porque publicar notas não fica mais frequente só porque mais alunos estão consultando.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3.2. Padrão de resiliência: Circuit Breaker com Fallback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Cabe uma distinção que a seção anterior já resolveu em parte: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 Messaging Service deixou de ser uma dependência síncrona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a publicação agora emite um evento na fila, e é a fila que desacopla. O disjuntor não se aplica ali.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Onde ele se aplica é nas chamadas que continuam síncronas no caminho crítico: 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serviço de autenticação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consultado a cada requisição, e a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leitura no cache e nas réplicas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feita pela camada de Query.</w:t>
      </w:r>
    </w:p>
    <w:tbl>
      <w:tblPr>
        <w:tblW w:w="5000" w:type="pct"/>
        <w:tblBorders>
          <w:top w:val="single" w:sz="4" w:space="0" w:color="D8DEE4"/>
          <w:left w:val="single" w:sz="4" w:space="0" w:color="D8DEE4"/>
          <w:bottom w:val="single" w:sz="4" w:space="0" w:color="D8DEE4"/>
          <w:right w:val="single" w:sz="4" w:space="0" w:color="D8DEE4"/>
        </w:tblBorders>
        <w:tblCellMar>
          <w:top w:w="80" w:type="dxa"/>
          <w:left w:w="140" w:type="dxa"/>
          <w:bottom w:w="80" w:type="dxa"/>
          <w:right w:w="140" w:type="dxa"/>
        </w:tblCellMar>
      </w:tblPr>
      <w:tr>
        <w:tc>
          <w:tcPr>
            <w:tcW w:w="5000" w:type="pct"/>
            <w:shd w:val="clear" w:fill="F6F8FA"/>
          </w:tcPr>
          <w:p>
            <w:pPr>
              <w:spacing w:after="0" w:before="4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        falhas &gt; 50% em 30 s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FECHADO ─────────────────────────► ABERTO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   ▲                                  │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   │  1 chamada de teste OK           │ após 60 s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   └────────── MEIO-ABERTO ◄──────────┘</w:t>
            </w:r>
          </w:p>
        </w:tc>
      </w:tr>
    </w:tbl>
    <w:p>
      <w:pPr>
        <w:spacing w:after="60" w:before="0" w:line="276" w:lineRule="auto"/>
        <w:ind w:firstLine="0" w:start="0"/>
        <w:jc w:val="start"/>
      </w:pP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Fechado: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tudo passa, com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timeout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de 2 s por chamada.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Aberto: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as chamadas falham imediatamente, sem consumir thread nem esperar. É isso que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impede a falha em cascata — o serviço lento deixa de contaminar o chamador.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Meio-aberto: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após 60 s, uma chamada de teste decide se volta a fechar.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fallback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é o que torna o disjuntor aceitável do ponto de vista do negócio. Com o Redis fora do ar, a consulta cai para a réplica de leitura e responde mais devagar, em vez de falhar. Com o serviço de autenticação instável, um token ainda válido é aceito pela validação local da assinatura, sem a checagem de revogação — degradação consciente, com janela curta.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Para o Messaging, o papel de fallback é da própria fila: a nota é gravada e o evento fica enfileirado para entrega posterior. A notificação atrasa; a publicação não falha. É a mesma ideia do disjuntor — conter a falha em vez de propagá-la — obtida por um mecanismo diferente.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Complementam o desenho: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Retry com backoff exponencial e jitter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apenas em operações idempotentes de leitura.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O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jitter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evita o efeito manada — sem ele, mil clientes reconectam no mesmo instante e   derrubam o serviço que acabou de voltar.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Bulkhead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pools de conexão separados por dependência, para que o esgotamento causado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por um subsistema não afete os demais.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Timeout em toda chamada de rede.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Uma chamada sem timeout é uma indisponibilidade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esperando acontecer.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3.3. Serviços de nuvem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Serviço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Uso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Problema que resolve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CDN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PDFs de histórico e boletim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Tira do servidor de origem o tráfego de arquivos imutáveis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API Gateway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Autenticação, </w:t>
            </w: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rate limit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, roteamento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Concentra política transversal; protege contra abuso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Auto-scaling group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Camada de Query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Acompanha o pico sem provisionar para ele o tempo todo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Réplicas de leitura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PostgreSQL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Distribui consulta sem sobrecarregar o primário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Redis gerenciado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Cache de média e situação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Elimina recálculo a cada requisição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Fila gerenciada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Evento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NotaPublicada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Desacopla efeitos colaterais do caminho crítico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4. Justificativa técnica por atributo de qualidade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Desempenho.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ganho principal não vem de mais máquinas, e sim de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não recalcular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A média e a situação passam a ser materializadas quando a nota muda, não quando alguém consulta. Como a razão leitura/escrita é alta, o cálculo deixa de ocorrer por requisição e passa a ocorrer por publicação.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Escalabilidade.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 separação CQRS permite escalar o lado que cresce sem arrastar o que não cresce. Isso é o oposto de escalar o monólito inteiro, onde a instância replicada carrega também o código de escrita que ficará ocioso.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Disponibilidade.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Disjuntor,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timeout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bulkhead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atacam o mesmo modo de falha: a propagação. O objetivo declarado não é "nunca falhar", e sim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falhar de forma contida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degradar a notificação em vez de derrubar a publicação.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Consistência — o trade-off assumido.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desenho troca consistência forte por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consistência eventual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na leitura. Entre a publicação e a atualização do cache existe uma janela de segundos em que o aluno pode ver a nota anterior. Isso é aceitável para consulta de notas e seria inaceitável para saldo bancário. Onde não é aceitável — a tela de confirmação que o professor vê logo após publicar — a leitura é direcionada ao primário, evitando que ele duvide do próprio envio.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Custo.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auto-scaling reduz o custo médio, mas o desenho acrescenta componentes (Redis, fila, réplicas) que têm custo fixo e, sobretudo,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custo operacional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mais peças para monitorar e para falhar. É uma complexidade que só se justifica pela assimetria de carga descrita na seção 2.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5. Conclusão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decisão mais importante deste redesenho não é o auto-scaling nem o cache — é reconhecer que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leitura e escrita de notas são cargas de naturezas diferentes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parar de tratá-las com a mesma arquitetura. Todas as outras escolhas decorrem disso: o CQRS separa, o cache serve o lado que explode, a fila tira o efeito colateral do caminho crítico, e o disjuntor garante que a falha de um vizinho não vire falha própria.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princípio geral é o de sempre: escalabilidade raramente se resolve com mais hardware sobre a mesma arquitetura. Resolve-se identificando qual dimensão realmente cresce e isolando-a.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6. Referências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Nygard, M.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Release It!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2ª ed. Pragmatic Bookshelf — padrões Circuit Breaker, Bulkhead e Timeout.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Microsoft.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Cloud Design Patterns — Circuit Breaker, Retry, CQRS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&lt;https://learn.microsoft.com/azure/architecture/patterns/&gt;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Fowler, M.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CQRS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&lt;https://martinfowler.com/bliki/CQRS.html&gt;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Fowler, M.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CircuitBreaker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&lt;https://martinfowler.com/bliki/CircuitBreaker.html&gt;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AWS.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Exponential Backoff and Jitter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&lt;https://aws.amazon.com/builders-library/timeouts-retries-and-backoff-with-jitter/&gt;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Material da semana: Módulo 6 — Escalabilidade e resiliência.</w:t>
      </w:r>
    </w:p>
    <w:sectPr>
      <w:pgSz w:w="11910" w:h="16845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Arimo Bold">
    <w:panose1 w:val="020B0704020202020204"/>
    <w:charset w:characterSet="1"/>
    <w:embedBold r:id="rId1"/>
  </w:font>
  <w:font w:name="Arimo Italics">
    <w:panose1 w:val="020B0604020202090204"/>
    <w:charset w:characterSet="1"/>
    <w:embedItalic r:id="rId2"/>
  </w:font>
  <w:font w:name="Arimo">
    <w:panose1 w:val="020B0604020202020204"/>
    <w:charset w:characterSet="1"/>
    <w:embedRegular r:id="rId3"/>
  </w:font>
  <w:font w:name="Arimo Bold Italics">
    <w:panose1 w:val="020B0704020202090204"/>
    <w:charset w:characterSet="1"/>
    <w:embedBoldItalic r:id="rId4"/>
  </w:font>
  <w:font w:name="Open Sans Bold">
    <w:panose1 w:val="020B0806030504020204"/>
    <w:charset w:characterSet="1"/>
    <w:embedBold r:id="rId5"/>
  </w:font>
  <w:font w:name="Open Sans Italics">
    <w:panose1 w:val="020B0606030504020204"/>
    <w:charset w:characterSet="1"/>
    <w:embedItalic r:id="rId6"/>
  </w:font>
  <w:font w:name="Open Sans">
    <w:panose1 w:val="020B0606030504020204"/>
    <w:charset w:characterSet="1"/>
    <w:embedRegular r:id="rId7"/>
  </w:font>
  <w:font w:name="Open Sans Bold Italics">
    <w:panose1 w:val="020B0806030504020204"/>
    <w:charset w:characterSet="1"/>
    <w:embedBoldItalic r:id="rId8"/>
  </w:font>
  <w:font w:name="Open Sans Light Italics">
    <w:panose1 w:val="020B0306030504020204"/>
    <w:charset w:characterSet="1"/>
    <w:embedItalic r:id="rId9"/>
  </w:font>
  <w:font w:name="Open Sans Light">
    <w:panose1 w:val="020B0306030504020204"/>
    <w:charset w:characterSet="1"/>
    <w:embedRegular r:id="rId10"/>
  </w:font>
  <w:font w:name="Open Sans Ultra-Bold">
    <w:panose1 w:val="00000000000000000000"/>
    <w:charset w:characterSet="1"/>
    <w:embedBold r:id="rId11"/>
  </w:font>
  <w:font w:name="Open Sans Ultra-Bold Italics">
    <w:panose1 w:val="00000000000000000000"/>
    <w:charset w:characterSet="1"/>
    <w:embedBoldItalic r:id="rId12"/>
  </w:font>
  <w:font w:name="Roboto Bold">
    <w:panose1 w:val="02000000000000000000"/>
    <w:charset w:characterSet="1"/>
    <w:embedBold r:id="rId13"/>
  </w:font>
  <w:font w:name="Arial MT Pro Bold">
    <w:panose1 w:val="020B0802020202020204"/>
    <w:charset w:characterSet="1"/>
  </w:font>
</w:fonts>
</file>

<file path=word/settings.xml><?xml version="1.0" encoding="utf-8"?>
<w:settings xmlns:w="http://schemas.openxmlformats.org/wordprocessingml/2006/main">
  <w:embedTrueTypeFonts/>
  <w:doNotShadeFormData/>
  <w:compat>
    <w:compatSetting w:name="compatibilityMode" w:uri="http://schemas.microsoft.com/office/word" w:val="15"/>
  </w:compat>
</w:setting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fontTable.xml" Type="http://schemas.openxmlformats.org/officeDocument/2006/relationships/fontTable"/><Relationship Id="rId3" Target="media/image1.png" Type="http://schemas.openxmlformats.org/officeDocument/2006/relationships/image"/><Relationship Id="rIdImg900" Target="media/relatorio1.png" Type="http://schemas.openxmlformats.org/officeDocument/2006/relationships/image"/></Relationships>
</file>

<file path=word/_rels/fontTable.xml.rels><?xml version="1.0" encoding="UTF-8" standalone="yes"?><Relationships xmlns="http://schemas.openxmlformats.org/package/2006/relationships"><Relationship Id="rId1" Target="fonts/font1.odttf" Type="http://schemas.openxmlformats.org/officeDocument/2006/relationships/font"/><Relationship Id="rId10" Target="fonts/font10.odttf" Type="http://schemas.openxmlformats.org/officeDocument/2006/relationships/font"/><Relationship Id="rId11" Target="fonts/font11.odttf" Type="http://schemas.openxmlformats.org/officeDocument/2006/relationships/font"/><Relationship Id="rId12" Target="fonts/font12.odttf" Type="http://schemas.openxmlformats.org/officeDocument/2006/relationships/font"/><Relationship Id="rId13" Target="fonts/font13.odttf" Type="http://schemas.openxmlformats.org/officeDocument/2006/relationships/font"/><Relationship Id="rId2" Target="fonts/font2.odttf" Type="http://schemas.openxmlformats.org/officeDocument/2006/relationships/font"/><Relationship Id="rId3" Target="fonts/font3.odttf" Type="http://schemas.openxmlformats.org/officeDocument/2006/relationships/font"/><Relationship Id="rId4" Target="fonts/font4.odttf" Type="http://schemas.openxmlformats.org/officeDocument/2006/relationships/font"/><Relationship Id="rId5" Target="fonts/font5.odttf" Type="http://schemas.openxmlformats.org/officeDocument/2006/relationships/font"/><Relationship Id="rId6" Target="fonts/font6.odttf" Type="http://schemas.openxmlformats.org/officeDocument/2006/relationships/font"/><Relationship Id="rId7" Target="fonts/font7.odttf" Type="http://schemas.openxmlformats.org/officeDocument/2006/relationships/font"/><Relationship Id="rId8" Target="fonts/font8.odttf" Type="http://schemas.openxmlformats.org/officeDocument/2006/relationships/font"/><Relationship Id="rId9" Target="fonts/font9.odttf" Type="http://schemas.openxmlformats.org/officeDocument/2006/relationships/font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2026-08-16T22:29:54Z</dcterms:created>
  <dc:creator>Apache POI</dc:creator>
  <dc:title>Cópia de Tarefa 5.4 - IoT</dc:title>
</cp:coreProperties>
</file>