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4343400" cy="1539240"/>
            <wp:docPr id="0" name="Drawing 0" descr="155835791-f7df-4fd2-aafc-02560f487bc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55835791-f7df-4fd2-aafc-02560f487bca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Roboto Bold" w:hAnsi="Roboto Bold" w:cs="Roboto Bold" w:eastAsia="Roboto Bold"/>
          <w:b/>
          <w:bCs/>
          <w:color w:val="000000"/>
          <w:sz w:val="42"/>
          <w:szCs w:val="42"/>
        </w:rPr>
        <w:t>Laboratório 7 - Internet das Coisas</w:t>
      </w:r>
      <w:r>
        <w:rPr>
          <w:rFonts w:ascii="Roboto Bold" w:hAnsi="Roboto Bold" w:cs="Roboto Bold" w:eastAsia="Roboto Bold"/>
          <w:b/>
          <w:bCs/>
          <w:color w:val="000000"/>
          <w:sz w:val="42"/>
          <w:szCs w:val="42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Arial MT Pro Bold" w:hAnsi="Arial MT Pro Bold" w:cs="Arial MT Pro Bold" w:eastAsia="Arial MT Pro Bold"/>
          <w:b/>
          <w:bCs/>
          <w:color w:val="000000"/>
          <w:sz w:val="23"/>
          <w:szCs w:val="23"/>
        </w:rPr>
        <w:t>Uso Acadêmico Exclusivo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Italics" w:hAnsi="Open Sans Italics" w:cs="Open Sans Italics" w:eastAsia="Open Sans Italics"/>
          <w:i/>
          <w:iCs/>
          <w:color w:val="000000"/>
          <w:sz w:val="24"/>
          <w:szCs w:val="24"/>
        </w:rPr>
        <w:t xml:space="preserve">Aluno: Djordan Gabriel Bezerra Moura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Italics" w:hAnsi="Open Sans Italics" w:cs="Open Sans Italics" w:eastAsia="Open Sans Italics"/>
          <w:i/>
          <w:i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72"/>
          <w:szCs w:val="72"/>
        </w:rPr>
        <w:t>Cidade Inteligente no Wokwi e Análise Preditiva com MQTT</w:t>
      </w:r>
      <w:r>
        <w:rPr>
          <w:rFonts w:ascii="Open Sans Bold" w:hAnsi="Open Sans Bold" w:cs="Open Sans Bold" w:eastAsia="Open Sans Bold"/>
          <w:b/>
          <w:bCs/>
          <w:color w:val="000000"/>
          <w:sz w:val="72"/>
          <w:szCs w:val="72"/>
        </w:rPr>
        <w:t xml:space="preserve">
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1. Objetivo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Projetar um sistema embarcado que interprete condições ambientais simuladas e acione respostas automatizadas com visualização, seguindo princípios de projeto seguro e escalável.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protótipo foi construído no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Wokwi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com um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ESP32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três sensores e quatro atuadores, implementando três regras de automação urbana e exibindo estado em LCD e no monitor serial.</w:t>
      </w:r>
    </w:p>
    <w:p>
      <w:pPr>
        <w:pBdr>
          <w:bottom w:val="single" w:sz="6" w:space="1" w:color="CCCCCC"/>
        </w:pBdr>
      </w:pPr>
    </w:p>
    <w:p>
      <w:pPr>
        <w:spacing w:after="120" w:before="32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6"/>
          <w:szCs w:val="36"/>
        </w:rPr>
        <w:t xml:space="preserve">Atividade #1 — Protótipo de automação contextual de cidade inteligente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2. Diagrama do sistema</w:t>
      </w:r>
    </w:p>
    <w:p>
      <w:pPr>
        <w:spacing w:after="40" w:before="160" w:line="276" w:lineRule="auto"/>
        <w:ind w:firstLine="0" w:start="0"/>
        <w:jc w:val="center"/>
      </w:pPr>
      <w:r>
        <w:drawing>
          <wp:inline>
            <wp:extent cx="5400000" cy="3694165"/>
            <wp:docPr id="100" name="Imagem 100" descr="Figura 1 — Fluxo entradas → processamento → saídas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0" name="Imagem 100"/>
                    <pic:cNvPicPr/>
                  </pic:nvPicPr>
                  <pic:blipFill>
                    <a:blip r:embed="rIdImg90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9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 w:lineRule="auto"/>
        <w:ind w:firstLine="0" w:start="0"/>
        <w:jc w:val="center"/>
      </w:pPr>
      <w:r>
        <w:rPr>
          <w:rFonts w:ascii="Open Sans" w:hAnsi="Open Sans" w:cs="Open Sans" w:eastAsia="Open Sans"/>
          <w:i/>
          <w:iCs/>
          <w:color w:val="555555"/>
          <w:sz w:val="19"/>
          <w:szCs w:val="19"/>
        </w:rPr>
        <w:t xml:space="preserve">Figura 1 — Fluxo entradas → processamento → saídas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2.1. Mapa de pinos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c>
          <w:tcPr>
            <w:tcW w:w="1666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Componente</w:t>
            </w:r>
          </w:p>
        </w:tc>
        <w:tc>
          <w:tcPr>
            <w:tcW w:w="1666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GPIO</w:t>
            </w:r>
          </w:p>
        </w:tc>
        <w:tc>
          <w:tcPr>
            <w:tcW w:w="1666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Observação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LDR (analógico)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34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ADC1, pino </w:t>
            </w:r>
            <w:r>
              <w:rPr>
                <w:rFonts w:ascii="Open Sans" w:hAnsi="Open Sans" w:cs="Open Sans" w:eastAsia="Open Sans"/>
                <w:i/>
                <w:iCs/>
                <w:color w:val="000000"/>
                <w:sz w:val="22"/>
                <w:szCs w:val="22"/>
              </w:rPr>
              <w:t xml:space="preserve">input-only</w:t>
            </w: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 — correto para leitura analógica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DHT22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15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Digital de uma via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HC-SR04 TRIG / ECHO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5 / 18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Alimentado em 5 V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LED azul (ventilação)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Com resistor de 220 Ω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LED verde (pedestres)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Com resistor de 220 Ω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LED vermelho (alerta)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19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Com resistor de 220 Ω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Buzzer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LCD 16x2 I2C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21 (SDA) / 22 (SCL)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Endereço 0x27</w:t>
            </w:r>
          </w:p>
        </w:tc>
      </w:tr>
    </w:tbl>
    <w:p>
      <w:pPr>
        <w:spacing w:after="0" w:before="0" w:line="276" w:lineRule="auto"/>
        <w:ind w:firstLine="0" w:start="0"/>
        <w:jc w:val="start"/>
      </w:pP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buzzer ficou no GPIO 13, e não no 21, por um motivo concreto: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21 e 22 são os pinos I2C padrão do ESP32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Usar o 21 para o buzzer faria o LCD e o buzzer disputarem o mesmo pino, e a falha apareceria como um display mudo e intermitente — sintoma difícil de associar à causa. O ADC ficou no 34 porque os pinos do ADC2 são usados pelo rádio Wi-Fi e param de responder quando o Wi-Fi liga.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3. Lógica de controle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 decisão foi isolada numa função pura,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decidir()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que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não lê sensor nem aciona pino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— apenas recebe leituras e devolve ações. Essa separação é o que torna a lógica testável e permite alterar regras sem tocar no hardware.</w:t>
      </w:r>
    </w:p>
    <w:p>
      <w:pPr>
        <w:spacing w:after="40" w:before="160" w:line="276" w:lineRule="auto"/>
        <w:ind w:firstLine="0" w:start="0"/>
        <w:jc w:val="center"/>
      </w:pPr>
      <w:r>
        <w:drawing>
          <wp:inline>
            <wp:extent cx="5400000" cy="4064000"/>
            <wp:docPr id="101" name="Imagem 101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1" name="Imagem 101"/>
                    <pic:cNvPicPr/>
                  </pic:nvPicPr>
                  <pic:blipFill>
                    <a:blip r:embed="rIdImg9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Três decisões merecem registro: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Ordem das regras define precedência.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As regras não são exclusivas — podem valer ao mesmo tempo. Como a regra 3 é a mais grave, ela é avaliada por último e sobrescreve o rótulo de estado. Os LEDs, por serem acumulativos, permanecem acesos por qualquer regra que os acione.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NaN é tratado explicitamente.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O DHT22 devolve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NaN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quando a leitura falha. Se esse valor entrasse nas comparações, toda condição viraria falsa silenciosamente e o sistema pareceria estar em estado normal com o sensor quebrado. Por isso a flag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valida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 o estado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ERRO SENSOR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O laço não bloqueia.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O ciclo usa comparação com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millis()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em vez de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delay()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e o intervalo é de 2 s porque o DHT22 não aceita leituras mais frequentes. O buzzer usa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tone()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que também não bloqueia.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4. Tabela de condições e respostas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c>
          <w:tcPr>
            <w:tcW w:w="714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#</w:t>
            </w:r>
          </w:p>
        </w:tc>
        <w:tc>
          <w:tcPr>
            <w:tcW w:w="714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Condição</w:t>
            </w:r>
          </w:p>
        </w:tc>
        <w:tc>
          <w:tcPr>
            <w:tcW w:w="714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LED azul</w:t>
            </w:r>
          </w:p>
        </w:tc>
        <w:tc>
          <w:tcPr>
            <w:tcW w:w="714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LED verde</w:t>
            </w:r>
          </w:p>
        </w:tc>
        <w:tc>
          <w:tcPr>
            <w:tcW w:w="714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LED vermelho</w:t>
            </w:r>
          </w:p>
        </w:tc>
        <w:tc>
          <w:tcPr>
            <w:tcW w:w="714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Buzzer</w:t>
            </w:r>
          </w:p>
        </w:tc>
        <w:tc>
          <w:tcPr>
            <w:tcW w:w="714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Estado no LCD</w:t>
            </w:r>
          </w:p>
        </w:tc>
      </w:tr>
      <w:tr>
        <w:tc>
          <w:tcPr>
            <w:tcW w:w="714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w="714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luz &lt; 300 </w:t>
            </w: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e</w:t>
            </w: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 temp &gt; 30 °C</w:t>
            </w:r>
          </w:p>
        </w:tc>
        <w:tc>
          <w:tcPr>
            <w:tcW w:w="714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ligado</w:t>
            </w:r>
          </w:p>
        </w:tc>
        <w:tc>
          <w:tcPr>
            <w:tcW w:w="714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ligado</w:t>
            </w:r>
          </w:p>
        </w:tc>
        <w:tc>
          <w:tcPr>
            <w:tcW w:w="714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w="714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w="714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0000"/>
                <w:shd w:val="clear" w:fill="F2F2F2"/>
                <w:sz w:val="22"/>
                <w:szCs w:val="22"/>
              </w:rPr>
              <w:t xml:space="preserve">NOITE QUENTE</w:t>
            </w:r>
          </w:p>
        </w:tc>
      </w:tr>
      <w:tr>
        <w:tc>
          <w:tcPr>
            <w:tcW w:w="714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w="714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distância &lt; 30 cm</w:t>
            </w:r>
          </w:p>
        </w:tc>
        <w:tc>
          <w:tcPr>
            <w:tcW w:w="714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w="714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w="714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ligado</w:t>
            </w:r>
          </w:p>
        </w:tc>
        <w:tc>
          <w:tcPr>
            <w:tcW w:w="714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ligado</w:t>
            </w:r>
          </w:p>
        </w:tc>
        <w:tc>
          <w:tcPr>
            <w:tcW w:w="714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0000"/>
                <w:shd w:val="clear" w:fill="F2F2F2"/>
                <w:sz w:val="22"/>
                <w:szCs w:val="22"/>
              </w:rPr>
              <w:t xml:space="preserve">OBSTACULO</w:t>
            </w:r>
          </w:p>
        </w:tc>
      </w:tr>
      <w:tr>
        <w:tc>
          <w:tcPr>
            <w:tcW w:w="714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w="714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temp &gt; 35 °C </w:t>
            </w: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e</w:t>
            </w: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 umidade &lt; 40 %</w:t>
            </w:r>
          </w:p>
        </w:tc>
        <w:tc>
          <w:tcPr>
            <w:tcW w:w="714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ligado</w:t>
            </w:r>
          </w:p>
        </w:tc>
        <w:tc>
          <w:tcPr>
            <w:tcW w:w="714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w="714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ligado</w:t>
            </w:r>
          </w:p>
        </w:tc>
        <w:tc>
          <w:tcPr>
            <w:tcW w:w="714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ligado</w:t>
            </w:r>
          </w:p>
        </w:tc>
        <w:tc>
          <w:tcPr>
            <w:tcW w:w="714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0000"/>
                <w:shd w:val="clear" w:fill="F2F2F2"/>
                <w:sz w:val="22"/>
                <w:szCs w:val="22"/>
              </w:rPr>
              <w:t xml:space="preserve">ALERTA SECA</w:t>
            </w:r>
          </w:p>
        </w:tc>
      </w:tr>
      <w:tr>
        <w:tc>
          <w:tcPr>
            <w:tcW w:w="714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w="714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leitura do DHT22 inválida</w:t>
            </w:r>
          </w:p>
        </w:tc>
        <w:tc>
          <w:tcPr>
            <w:tcW w:w="714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w="714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w="714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w="714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w="714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0000"/>
                <w:shd w:val="clear" w:fill="F2F2F2"/>
                <w:sz w:val="22"/>
                <w:szCs w:val="22"/>
              </w:rPr>
              <w:t xml:space="preserve">ERRO SENSOR</w:t>
            </w:r>
          </w:p>
        </w:tc>
      </w:tr>
      <w:tr>
        <w:tc>
          <w:tcPr>
            <w:tcW w:w="714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w="714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nenhuma das anteriores</w:t>
            </w:r>
          </w:p>
        </w:tc>
        <w:tc>
          <w:tcPr>
            <w:tcW w:w="714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w="714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w="714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w="714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w="714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0000"/>
                <w:shd w:val="clear" w:fill="F2F2F2"/>
                <w:sz w:val="22"/>
                <w:szCs w:val="22"/>
              </w:rPr>
              <w:t xml:space="preserve">NORMAL</w:t>
            </w:r>
          </w:p>
        </w:tc>
      </w:tr>
    </w:tbl>
    <w:p>
      <w:pPr>
        <w:spacing w:after="0" w:before="0" w:line="276" w:lineRule="auto"/>
        <w:ind w:firstLine="0" w:start="0"/>
        <w:jc w:val="start"/>
      </w:pP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5. Requisitos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5.1. Funcionais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c>
          <w:tcPr>
            <w:tcW w:w="2500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w="2500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Requisito</w:t>
            </w:r>
          </w:p>
        </w:tc>
      </w:tr>
      <w:tr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RF1</w:t>
            </w:r>
          </w:p>
        </w:tc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O sistema deve ler luminosidade, temperatura, umidade e distância a cada 2 s</w:t>
            </w:r>
          </w:p>
        </w:tc>
      </w:tr>
      <w:tr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RF2</w:t>
            </w:r>
          </w:p>
        </w:tc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O sistema deve acionar ventilação e travessia de pedestres quando escurecer com calor</w:t>
            </w:r>
          </w:p>
        </w:tc>
      </w:tr>
      <w:tr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RF3</w:t>
            </w:r>
          </w:p>
        </w:tc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O sistema deve emitir alerta visual e sonoro ao detectar obstáculo a menos de 30 cm</w:t>
            </w:r>
          </w:p>
        </w:tc>
      </w:tr>
      <w:tr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RF4</w:t>
            </w:r>
          </w:p>
        </w:tc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O sistema deve emitir alerta combinado em condição de calor seco</w:t>
            </w:r>
          </w:p>
        </w:tc>
      </w:tr>
      <w:tr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RF5</w:t>
            </w:r>
          </w:p>
        </w:tc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O sistema deve exibir as leituras e o estado atual no LCD e no monitor serial</w:t>
            </w:r>
          </w:p>
        </w:tc>
      </w:tr>
      <w:tr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RF6</w:t>
            </w:r>
          </w:p>
        </w:tc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O sistema deve sinalizar falha de sensor em vez de assumir condição normal</w:t>
            </w:r>
          </w:p>
        </w:tc>
      </w:tr>
    </w:tbl>
    <w:p>
      <w:pPr>
        <w:spacing w:after="0" w:before="0" w:line="276" w:lineRule="auto"/>
        <w:ind w:firstLine="0" w:start="0"/>
        <w:jc w:val="start"/>
      </w:pP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5.2. Não funcionais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c>
          <w:tcPr>
            <w:tcW w:w="1666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w="1666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Requisito</w:t>
            </w:r>
          </w:p>
        </w:tc>
        <w:tc>
          <w:tcPr>
            <w:tcW w:w="1666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Categoria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RNF1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O ciclo de decisão deve responder em menos de 100 ms após a leitura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Desempenho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RNF2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O laço principal não pode bloquear, permitindo evolução para envio em rede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Manutenibilidade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RNF3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Os limiares devem ser alteráveis num único ponto do código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Manutenibilidade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RNF4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Falha de sensor não pode ser confundida com estado normal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Confiabilidade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RNF5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O sistema deve operar continuamente sem reinício manual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Disponibilidade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RNF6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Cada LED deve ter resistor limitador dimensionado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Segurança física</w:t>
            </w:r>
          </w:p>
        </w:tc>
      </w:tr>
    </w:tbl>
    <w:p>
      <w:pPr>
        <w:spacing w:after="0" w:before="0" w:line="276" w:lineRule="auto"/>
        <w:ind w:firstLine="0" w:start="0"/>
        <w:jc w:val="start"/>
      </w:pP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6. Histórias de usuário e critérios de aceitação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HU1 — Como pedestre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quero que a travessia seja sinalizada quando anoitece em dia quente, para atravessar com segurança quando há mais gente na rua.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Dado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que a luminosidade está abaixo de 300 e a temperatura acima de 30 °C,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quando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o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ciclo executar,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então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o LED verde acende e o LCD exibe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NOITE QUENTE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Dado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que a luminosidade sobe acima de 300,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quando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o ciclo executar,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então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o LED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verde apaga.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HU2 — Como operador de trânsito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quero ser alertado quando um objeto se aproxima demais do poste, para agir antes que haja colisão.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Dado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que a distância medida é menor que 30 cm,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quando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o ciclo executar,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então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o LED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vermelho acende, o buzzer soa e o LCD exibe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OBSTACULO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Dado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que o objeto se afasta além de 30 cm,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quando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o ciclo executar,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então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o alerta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cessa automaticamente.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HU3 — Como técnico de manutenção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quero saber quando um sensor falhou, para não confiar num painel que mostra tudo normal com o equipamento quebrado.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Dado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que o DHT22 devolve leitura inválida,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quando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o ciclo executar,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então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o LCD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exibe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ERRO SENSOR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 nenhum atuador é acionado por regra de temperatura.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Dado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que o sensor volta a responder,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quando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o ciclo executar,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então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o sistema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retoma a operação normal sem reinício.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7. Validação — três cenários urbanos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Os cenários são reproduzidos no Wokwi ajustando os sensores durante a simulação: o LDR tem um controle deslizante de luminosidade, o DHT22 permite digitar temperatura e umidade, e o HC-SR04 tem um controle de distância.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c>
          <w:tcPr>
            <w:tcW w:w="1666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Cenário</w:t>
            </w:r>
          </w:p>
        </w:tc>
        <w:tc>
          <w:tcPr>
            <w:tcW w:w="1666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Ajuste dos sensores</w:t>
            </w:r>
          </w:p>
        </w:tc>
        <w:tc>
          <w:tcPr>
            <w:tcW w:w="1666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Resposta esperada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A — Anoitecer de verão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luz ≈ 150, temp 32 °C, umidade 60 %, distância 100 cm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Azul e verde acesos, LCD </w:t>
            </w:r>
            <w:r>
              <w:rPr>
                <w:rFonts w:ascii="Consolas" w:hAnsi="Consolas" w:cs="Consolas" w:eastAsia="Consolas"/>
                <w:color w:val="000000"/>
                <w:shd w:val="clear" w:fill="F2F2F2"/>
                <w:sz w:val="22"/>
                <w:szCs w:val="22"/>
              </w:rPr>
              <w:t xml:space="preserve">NOITE QUENTE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B — Veículo invadindo a calçada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luz ≈ 800, temp 25 °C, umidade 55 %, distância 15 cm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Vermelho aceso e buzzer soando, LCD </w:t>
            </w:r>
            <w:r>
              <w:rPr>
                <w:rFonts w:ascii="Consolas" w:hAnsi="Consolas" w:cs="Consolas" w:eastAsia="Consolas"/>
                <w:color w:val="000000"/>
                <w:shd w:val="clear" w:fill="F2F2F2"/>
                <w:sz w:val="22"/>
                <w:szCs w:val="22"/>
              </w:rPr>
              <w:t xml:space="preserve">OBSTACULO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C — Onda de calor seco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luz ≈ 900, temp 38 °C, umidade 25 %, distância 100 cm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Azul e vermelho acesos, buzzer soando, LCD </w:t>
            </w:r>
            <w:r>
              <w:rPr>
                <w:rFonts w:ascii="Consolas" w:hAnsi="Consolas" w:cs="Consolas" w:eastAsia="Consolas"/>
                <w:color w:val="000000"/>
                <w:shd w:val="clear" w:fill="F2F2F2"/>
                <w:sz w:val="22"/>
                <w:szCs w:val="22"/>
              </w:rPr>
              <w:t xml:space="preserve">ALERTA SECA</w:t>
            </w:r>
          </w:p>
        </w:tc>
      </w:tr>
    </w:tbl>
    <w:p>
      <w:pPr>
        <w:spacing w:after="0" w:before="0" w:line="276" w:lineRule="auto"/>
        <w:ind w:firstLine="0" w:start="0"/>
        <w:jc w:val="start"/>
      </w:pP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cenário C é o que valida a precedência: mesmo com luminosidade alta — que desativa a regra 1 — a regra 3 aciona ventilação e alerta simultaneamente.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8. Considerações de segurança física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Resistor em cada LED.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O GPIO entrega 3,3 V e um LED tem queda de ~2 V. Sem limitador,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a corrente ultrapassaria os 20 mA suportados e danificaria o LED e possivelmente o pino.   Com 220 Ω, a corrente fica em torno de 6 mA.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HC-SR04 em 5 V, sinal em 3,3 V.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O sensor é alimentado em 5 V, mas o pino ECHO devolve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nível de 5 V, acima do tolerado pelo ESP32. Numa montagem física, esse pino exige divisor   resistivo ou conversor de nível — o simulador não reproduz o dano, mas a placa real sim.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Corrente total dos GPIOs.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O ESP32 suporta cerca de 40 mA por pino e um limite agregado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bem menor que a soma dos pinos. Três LEDs e um buzzer cabem; ampliar o protótipo exigiria   transistores ou driver.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Buzzer e conforto acústico.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Em instalação urbana real, alarme contínuo vira poluição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sonora e acaba ignorado. O protótipo usa tom fixo; um sistema real precisaria de limite de   duração e de reconhecimento do alarme.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Isolamento e proteção contra intempérie.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Equipamento em poste exige invólucro IP65,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proteção contra surto e aterramento — fora do escopo da simulação, mas parte do projeto.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9. Reflexão sobre aplicações reais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que este protótipo demonstra em pequena escala é a arquitetura de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automação contextual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: decidir a partir da combinação de variáveis, não de uma só. Um poste que acende ao escurecer é um temporizador; um poste que acende ao escurecer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libera travessia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liga ventilação conforme o calor é um sistema que interpreta contexto.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Três aplicações diretas: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Iluminação pública adaptativa.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Cidades já substituem lâmpadas por LED com sensor. O ganho seguinte é combinar luminosidade com presença — reduzir a intensidade em rua vazia e elevar quando alguém se aproxima. A regra 1 deste protótipo é a forma mínima disso.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Monitoramento de risco ambiental.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A regra 3 — calor com umidade baixa — é exatamente o índice usado por defesa civil para risco de incêndio. Uma malha de sensores baratos numa área de mata dá granularidade que uma estação meteorológica central não alcança.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Segurança viária.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A regra 2 é o princípio dos sensores de aproximação em cruzamentos e garagens. Em escala urbana, alimentaria contagem de tráfego e detecção de invasão de faixa.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 limitação honesta é que os três casos exigem o que o protótipo ainda não tem: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conectividade e persistência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Um sistema que decide localmente e não reporta nada não gera histórico, não permite análise de tendência e não escala. O passo natural é publicar as leituras por MQTT — o que a semana 6 já cobriu — e armazenar em série temporal, fechando o ciclo entre borda e nuvem.</w:t>
      </w:r>
    </w:p>
    <w:p>
      <w:pPr>
        <w:pBdr>
          <w:bottom w:val="single" w:sz="6" w:space="1" w:color="CCCCCC"/>
        </w:pBdr>
      </w:pPr>
    </w:p>
    <w:p>
      <w:pPr>
        <w:spacing w:after="120" w:before="32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6"/>
          <w:szCs w:val="36"/>
        </w:rPr>
        <w:t xml:space="preserve">Atividade #2 — Análise preditiva e comunicação MQTT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10. Objetivo e dados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 segunda atividade sai do tempo real e vai para o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histórico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: processar dados acumulados, inferir tendências, publicar alertas por MQTT e discutir a segurança dessa comunicação.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 diferença conceitual em relação à Atividade #1 é o horizonte. Lá o sistema reage ao instante — a distância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agora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é menor que 30 cm. Aqui ele olha para trás e antecipa: a temperatura vem subindo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há três dias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então provavelmente vai continuar. Um sistema que só faz a primeira coisa nunca previne nada.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dataset está em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analise/dados/leituras.csv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: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1440 leituras horárias ao longo de 60 dias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(01/07 a 29/08/2026), com temperatura, umidade e luminosidade. Ele é simulado, como o enunciado permite, e foi gerado com semente fixa para ser reproduzível. A série tem ciclo diário, tendência sazonal de aquecimento e um episódio de calor seco entre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11 e 17 de agosto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— esse episódio existe de propósito, para que as regras de inferência tenham o que detectar.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11. Processamento e regras de inferência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script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analise/analise_preditiva.py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usa pandas, numpy, matplotlib e paho-mqtt, e segue cinco passos: carregar, agregar por dia, calcular médias móveis, aplicar regras e publicar.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11.1. Agregação e média móvel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As 24 leituras de cada dia viram uma linha, guardando média, máxima e mínima. Guardar as três não é redundância —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cada regra olha uma coisa diferente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: a tendência usa a média, que é menos sensível a um pico isolado, enquanto o alerta de seca usa a máxima do dia, que é quando o risco de fato existe.</w:t>
      </w:r>
    </w:p>
    <w:p>
      <w:pPr>
        <w:spacing w:after="40" w:before="160" w:line="276" w:lineRule="auto"/>
        <w:ind w:firstLine="0" w:start="0"/>
        <w:jc w:val="center"/>
      </w:pPr>
      <w:r>
        <w:drawing>
          <wp:inline>
            <wp:extent cx="5400000" cy="2878341"/>
            <wp:docPr id="102" name="Imagem 102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2" name="Imagem 102"/>
                    <pic:cNvPicPr/>
                  </pic:nvPicPr>
                  <pic:blipFill>
                    <a:blip r:embed="rIdImg9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7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 média móvel de três dias existe para separar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tendência de ruído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Sem ela, uma tarde quente seguida de uma noite fria produziria alternância constante entre "subindo" e "descendo", e nenhuma sequência se formaria.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11.2. As duas regras</w:t>
      </w:r>
    </w:p>
    <w:p>
      <w:pPr>
        <w:spacing w:after="40" w:before="160" w:line="276" w:lineRule="auto"/>
        <w:ind w:firstLine="0" w:start="0"/>
        <w:jc w:val="center"/>
      </w:pPr>
      <w:r>
        <w:drawing>
          <wp:inline>
            <wp:extent cx="5400000" cy="1575637"/>
            <wp:docPr id="103" name="Imagem 103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3" name="Imagem 103"/>
                    <pic:cNvPicPr/>
                  </pic:nvPicPr>
                  <pic:blipFill>
                    <a:blip r:embed="rIdImg90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7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 comparação da regra 1 é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==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 não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&gt;=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e essa escolha resolve um problema real. Com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&gt;=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uma alta sustentada de quinze dias geraria treze alertas idênticos, e o operador aprenderia a ignorar o canal — que é exatamente como sistemas de alarme perdem utilidade. Disparando só no dia em que a sequência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atinge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o limiar, cada alerta corresponde a um evento novo.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 regra 2 permanece disparando enquanto a condição durar, e isso é correto: cada dia de seca é uma avaliação de risco nova, não a repetição da anterior.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11.3. Saídas geradas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c>
          <w:tcPr>
            <w:tcW w:w="2500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Arquivo</w:t>
            </w:r>
          </w:p>
        </w:tc>
        <w:tc>
          <w:tcPr>
            <w:tcW w:w="2500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Conteúdo</w:t>
            </w:r>
          </w:p>
        </w:tc>
      </w:tr>
      <w:tr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0000"/>
                <w:shd w:val="clear" w:fill="F2F2F2"/>
                <w:sz w:val="22"/>
                <w:szCs w:val="22"/>
              </w:rPr>
              <w:t xml:space="preserve">saida/tendencias.png</w:t>
            </w:r>
          </w:p>
        </w:tc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Dois gráficos: temperatura e umidade, com médias móveis, limiares e marcação dos dias de alerta</w:t>
            </w:r>
          </w:p>
        </w:tc>
      </w:tr>
      <w:tr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0000"/>
                <w:shd w:val="clear" w:fill="F2F2F2"/>
                <w:sz w:val="22"/>
                <w:szCs w:val="22"/>
              </w:rPr>
              <w:t xml:space="preserve">saida/alertas.json</w:t>
            </w:r>
          </w:p>
        </w:tc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Alertas com data, tipo, severidade, motivo e os valores que dispararam a regra</w:t>
            </w:r>
          </w:p>
        </w:tc>
      </w:tr>
      <w:tr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0000"/>
                <w:shd w:val="clear" w:fill="F2F2F2"/>
                <w:sz w:val="22"/>
                <w:szCs w:val="22"/>
              </w:rPr>
              <w:t xml:space="preserve">saida/serie_diaria.json</w:t>
            </w:r>
          </w:p>
        </w:tc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Série diária completa, para conferência</w:t>
            </w:r>
          </w:p>
        </w:tc>
      </w:tr>
    </w:tbl>
    <w:p>
      <w:pPr>
        <w:spacing w:after="0" w:before="0" w:line="276" w:lineRule="auto"/>
        <w:ind w:firstLine="0" w:start="0"/>
        <w:jc w:val="start"/>
      </w:pP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12. Publicação e recepção por MQTT</w:t>
      </w:r>
    </w:p>
    <w:p>
      <w:pPr>
        <w:spacing w:after="40" w:before="160" w:line="276" w:lineRule="auto"/>
        <w:ind w:firstLine="0" w:start="0"/>
        <w:jc w:val="center"/>
      </w:pPr>
      <w:r>
        <w:drawing>
          <wp:inline>
            <wp:extent cx="5400000" cy="953179"/>
            <wp:docPr id="104" name="Imagem 104" descr="Figura 3 — Da análise histórica ao atuador, via broker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4" name="Imagem 104"/>
                    <pic:cNvPicPr/>
                  </pic:nvPicPr>
                  <pic:blipFill>
                    <a:blip r:embed="rIdImg90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5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 w:lineRule="auto"/>
        <w:ind w:firstLine="0" w:start="0"/>
        <w:jc w:val="center"/>
      </w:pPr>
      <w:r>
        <w:rPr>
          <w:rFonts w:ascii="Open Sans" w:hAnsi="Open Sans" w:cs="Open Sans" w:eastAsia="Open Sans"/>
          <w:i/>
          <w:iCs/>
          <w:color w:val="555555"/>
          <w:sz w:val="19"/>
          <w:szCs w:val="19"/>
        </w:rPr>
        <w:t xml:space="preserve">Figura 3 — Da análise histórica ao atuador, via broker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publicador é o script Python; o assinante é um segundo ESP32, em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analise/esp32_assinante/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que reage ao tipo de alerta: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seca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acende o LED vermelho e aciona o buzzer,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superaquecimento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faz o LED amarelo piscar, e a ausência de alerta mantém o verde aceso indicando que o sistema está vivo.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Dois detalhes do assinante merecem registro, porque são as armadilhas mais comuns:</w:t>
      </w:r>
    </w:p>
    <w:p>
      <w:pPr>
        <w:spacing w:after="40" w:before="160" w:line="276" w:lineRule="auto"/>
        <w:ind w:firstLine="0" w:start="0"/>
        <w:jc w:val="center"/>
      </w:pPr>
      <w:r>
        <w:drawing>
          <wp:inline>
            <wp:extent cx="5400000" cy="1385692"/>
            <wp:docPr id="105" name="Imagem 105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5" name="Imagem 105"/>
                    <pic:cNvPicPr/>
                  </pic:nvPicPr>
                  <pic:blipFill>
                    <a:blip r:embed="rIdImg90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8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60" w:line="276" w:lineRule="auto"/>
        <w:ind w:firstLine="0" w:start="0"/>
        <w:jc w:val="center"/>
      </w:pPr>
      <w:r>
        <w:drawing>
          <wp:inline>
            <wp:extent cx="5400000" cy="779287"/>
            <wp:docPr id="106" name="Imagem 106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6" name="Imagem 106"/>
                    <pic:cNvPicPr/>
                  </pic:nvPicPr>
                  <pic:blipFill>
                    <a:blip r:embed="rIdImg90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7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buffer padrão de 256 bytes descarta silenciosamente mensagens maiores — o alerta simplesmente não chega, e nada aparece no log. O payload de alerta ocupa cerca de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145 bytes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 caberia no padrão; subir para 1024 é margem barata contra o dia em que o campo  crescer ou os alertas forem enviados em lote.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loop()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também não usa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delay()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para piscar o LED amarelo: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mqtt.loop()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precisa rodar com frequência para processar a fila de entrada, e um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delay()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de meio segundo derrubaria a conexão.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13. Segurança na comunicação MQTT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broker público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test.mosquitto.org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foi usado por conveniência de laboratório, e é preciso dizer com clareza o que isso significa: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qualquer pessoa no mundo pode assinar `/iot/alertas` e ler tudo, ou publicar alertas falsos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Não há autenticação, não há criptografia e o tópico é global. Para um exercício, tudo bem; para qualquer uso real, não.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13.1. Autenticação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primeiro passo é sair do acesso anônimo. Usuário e senha por dispositivo são o mínimo:</w:t>
      </w:r>
    </w:p>
    <w:p>
      <w:pPr>
        <w:spacing w:after="40" w:before="160" w:line="276" w:lineRule="auto"/>
        <w:ind w:firstLine="0" w:start="0"/>
        <w:jc w:val="center"/>
      </w:pPr>
      <w:r>
        <w:drawing>
          <wp:inline>
            <wp:extent cx="5400000" cy="972458"/>
            <wp:docPr id="107" name="Imagem 107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7" name="Imagem 107"/>
                    <pic:cNvPicPr/>
                  </pic:nvPicPr>
                  <pic:blipFill>
                    <a:blip r:embed="rIdImg90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7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 forma robusta é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certificado por dispositivo (mTLS)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: cada ESP32 carrega seu próprio certificado, e o broker valida quem está do outro lado. A vantagem sobre senha é a revogação — um dispositivo perdido ou comprometido é revogado individualmente, sem trocar a credencial de toda a frota.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13.2. Criptografia TLS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Sem TLS, qualquer intermediário na rede lê e altera as mensagens. Com o ESP32:</w:t>
      </w:r>
    </w:p>
    <w:p>
      <w:pPr>
        <w:spacing w:after="40" w:before="160" w:line="276" w:lineRule="auto"/>
        <w:ind w:firstLine="0" w:start="0"/>
        <w:jc w:val="center"/>
      </w:pPr>
      <w:r>
        <w:drawing>
          <wp:inline>
            <wp:extent cx="5400000" cy="1743455"/>
            <wp:docPr id="108" name="Imagem 108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8" name="Imagem 108"/>
                    <pic:cNvPicPr/>
                  </pic:nvPicPr>
                  <pic:blipFill>
                    <a:blip r:embed="rIdImg90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ponto que costuma ser esquecido: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validar o certificado do broker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Usar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setInsecure()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estabelece a conexão criptografada mas aceita qualquer servidor — o que protege contra escuta passiva e não protege contra um servidor falso se passando pelo broker.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13.3. Gestão segura de tópicos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Autenticar não basta se todo dispositivo autenticado puder ler tudo. A ACL do broker deve restringir cada credencial ao seu escopo:</w:t>
      </w:r>
    </w:p>
    <w:tbl>
      <w:tblPr>
        <w:tblW w:w="5000" w:type="pct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</w:tblBorders>
        <w:tblCellMar>
          <w:top w:w="80" w:type="dxa"/>
          <w:left w:w="140" w:type="dxa"/>
          <w:bottom w:w="80" w:type="dxa"/>
          <w:right w:w="140" w:type="dxa"/>
        </w:tblCellMar>
      </w:tblPr>
      <w:tr>
        <w:tc>
          <w:tcPr>
            <w:tcW w:w="5000" w:type="pct"/>
            <w:shd w:val="clear" w:fill="F6F8FA"/>
          </w:tcPr>
          <w:p>
            <w:pPr>
              <w:spacing w:after="0" w:before="40" w:line="240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F2328"/>
                <w:sz w:val="18"/>
                <w:szCs w:val="18"/>
              </w:rPr>
              <w:t xml:space="preserve"># mosquitto.acl</w:t>
            </w:r>
          </w:p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F2328"/>
                <w:sz w:val="18"/>
                <w:szCs w:val="18"/>
              </w:rPr>
              <w:t xml:space="preserve">user sensor-ala3-leito12</w:t>
            </w:r>
          </w:p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F2328"/>
                <w:sz w:val="18"/>
                <w:szCs w:val="18"/>
              </w:rPr>
              <w:t xml:space="preserve">topic write hospital/ala-3/leito-12/#</w:t>
            </w:r>
          </w:p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F2328"/>
                <w:sz w:val="18"/>
                <w:szCs w:val="18"/>
              </w:rPr>
              <w:t xml:space="preserve">topic read  hospital/ala-3/leito-12/comandos</w:t>
            </w:r>
          </w:p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F2328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F2328"/>
                <w:sz w:val="18"/>
                <w:szCs w:val="18"/>
              </w:rPr>
              <w:t xml:space="preserve">user painel-enfermaria</w:t>
            </w:r>
          </w:p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F2328"/>
                <w:sz w:val="18"/>
                <w:szCs w:val="18"/>
              </w:rPr>
              <w:t xml:space="preserve">topic read  hospital/ala-3/+/vitais/#</w:t>
            </w:r>
          </w:p>
        </w:tc>
      </w:tr>
    </w:tbl>
    <w:p>
      <w:pPr>
        <w:spacing w:after="60" w:before="0" w:line="276" w:lineRule="auto"/>
        <w:ind w:firstLine="0" w:start="0"/>
        <w:jc w:val="start"/>
      </w:pP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Três princípios aplicados aqui: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tópico global é superfície de ataque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—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/iot/alertas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sem hierarquia impede qualquer restrição por escopo;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publicar e assinar são permissões distintas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— um sensor publica e não deveria ler comandos de outros; e o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identificador não deve carregar dado sensível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porque o nome do tópico trafega em claro no cabeçalho mesmo com TLS ativo em algumas configurações de proxy.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14. Reflexão sobre a integração física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 Atividade #1 mostrou um sistema que decide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onde está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e a #2 um que decide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a partir do que já aconteceu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Integrá-las é o passo que falta: hoje o ESP32 da cidade inteligente não publica nada, e o script de análise lê um CSV que ninguém alimenta.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fechamento natural do ciclo seria o ESP32 da Atividade #1 publicar suas leituras num tópico, o script consumir esse histórico em vez do CSV, e os alertas resultantes voltarem para o ESP32 assinante. Aí existiria de fato uma malha: sensor → nuvem → análise → atuador.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Duas dificuldades reais apareceriam nessa integração, e vale nomeá-las: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Relógio.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O ESP32 não tem relógio de tempo real; ao ligar, ele não sabe que horas são. Uma análise por data depende de sincronizar via NTP, e um dispositivo sem internet no boot produziria registros com timestamp errado — que estragam qualquer média móvel.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Volume e retenção.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Uma leitura por hora gera 8.760 registros por ano por sensor. Com cem sensores, quase um milhão. Publicar tudo e guardar tudo não escala; a saída é agregar na borda — enviar a média de dez minutos em vez de cada leitura — e definir política de retenção, exatamente o que o banco de série temporal discutido na tarefa 7.4 resolve.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15. Como executar a Atividade #2</w:t>
      </w:r>
    </w:p>
    <w:p>
      <w:pPr>
        <w:spacing w:after="40" w:before="160" w:line="276" w:lineRule="auto"/>
        <w:ind w:firstLine="0" w:start="0"/>
        <w:jc w:val="center"/>
      </w:pPr>
      <w:r>
        <w:drawing>
          <wp:inline>
            <wp:extent cx="5400000" cy="1842353"/>
            <wp:docPr id="109" name="Imagem 109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9" name="Imagem 109"/>
                    <pic:cNvPicPr/>
                  </pic:nvPicPr>
                  <pic:blipFill>
                    <a:blip r:embed="rIdImg90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4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No Google Colab, subir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leituras.csv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 instalar apenas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paho-mqtt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que não vem no ambiente.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Para o assinante: criar outro projeto pelo mesmo link, colar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esp32_assinante/sketch.ino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diagram.json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libraries.txt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e dar Play. Ele conecta na rede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Wokwi-GUEST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 passa a escutar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/iot/alertas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Rodar o script Python em seguida faz os LEDs reagirem.</w:t>
      </w:r>
    </w:p>
    <w:p>
      <w:pPr>
        <w:pBdr>
          <w:bottom w:val="single" w:sz="6" w:space="1" w:color="CCCCCC"/>
        </w:pBdr>
      </w:pP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16. Como reproduzir a Atividade #1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Atenção ao template.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Use &lt;https://wokwi.com/projects/new/esp32&gt;, que cria um projeto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Arduino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— o arquivo da aba de código precisa se chamar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sketch.ino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O Wokwi também oferece um template ESP-IDF cujo arquivo é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main.c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; nele o mesmo código falha na compilação com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unknown type name class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porque o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.c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é compilado como C e não como C++.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1.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Abrir &lt;https://wokwi.com/projects/new/esp32&gt; — o template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Arduino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cujo arquivo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principal é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sketch.ino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2.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Colar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wokwi/sketch.ino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na aba de código.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3.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Substituir a aba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diagram.json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pelo arquivo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wokwi/diagram.json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— o circuito aparece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montado e ligado.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4.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Criar a aba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libraries.txt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com o conteúdo do arquivo de mesmo nome (DHT sensor library,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Adafruit Unified Sensor, LiquidCrystal I2C).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5.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Clicar em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Play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 ajustar os sensores conforme a tabela da seção 7.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17. Referências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Wokwi — documentação e formato do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diagram.json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&lt;https://docs.wokwi.com/diagram-format&gt;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Espressif.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ESP32 — ADC e limitações do ADC2 com Wi-Fi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&lt;https://docs.espressif.com/projects/esp-idf/en/latest/esp32/api-reference/peripherals/adc.html&gt;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Adafruit.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DHT sensor library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&lt;https://github.com/adafruit/DHT-sensor-library&gt;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Sparkfun.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HC-SR04 Ultrasonic Sensor — níveis lógicos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&lt;https://www.sparkfun.com/products/15569&gt;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Material da semana: Módulo 7 — Tendências emergentes e direções futuras em IoT.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Italics">
    <w:panose1 w:val="020B0604020202090204"/>
    <w:charset w:characterSet="1"/>
    <w:embedItalic r:id="rId2"/>
  </w:font>
  <w:font w:name="Arimo">
    <w:panose1 w:val="020B0604020202020204"/>
    <w:charset w:characterSet="1"/>
    <w:embedRegular r:id="rId3"/>
  </w:font>
  <w:font w:name="Arimo Bold Italics">
    <w:panose1 w:val="020B0704020202090204"/>
    <w:charset w:characterSet="1"/>
    <w:embedBoldItalic r:id="rId4"/>
  </w:font>
  <w:font w:name="Open Sans Bold">
    <w:panose1 w:val="020B0806030504020204"/>
    <w:charset w:characterSet="1"/>
    <w:embedBold r:id="rId5"/>
  </w:font>
  <w:font w:name="Open Sans Italics">
    <w:panose1 w:val="020B0606030504020204"/>
    <w:charset w:characterSet="1"/>
    <w:embedItalic r:id="rId6"/>
  </w:font>
  <w:font w:name="Open Sans">
    <w:panose1 w:val="020B0606030504020204"/>
    <w:charset w:characterSet="1"/>
    <w:embedRegular r:id="rId7"/>
  </w:font>
  <w:font w:name="Open Sans Bold Italics">
    <w:panose1 w:val="020B0806030504020204"/>
    <w:charset w:characterSet="1"/>
    <w:embedBoldItalic r:id="rId8"/>
  </w:font>
  <w:font w:name="Open Sans Light Italics">
    <w:panose1 w:val="020B0306030504020204"/>
    <w:charset w:characterSet="1"/>
    <w:embedItalic r:id="rId9"/>
  </w:font>
  <w:font w:name="Open Sans Light">
    <w:panose1 w:val="020B0306030504020204"/>
    <w:charset w:characterSet="1"/>
    <w:embedRegular r:id="rId10"/>
  </w:font>
  <w:font w:name="Open Sans Ultra-Bold">
    <w:panose1 w:val="00000000000000000000"/>
    <w:charset w:characterSet="1"/>
    <w:embedBold r:id="rId11"/>
  </w:font>
  <w:font w:name="Open Sans Ultra-Bold Italics">
    <w:panose1 w:val="00000000000000000000"/>
    <w:charset w:characterSet="1"/>
    <w:embedBoldItalic r:id="rId12"/>
  </w:font>
  <w:font w:name="Roboto Bold">
    <w:panose1 w:val="02000000000000000000"/>
    <w:charset w:characterSet="1"/>
    <w:embedBold r:id="rId13"/>
  </w:font>
  <w:font w:name="Arial MT Pro Bold">
    <w:panose1 w:val="020B080202020202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Img900" Target="media/relatorio1.png" Type="http://schemas.openxmlformats.org/officeDocument/2006/relationships/image"/><Relationship Id="rIdImg901" Target="media/relatorio2.png" Type="http://schemas.openxmlformats.org/officeDocument/2006/relationships/image"/><Relationship Id="rIdImg902" Target="media/relatorio3.png" Type="http://schemas.openxmlformats.org/officeDocument/2006/relationships/image"/><Relationship Id="rIdImg903" Target="media/relatorio4.png" Type="http://schemas.openxmlformats.org/officeDocument/2006/relationships/image"/><Relationship Id="rIdImg904" Target="media/relatorio5.png" Type="http://schemas.openxmlformats.org/officeDocument/2006/relationships/image"/><Relationship Id="rIdImg905" Target="media/relatorio6.png" Type="http://schemas.openxmlformats.org/officeDocument/2006/relationships/image"/><Relationship Id="rIdImg906" Target="media/relatorio7.png" Type="http://schemas.openxmlformats.org/officeDocument/2006/relationships/image"/><Relationship Id="rIdImg907" Target="media/relatorio8.png" Type="http://schemas.openxmlformats.org/officeDocument/2006/relationships/image"/><Relationship Id="rIdImg908" Target="media/relatorio9.png" Type="http://schemas.openxmlformats.org/officeDocument/2006/relationships/image"/><Relationship Id="rIdImg909" Target="media/relatorio10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11" Target="fonts/font11.odttf" Type="http://schemas.openxmlformats.org/officeDocument/2006/relationships/font"/><Relationship Id="rId12" Target="fonts/font12.odttf" Type="http://schemas.openxmlformats.org/officeDocument/2006/relationships/font"/><Relationship Id="rId13" Target="fonts/font13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2026-08-16T22:29:54Z</dcterms:created>
  <dc:creator>Apache POI</dc:creator>
  <dc:title>Cópia de Tarefa 5.4 - IoT</dc:title>
</cp:coreProperties>
</file>