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4343400" cy="1539240"/>
            <wp:docPr id="0" name="Drawing 0" descr="155835791-f7df-4fd2-aafc-02560f487bc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55835791-f7df-4fd2-aafc-02560f487bca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Roboto Bold" w:hAnsi="Roboto Bold" w:cs="Roboto Bold" w:eastAsia="Roboto Bold"/>
          <w:b/>
          <w:bCs/>
          <w:color w:val="000000"/>
          <w:sz w:val="42"/>
          <w:szCs w:val="42"/>
        </w:rPr>
        <w:t>Tarefa 6 - Arquitetura de Software 2</w:t>
      </w:r>
      <w:r>
        <w:rPr>
          <w:rFonts w:ascii="Roboto Bold" w:hAnsi="Roboto Bold" w:cs="Roboto Bold" w:eastAsia="Roboto Bold"/>
          <w:b/>
          <w:bCs/>
          <w:color w:val="000000"/>
          <w:sz w:val="42"/>
          <w:szCs w:val="42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Arial MT Pro Bold" w:hAnsi="Arial MT Pro Bold" w:cs="Arial MT Pro Bold" w:eastAsia="Arial MT Pro Bold"/>
          <w:b/>
          <w:bCs/>
          <w:color w:val="000000"/>
          <w:sz w:val="23"/>
          <w:szCs w:val="23"/>
        </w:rPr>
        <w:t>Uso Acadêmico Exclusivo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 xml:space="preserve">Aluno: Djordan Gabriel Bezerra Moura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72"/>
          <w:szCs w:val="72"/>
        </w:rPr>
        <w:t>Redesenho da Grades API do Prometheus V2 — Escalabilidade e Resiliência</w:t>
      </w:r>
      <w:r>
        <w:rPr>
          <w:rFonts w:ascii="Open Sans Bold" w:hAnsi="Open Sans Bold" w:cs="Open Sans Bold" w:eastAsia="Open Sans Bold"/>
          <w:b/>
          <w:bCs/>
          <w:color w:val="000000"/>
          <w:sz w:val="72"/>
          <w:szCs w:val="72"/>
        </w:rPr>
        <w:t xml:space="preserve">
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1. Escopo e premissas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atividade pede a seleção de um módulo do Prometheus V2 com desafios de carga ou disponibilidade, a análise de suas limitações e uma proposta arquitetural que integre uma estratégia de escalonamento, um padrão de resiliência e o uso de serviços de nuvem.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componente escolhido é a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Grades API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sugerida pelo próprio enunciado. A escolha não é arbitrária: entre os módulos do sistema, é o que combina três características que tornam o problema interessante — carga fortemente concentrada no tempo, leitura muito mais frequente que escrita, e consequência alta em caso de indisponibilidade.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Premissa declarada.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material do curso descreve o caso Prometheus qualitativamente, sem métricas publicadas do V1. Os números usados adiante são, portanto, um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cenário de carga assumido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para dar concretude ao dimensionamento, e estão marcados como tal. Eles servem para justificar decisões, não para relatar medições.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2. Análise do componente atual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2.1. O que a Grades API faz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Concentra publicação de avaliações pelo professor, consulta de notas pelo aluno, cálculo de média e situação, e emissão de histórico. É o módulo que o aluno mais consulta e o que o professor menos usa — assimetria que a arquitetura atual ignora.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2.2. Limitações identificadas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Carga concentrada, não distribuída.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Notas não são consultadas uniformemente ao longo do semestre. Elas são consultadas em rajada, minutos depois de o professor publicar, e no fechamento do período. Uma arquitetura dimensionada para a média fica ociosa 95% do tempo e cai justamente no momento em que todo mundo olha.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Cenário assumido: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8.000 alunos ativos, consulta média de 2 req/s, com picos de 400 req/s nos 10 minutos após uma publicação em massa — uma razão de 200× entre pico e média.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Leitura e escrita no mesmo caminho.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Cada consulta de nota recalcula média e situação a partir das avaliações. Isso significa que uma operação predominantemente de leitura carrega o custo de agregação a cada requisição, e que o banco transacional recebe carga de leitura que não precisaria chegar até ele.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Acoplamento síncrono com módulos vizinhos.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Publicar uma nota dispara notificação ao aluno. Se o Messaging Service estiver lento, a publicação fica lenta junto — o professor espera por um subsistema que não deveria estar no caminho crítico da sua ação. Pior: se o Messaging cair, a publicação falha, e uma operação que deveria ter sido concluída é revertida por causa de um efeito colateral secundário.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Falha sem contenção.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Sem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timeout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sem disjuntor, uma dependência degradada consome threads do serviço chamador até esgotá-las. O resultado é que a lentidão de um módulo periférico derruba a Grades API inteira — o padrão de falha em cascata.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3. Design proposto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1678378"/>
            <wp:docPr id="100" name="Imagem 100" descr="Figura 1 — Grades API redesenhada, com CQRS, cache e assincronismo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0" name="Imagem 100"/>
                    <pic:cNvPicPr/>
                  </pic:nvPicPr>
                  <pic:blipFill>
                    <a:blip r:embed="rIdImg9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7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 w:start="0"/>
        <w:jc w:val="center"/>
      </w:pPr>
      <w:r>
        <w:rPr>
          <w:rFonts w:ascii="Open Sans" w:hAnsi="Open Sans" w:cs="Open Sans" w:eastAsia="Open Sans"/>
          <w:i/>
          <w:iCs/>
          <w:color w:val="555555"/>
          <w:sz w:val="19"/>
          <w:szCs w:val="19"/>
        </w:rPr>
        <w:t xml:space="preserve">Figura 1 — Grades API redesenhada, com CQRS, cache e assincronismo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3.1. Estratégia de escalonamento: horizontal, com separação leitura/escrita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escolha é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escalonamento horizontal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e a razão é a forma da carga. Escalonamento vertical — uma máquina maior — não serve para picos de 200×: exigiria dimensionar permanentemente para o pior caso, pagando por capacidade ociosa quase o tempo todo, e esbarraria num teto físico.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decisão que torna o horizontal viável é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separar leitura de escrita (CQRS)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Sem ela, replicar o serviço não resolveria, porque todas as réplicas continuariam disputando o mesmo banco transacional. Com a separação: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Command (escrita)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Query (leitura)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Volume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baixo e previsível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alto e em rajada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Instâncias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2 a 4, fixas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3 a 20, auto-scaling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Persistência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primário PostgreSQL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Redis + réplicas de leitura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Gatilho de escala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CPU &gt; 60% ou latência p95 &gt; 300 ms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caminho de leitura escala sozinho e o de escrita permanece estável, porque publicar notas não fica mais frequente só porque mais alunos estão consultando.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3.2. Padrão de resiliência: Circuit Breaker com Fallback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Cabe uma distinção que a seção anterior já resolveu em parte: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o Messaging Service deixou de ser uma dependência síncrona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— a publicação agora emite um evento na fila, e é a fila que desacopla. O disjuntor não se aplica ali.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Onde ele se aplica é nas chamadas que continuam síncronas no caminho crítico: o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serviço de autenticação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consultado a cada requisição, e a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leitura no cache e nas réplicas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feita pela camada de Query.</w:t>
      </w:r>
    </w:p>
    <w:p>
      <w:pPr>
        <w:spacing w:after="0" w:before="4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     falhas &gt; 50% em 30 s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FECHADO ─────────────────────────► ABERTO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▲                                  │</w:t>
      </w:r>
    </w:p>
    <w:p>
      <w:pPr>
        <w:spacing w:after="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│  1 chamada de teste OK           │ após 60 s</w:t>
      </w:r>
    </w:p>
    <w:p>
      <w:pPr>
        <w:spacing w:after="120" w:before="0" w:line="240" w:lineRule="auto"/>
        <w:ind w:firstLine="0" w:start="200"/>
        <w:jc w:val="start"/>
        <w:shd w:val="clear" w:fill="F5F5F5"/>
      </w:pPr>
      <w:r>
        <w:rPr>
          <w:rFonts w:ascii="Consolas" w:hAnsi="Consolas" w:cs="Consolas" w:eastAsia="Consolas"/>
          <w:color w:val="000000"/>
          <w:sz w:val="19"/>
          <w:szCs w:val="19"/>
        </w:rPr>
        <w:t xml:space="preserve">   └────────── MEIO-ABERTO ◄──────────┘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Fechado: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tudo passa, com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timeout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de 2 s por chamada.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Aberto: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as chamadas falham imediatamente, sem consumir thread nem esperar. É isso que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impede a falha em cascata — o serviço lento deixa de contaminar o chamador.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Meio-aberto: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após 60 s, uma chamada de teste decide se volta a fechar.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fallback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é o que torna o disjuntor aceitável do ponto de vista do negócio. Com o Redis fora do ar, a consulta cai para a réplica de leitura e responde mais devagar, em vez de falhar. Com o serviço de autenticação instável, um token ainda válido é aceito pela validação local da assinatura, sem a checagem de revogação — degradação consciente, com janela curta.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Para o Messaging, o papel de fallback é da própria fila: a nota é gravada e o evento fica enfileirado para entrega posterior. A notificação atrasa; a publicação não falha. É a mesma ideia do disjuntor — conter a falha em vez de propagá-la — obtida por um mecanismo diferente.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Complementam o desenho: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Retry com backoff exponencial e jitter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apenas em operações idempotentes de leitura.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O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jitter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evita o efeito manada — sem ele, mil clientes reconectam no mesmo instante e   derrubam o serviço que acabou de voltar.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Bulkhead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pools de conexão separados por dependência, para que o esgotamento causado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por um subsistema não afete os demais.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Timeout em toda chamada de rede.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Uma chamada sem timeout é uma indisponibilidade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esperando acontecer.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3.3. Serviços de nuvem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Serviço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Uso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Problema que resolve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CDN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PDFs de histórico e boletim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Tira do servidor de origem o tráfego de arquivos imutáveis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API Gateway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Autenticação,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rate limit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roteamento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Concentra política transversal; protege contra abuso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Auto-scaling group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Camada de Query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Acompanha o pico sem provisionar para ele o tempo todo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Réplicas de leitura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PostgreSQL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Distribui consulta sem sobrecarregar o primário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Redis gerenciado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Cache de média e situação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Elimina recálculo a cada requisição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Fila gerenciada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Evento </w:t>
            </w:r>
            <w:r>
              <w:rPr>
                <w:rFonts w:ascii="Consolas" w:hAnsi="Consolas" w:cs="Consolas" w:eastAsia="Consolas"/>
                <w:color w:val="000000"/>
                <w:shd w:val="clear" w:fill="F2F2F2"/>
                <w:sz w:val="22"/>
                <w:szCs w:val="22"/>
              </w:rPr>
              <w:t xml:space="preserve">NotaPublicada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Desacopla efeitos colaterais do caminho crítico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4. Justificativa técnica por atributo de qualidade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Desempenho.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ganho principal não vem de mais máquinas, e sim de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não recalcular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A média e a situação passam a ser materializadas quando a nota muda, não quando alguém consulta. Como a razão leitura/escrita é alta, o cálculo deixa de ocorrer por requisição e passa a ocorrer por publicação.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Escalabilidade.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 separação CQRS permite escalar o lado que cresce sem arrastar o que não cresce. Isso é o oposto de escalar o monólito inteiro, onde a instância replicada carrega também o código de escrita que ficará ocioso.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Disponibilidade.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Disjuntor,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timeout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bulkhead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atacam o mesmo modo de falha: a propagação. O objetivo declarado não é "nunca falhar", e sim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falhar de forma contida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— degradar a notificação em vez de derrubar a publicação.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Consistência — o trade-off assumido.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desenho troca consistência forte por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consistência eventual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na leitura. Entre a publicação e a atualização do cache existe uma janela de segundos em que o aluno pode ver a nota anterior. Isso é aceitável para consulta de notas e seria inaceitável para saldo bancário. Onde não é aceitável — a tela de confirmação que o professor vê logo após publicar — a leitura é direcionada ao primário, evitando que ele duvide do próprio envio.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Custo.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auto-scaling reduz o custo médio, mas o desenho acrescenta componentes (Redis, fila, réplicas) que têm custo fixo e, sobretudo,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custo operacional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mais peças para monitorar e para falhar. É uma complexidade que só se justifica pela assimetria de carga descrita na seção 2.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5. Conclusão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decisão mais importante deste redesenho não é o auto-scaling nem o cache — é reconhecer que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leitura e escrita de notas são cargas de naturezas diferentes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parar de tratá-las com a mesma arquitetura. Todas as outras escolhas decorrem disso: o CQRS separa, o cache serve o lado que explode, a fila tira o efeito colateral do caminho crítico, e o disjuntor garante que a falha de um vizinho não vire falha própria.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princípio geral é o de sempre: escalabilidade raramente se resolve com mais hardware sobre a mesma arquitetura. Resolve-se identificando qual dimensão realmente cresce e isolando-a.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6. Referências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Nygard, M.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Release It!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2ª ed. Pragmatic Bookshelf — padrões Circuit Breaker, Bulkhead e Timeout.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Microsoft.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Cloud Design Patterns — Circuit Breaker, Retry, CQRS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&lt;https://learn.microsoft.com/azure/architecture/patterns/&gt;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Fowler, M.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CQRS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&lt;https://martinfowler.com/bliki/CQRS.html&gt;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Fowler, M.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CircuitBreaker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&lt;https://martinfowler.com/bliki/CircuitBreaker.html&gt;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AWS.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Exponential Backoff and Jitter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&lt;https://aws.amazon.com/builders-library/timeouts-retries-and-backoff-with-jitter/&gt;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Material da semana: Módulo 6 — Escalabilidade e resiliência.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Open Sans Bold">
    <w:panose1 w:val="020B0806030504020204"/>
    <w:charset w:characterSet="1"/>
    <w:embedBold r:id="rId5"/>
  </w:font>
  <w:font w:name="Open Sans Italics">
    <w:panose1 w:val="020B0606030504020204"/>
    <w:charset w:characterSet="1"/>
    <w:embedItalic r:id="rId6"/>
  </w:font>
  <w:font w:name="Open Sans">
    <w:panose1 w:val="020B0606030504020204"/>
    <w:charset w:characterSet="1"/>
    <w:embedRegular r:id="rId7"/>
  </w:font>
  <w:font w:name="Open Sans Bold Italics">
    <w:panose1 w:val="020B0806030504020204"/>
    <w:charset w:characterSet="1"/>
    <w:embedBoldItalic r:id="rId8"/>
  </w:font>
  <w:font w:name="Open Sans Light Italics">
    <w:panose1 w:val="020B0306030504020204"/>
    <w:charset w:characterSet="1"/>
    <w:embedItalic r:id="rId9"/>
  </w:font>
  <w:font w:name="Open Sans Light">
    <w:panose1 w:val="020B0306030504020204"/>
    <w:charset w:characterSet="1"/>
    <w:embedRegular r:id="rId10"/>
  </w:font>
  <w:font w:name="Open Sans Ultra-Bold">
    <w:panose1 w:val="00000000000000000000"/>
    <w:charset w:characterSet="1"/>
    <w:embedBold r:id="rId11"/>
  </w:font>
  <w:font w:name="Open Sans Ultra-Bold Italics">
    <w:panose1 w:val="00000000000000000000"/>
    <w:charset w:characterSet="1"/>
    <w:embedBoldItalic r:id="rId12"/>
  </w:font>
  <w:font w:name="Roboto Bold">
    <w:panose1 w:val="02000000000000000000"/>
    <w:charset w:characterSet="1"/>
    <w:embedBold r:id="rId13"/>
  </w:font>
  <w:font w:name="Arial MT Pro Bold">
    <w:panose1 w:val="020B0802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Img900" Target="media/relatorio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2026-08-16T22:29:54Z</dcterms:created>
  <dc:creator>Apache POI</dc:creator>
  <dc:title>Cópia de Tarefa 5.4 - IoT</dc:title>
</cp:coreProperties>
</file>