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Tarefa 7 - Arquitetura de Software 2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Análise de Negócio e DDD no Prometheus V2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Stakeholders e requisitos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Stakeholder</w:t>
            </w:r>
          </w:p>
        </w:tc>
        <w:tc>
          <w:tcPr>
            <w:tcW w:w="25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Requisito principal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Aluno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Consultar notas e conteúdo com baixa latência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Professor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Avaliar com rastreabilidade da nota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Secretaria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Histórico oficial íntegro, com valor legal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Coordenação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Relatórios consolidados e confiáveis</w:t>
            </w:r>
          </w:p>
        </w:tc>
      </w:tr>
      <w:tr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Equipe de TI</w:t>
            </w:r>
          </w:p>
        </w:tc>
        <w:tc>
          <w:tcPr>
            <w:tcW w:w="25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Módulos implantáveis de forma independente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conflito que orienta todo o desenho está entre as duas primeiras linhas: para o aluno a nota precisa aparecer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rápido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; para a secretaria ela precisa ser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imutável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As duas exigências puxam a arquitetura em direções opostas, e é isso que justifica separar contextos em vez de manter um modelo único.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2. Classificação de domínios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Domínio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Avaliação e Aprendizagem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Core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Razão de ser do LMS; a regra de média e aprovação é própria da instituição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Entrega de Conteúdo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Core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 experiência de aula é o produto percebido pelo aluno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Registro Acadêmico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Documento oficial, com regras próprias, mas padronizado pelo setor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Gestão Acadêmica (matrícula)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Necessário ao core, sem diferencial competitivo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Comunicação (fórum, avisos)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Sustenta engajamento; regras simples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Relatórios e BI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Alto valor gerencial, baixo diferencial técnico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Identidade e Acesso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Generic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Problema resolvido: usar provedor OIDC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Notificação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Generic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Serviço de mercado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consequência prática é de alocação: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time mais forte vai para o core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Construir autenticação do zero enquanto o cálculo de média está mal modelado é erro de priorização.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3. Mapa de contexto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3916627"/>
            <wp:docPr id="100" name="Imagem 100" descr="Figura 1 — Contextos delimitados e contratos entre eles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Contextos delimitados e contratos entre eles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seta 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Notificação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aponta para Avaliação porque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conformist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descreve quem se submete ao contrato de quem: é Avaliação que se adapta ao formato ditado pelo serviço externo, e não o contrário.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4. Os contextos, em uma linha cada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Contexto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Responsabilidade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Linguagem ubíqua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Avaliação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Registrar avaliações, calcular média e situação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Avaliação, Rubrica, Tentativa, Situação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Aprendizagem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Trilha, progresso, conclusão de módulo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Trilha, Módulo, Progresso, Conclusão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Conteúdo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Vídeos e materiais, versão e publicação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Recurso, Versão, Publicação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Registro Acadêmico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Histórico oficial e documentos com valor legal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Histórico, Ata, Lançamento, Certificado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Matrícula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Vínculo aluno–turma–período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Matrícula, Turma, Período, Vaga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Identidade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Autenticação e perfis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Usuário, Papel, Sessão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Notificação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Entrega de avisos por canal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Canal, Template, Entrega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Comunicação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Relatórios e BI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classificados na seção 2, não aparecem no mapa por simplicidade de leitura: ambos são consumidores de eventos e não alteram as fronteiras discutidas aqui.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Justificativa das decisões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Avaliação separada de Registro Acadêmico.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a fronteira mais importante, e vem de uma divergência real de regra de mudança. Em Avaliação a nota é mutável — o professor corrige, o aluno recupera. Em Registro ela é um fato consumado: uma correção não sobrescreve, gera novo lançamento com justificativa, porque o documento tem valor legal. Unir os dois obrigaria o mesmo agregado a ser simultaneamente editável e imutável, produzindo flags de estado e regras condicionais espalhadas — o sintoma clássico de fronteira mal traçada. Separando, a passagem vira um evento explícito: </w:t>
      </w:r>
      <w:r>
        <w:rPr>
          <w:rFonts w:ascii="Consolas" w:hAnsi="Consolas" w:cs="Consolas" w:eastAsia="Consolas"/>
          <w:color w:val="000000"/>
          <w:shd w:val="clear" w:fill="F2F2F2"/>
          <w:sz w:val="24"/>
          <w:szCs w:val="24"/>
        </w:rPr>
        <w:t xml:space="preserve">NotaLancadaEmAta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Conteúdo separado de Aprendizagem.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Conteúdo trata do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artefato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um vídeo tem versão, formato, direitos de uso. Aprendizagem trata do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percurso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o aluno assistiu, progrediu, concluiu. O mesmo vídeo participa de várias trilhas, e a trilha sobrevive à substituição do vídeo. Ciclos de vida independentes.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Anticorruption Layer entre Conteúdo e Aprendizagem.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Sem ela, conceitos como codec e transcodificação vazariam para dentro do domínio de progresso do aluno, que não tem nada a ver com isso.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Identidade como Open Host Service.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Contrato estável e padronizado (OIDC), com muitos consumidores e nenhum negociando formato — o caso exato em que publicar uma linguagem comum é melhor que integrar par a par.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Efeito em escalabilidade e manutenibilidade.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Fronteira boa não é a que separa mais, é a que faz a mudança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parar de se propagar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alterar a regra de arredondamento da média fica contido em Avaliação, sem alcançar histórico, relatórios e certificados. E como consulta de nota e emissão de histórico têm perfis de carga opostos — alta e em rajada contra rara e pesada — cada contexto escala no seu ritmo, com cache e réplicas de um lado e consistência transacional forte do outro.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ressalva devida: contexto delimitado custa tradução entre modelos e consistência eventual. Aplicá-lo a um sistema pequeno é complexidade sem retorno. O critério é a existência de divergência real de linguagem ou de regra de mudança — que no Prometheus existe, e está documentada acima.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Evans, E.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Domain-Driven Design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Addison-Wesley.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Vernon, V.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Implementing Domain-Driven Design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Addison-Wesley — Context Mapping.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Khononov, V.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Learning Domain-Driven Design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O'Reilly — classificação de subdomínios.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Material da semana: Módulo 7 — Análise de negócio e DDD.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