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Arquitetura de Software 2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Análise de Requisitos e Modelagem de Domínios do Prometheus V2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laboratório cobre duas atividades sobre o caso Prometheus V2: a análise de requisitos de negócio a partir de informação incompleta, e a segmentação do sistema em domínios e contextos delimitados com DDD estratégico.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As duas se conectam. A análise de requisitos revela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quem quer o quê e com que qualidade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; o DDD usa esse material para decidir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onde traçar fronteiras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Fazer a segunda sem a primeira produz um diagrama que reflete a estrutura técnica em vez do negócio.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Atividade #1 — Análise de requisitos de negócio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Contexto assumido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apresenta o Prometheus V2 como um sistema educacional com informação incompleta, simulando análise de negócio real. Os módulos considerados são gerenciamento de usuários, qualificações, conteúdo, comunicação (fóruns e videoconferências) e acesso dos pais.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Onde a informação é ambígua, a decisão tomada está declarada como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premissa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é exatamente o que um analista faz na prática: não trava, registra a suposição e valida depois.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2.2. Requisitos identificados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Ator</w:t>
            </w:r>
          </w:p>
        </w:tc>
        <w:tc>
          <w:tcPr>
            <w:tcW w:w="10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Categoria de qualidade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FR1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professor pode publicar avaliações e respectivas rubricas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Professor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–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FR2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aluno pode consultar suas notas e a situação na disciplina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Aluno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–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FR3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professor pode publicar conteúdo em vídeo e material de apoio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Professor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–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FR4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responsável pode acompanhar notas e frequência do dependente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Responsável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–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FR5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Alunos e professores podem participar de fóruns por disciplina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Aluno / Professor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–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FR6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 secretaria pode emitir histórico oficial com valor legal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Secretaria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–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FR7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notifica o aluno quando uma nota é publicada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Aluno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–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NFR1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As notas devem estar disponíveis em menos de 2 s no percentil 95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Aluno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Desempenho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NFR2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manter 99,5% de disponibilidade no período letivo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Aluno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Disponibilidade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NFR3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Todo acesso a dado de menor deve ser autenticado e registrado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Responsável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Segurança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NFR4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 publicação de notas deve ser concluída em até 3 cliques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Professor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Usabilidade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NFR5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Um módulo deve ser implantado sem indisponibilizar os demais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Equipe de TI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NFR6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vídeo deve iniciar em menos de 3 s em conexão de 5 Mbps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Aluno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Desempenho</w:t>
            </w:r>
          </w:p>
        </w:tc>
      </w:tr>
      <w:tr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NFR7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Não funcional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Dados pessoais devem obedecer à LGPD quanto a retenção e consentimento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Instituição</w:t>
            </w:r>
          </w:p>
        </w:tc>
        <w:tc>
          <w:tcPr>
            <w:tcW w:w="10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Conformidade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2.3. Observações da análise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ator revela o conflito.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NFR1 (aluno quer nota rápida) e FR6 (secretaria quer registro íntegro) puxam a arquitetura em direções opostas. Associar cada requisito a um ator torna esse conflito visível na tabela, em vez de ele aparecer só na implementação.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NFR3 tem ator não óbvio.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requisito de auditoria de acesso a dado de menor é do responsável e da instituição, não do aluno. Requisitos de conformidade costumam ter como ator alguém que nunca usa a tela.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Premissa registrada.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enunciado não define se "acesso dos pais" vale para aluno maior de idade. Assumiu-se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vínculo é encerrado na maioridade, salvo consentimento explícito do aluno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decisão com impacto direto em NFR3 e NFR7, e que precisa de validação com a coordenação.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2.4. Regras de negócio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RN1 — Composição e arredondamento da média.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média final é a soma das avaliações ponderadas pelo peso da rubrica, arredondada a uma casa decimal. O aluno é aprovado com média ≥ 7,0; entre 4,0 e 6,9 vai para recuperação; abaixo de 4,0 está reprovado sem direito a recuperação.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Por que é regra de negócio e não detalhe técnico: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ponto de corte e a política de arredondamento mudam o resultado acadêmico de pessoas reais, e variam por instituição. Regra assim pertence ao domínio, nunca à camada de apresentação.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RN2 — Imutabilidade do lançamento em ata.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Uma nota lançada em ata não pode ser alterada. Correção posterior gera um novo lançamento, com justificativa, autor e data, preservando o registro anterior no histórico.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Por que é regra de negócio: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decorre do valor legal do documento. É também a regra que justifica a fronteira entre Avaliação e Registro Acadêmico na atividade #2.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Atividade #2 — Domínios e contextos delimitados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Classificação dos domínios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Domínio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Justificativa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Avaliação e qualificações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Core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Impacta diretamente a missão da escola; a regra de avaliação é própria da instituição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Conteúdo educacional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Core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 qualidade da entrega de aula é o que diferencia a experiência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Gerenciamento de usuários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Necessário para autenticação e vínculo, mas segue padrão do setor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Acesso dos pais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Alto valor institucional, sem diferencial competitivo técnico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Comunicação — fóruns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Sustenta engajamento; regras simples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Videoconferência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Serviço externo maduro (Zoom, Meet); não se constrói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Identidade e autenticação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Problema resolvido; usar provedor OIDC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Notificação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Serviço de mercado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Tabela DDD dos contextos delimitados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Contexto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Tipo de domínio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Justificativa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Linguagem ubíqua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GradesContext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Core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Impacta diretamente a missão da escola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Assessment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Rubric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Attempt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Weight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Standing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ContentContext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Core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Entrega de aula é o produto percebido pelo aluno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Resource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Version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Publication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Transcoding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AcademicRecordContext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Documento oficial com valor legal e regras próprias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Transcript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Minute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Entry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Certificate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UsersContext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Necessário para autenticação e vínculo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Enrollment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Role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Profile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Guardianship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GuardianContext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Acesso do responsável tem regra de consentimento própria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Guardian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Dependent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Consent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Visibility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ForumContext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Interação assíncrona por disciplina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Topic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Reply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Participant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VideoService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Serviço externo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Meeting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Join link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Recording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IdentityService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Provedor OIDC de terceiros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User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Session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Claim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NotificationService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Serviço externo de entrega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Channel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Template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Delivery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Mapa de contexto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874490"/>
            <wp:docPr id="100" name="Imagem 100" descr="Figura 1 — Contextos delimitados, tipo de domínio e contratos entre ele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Contextos delimitados, tipo de domínio e contratos entre eles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diagrama usa as convenções pedidas: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verde com borda grossa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core,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azul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supporting,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cinza tracejado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generic, e amarelo para atores externos. Cada seta traz o tipo de contrato.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3.4. Contratos entre contextos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Relação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Padrão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Por quê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IdentityService → UsersContext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OHS / Published Language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Contrato padronizado (OIDC), muitos consumidores, nenhum negocia formato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UsersContext → Grades / Forum / Guardian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Customer/Supplier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Todos dependem de matrícula e papel; fronteira negociada entre times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GradesContext → GuardianContext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Anticorruption Layer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responsável vê nota consolidada, nunca rascunho em correção. A ACL filtra e traduz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GradesContext → AcademicRecordContext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Event-driven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Lançamento em ata é fato consumado (RN2), assíncrono e auditável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ContentContext → VideoService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Conformist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Serviço externo dita o contrato; não vale construir camada de tradução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Grades / Forum → NotificationService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Conformist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Idem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3.5. A fronteira mais importante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separação entre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GradesContext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AcademicRecordContext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a decisão central, e é consequência direta da RN2 da atividade #1.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Os dois lidam com nota, mas com regras de mudança opostas: em Grades a nota é mutável por natureza — o professor corrige, o aluno recupera; em Record ela é imutável, porque o documento tem valor legal. Unir os dois obrigaria o mesmo agregado a ser simultaneamente editável e lacrado, produzindo flags de estado e regras condicionais espalhadas — o sintoma clássico de fronteira mal traçada.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mesmo raciocínio vale para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GuardianContext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responsável não é um "usuário com menos permissões", e sim um ator com regras próprias de consentimento e visibilidade. Modelá-lo como papel dentro de Users empurraria regra de tutela para dentro de um contexto que só deveria saber de autenticação.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laboratório deixa claro o encadeamento entre as duas atividades: a regra de negócio RN2, descoberta na análise de requisitos, é o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justifica tecnicamente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fronteira entre Grades e Record na modelagem. Sem a análise, essa separação pareceria complexidade desnecessária; com ela, unir os dois é que seria o erro.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lição arquitetural é que fronteira boa não vem de divisão técnica por camadas, e sim de divergência real no negócio — em vocabulário, em regra de mudança, ou em quem é o dono da decisão.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Evans, E.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Addison-Wesley.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Vernon, V.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Implementing 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Addison-Wesley — Context Mapping.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Khononov, V.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Learning 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O'Reilly — classificação de subdomínios.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Brandolini, A.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Strategic Domain Driven Design with Context Mapping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&lt;https://www.infoq.com/articles/ddd-contextmapping/&gt;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Wiegers, K.; Beatty, J.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Software Requirements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3ª ed. Microsoft Press — classificação de requisitos.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ISO/IEC 25010 — modelo de qualidade de produto de software.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7 — Análise de negócio e DDD.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