
<file path=[Content_Types].xml><?xml version="1.0" encoding="utf-8"?>
<Types xmlns="http://schemas.openxmlformats.org/package/2006/content-types">
  <Default ContentType="application/vnd.openxmlformats-officedocument.obfuscatedFont" Extension="odttf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>
  <w:body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  <w:jc w:val="center"/>
      </w:pPr>
      <w:r>
        <w:drawing>
          <wp:inline>
            <wp:extent cx="4343400" cy="1539240"/>
            <wp:docPr id="0" name="Drawing 0" descr="155835791-f7df-4fd2-aafc-02560f487bca.png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155835791-f7df-4fd2-aafc-02560f487bca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>Laboratório 7 - Programação 6</w:t>
      </w: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Arial MT Pro Bold" w:hAnsi="Arial MT Pro Bold" w:cs="Arial MT Pro Bold" w:eastAsia="Arial MT Pro Bold"/>
          <w:b/>
          <w:bCs/>
          <w:color w:val="000000"/>
          <w:sz w:val="23"/>
          <w:szCs w:val="23"/>
        </w:rPr>
        <w:t>Uso Acadêmico Exclusivo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Aluno: Djordan Gabriel Bezerra Moura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>Otimização de Banco de Dados e Uso Avançado do Redis no BattleTanks</w:t>
      </w: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 xml:space="preserve">
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1. Introdução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Este laboratório aplica técnicas de otimização de consulta com PostgreSQL e Entity Framework Core, e amplia o uso do Redis no projeto capstone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BattleTanks Multiplayer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com o objetivo de sustentar várias partidas simultâneas.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ponto de partida é o esquema que já existe na branch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LB-6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três entidades —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Jogador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GameSession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Pontuacao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mapeadas por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BattleTanksContext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um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RedisStateService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hoje guarda apenas estado efêmero de partida (paredes destruídas e os últimos 100 eventos).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premissa que orienta as decisões é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otimização sem medição é chute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Cada mudança proposta abaixo vem acompanhada da razão pela qual ela deve ajudar, e do comando que confirma se ajudou.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2. Diagnóstico do estado atual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2501174"/>
            <wp:docPr id="100" name="Imagem 100" descr="Figura 1 — Onde estão os custos hoje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0" name="Imagem 100"/>
                    <pic:cNvPicPr/>
                  </pic:nvPicPr>
                  <pic:blipFill>
                    <a:blip r:embed="rIdImg9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01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1 — Onde estão os custos hoje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OnModelCreating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atual declara apenas dois índices, ambos de unicidade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Jogador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966609"/>
            <wp:docPr id="101" name="Imagem 101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1" name="Imagem 101"/>
                    <pic:cNvPicPr/>
                  </pic:nvPicPr>
                  <pic:blipFill>
                    <a:blip r:embed="rIdImg90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66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São índices de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integridade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não de desempenho: existem para impedir e-mail duplicado, não para acelerar consulta. As consultas que realmente rodam com frequência não têm suporte de índice nenhum.</w:t>
      </w:r>
    </w:p>
    <w:p>
      <w:pPr>
        <w:pBdr>
          <w:bottom w:val="single" w:sz="6" w:space="1" w:color="CCCCCC"/>
        </w:pBdr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3. Atividade #1 — Otimização de consultas com PostgreSQL e EF Core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3.1. Criação de índices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consulta mais frequente da API é a listagem de salas disponíveis,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RoomEndpoints.cs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2116216"/>
            <wp:docPr id="102" name="Imagem 102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2" name="Imagem 102"/>
                    <pic:cNvPicPr/>
                  </pic:nvPicPr>
                  <pic:blipFill>
                    <a:blip r:embed="rIdImg90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1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Sem índice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Status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o PostgreSQL faz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sequential scan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lê a tabela inteira e descarta o que não interessa. Com poucas salas isso é irrelevante; com o histórico de partidas acumulando ao longo do semestre, o custo cresce linearmente enquanto o resultado útil permanece pequeno — o pior formato de consulta possível.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4445217"/>
            <wp:docPr id="103" name="Imagem 103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3" name="Imagem 103"/>
                    <pic:cNvPicPr/>
                  </pic:nvPicPr>
                  <pic:blipFill>
                    <a:blip r:embed="rIdImg90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45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ordem das colunas no índice composto não é acidental.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(PlayerId, DataRegistro)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serve para "as pontuações deste jogador, das mais recentes para as antigas". O inverso,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(DataRegistro, PlayerId)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não serviria: um índice só é aproveitado da esquerda para a direita, e a consulta filtra por jogador antes de ordenar por data.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Como confirmar que o índice está sendo usado: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1099022"/>
            <wp:docPr id="104" name="Imagem 104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4" name="Imagem 104"/>
                    <pic:cNvPicPr/>
                  </pic:nvPicPr>
                  <pic:blipFill>
                    <a:blip r:embed="rIdImg90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99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Antes do índice, o plano mostra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Seq Scan on GameSessions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Depois, deve mostrar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Index Scan using IX_GameSession_Status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Se continuar em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Seq Scan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com a tabela pequena, está correto: o planejador ignora o índice quando ler tudo é mais barato que consultar o índice — o ganho aparece com volume.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3.2. Consultas somente leitura com </w:t>
      </w:r>
      <w:r>
        <w:rPr>
          <w:rFonts w:ascii="Consolas" w:hAnsi="Consolas" w:cs="Consolas" w:eastAsia="Consolas"/>
          <w:b/>
          <w:bCs/>
          <w:color w:val="000000"/>
          <w:shd w:val="clear" w:fill="F2F2F2"/>
          <w:sz w:val="26"/>
          <w:szCs w:val="26"/>
        </w:rPr>
        <w:t xml:space="preserve">AsNoTracking()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Por padrão o EF Core cria um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snapshot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 cada entidade retornada, para detectar alterações no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SaveChanges()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Numa consulta que só exibe dados, esse trabalho é integralmente desperdiçado — custa memória e CPU para rastrear objetos que ninguém vai modificar.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3498938"/>
            <wp:docPr id="105" name="Imagem 105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5" name="Imagem 105"/>
                    <pic:cNvPicPr/>
                  </pic:nvPicPr>
                  <pic:blipFill>
                    <a:blip r:embed="rIdImg90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98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Vale registrar uma nuance que muita gente erra: quando a consulta já projeta para um DTO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Select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o EF Core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não rastreia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resultado, porque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RoomDto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não é entidade. Nesse caso específico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AsNoTracking()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redundante. Ele foi mantido por dois motivos: declara a intenção de leitura para quem lê o código, e protege a consulta caso alguém remova a projeção no futuro. Onde ele faz diferença real é em consultas que retornam a entidade: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1719449"/>
            <wp:docPr id="106" name="Imagem 106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6" name="Imagem 106"/>
                    <pic:cNvPicPr/>
                  </pic:nvPicPr>
                  <pic:blipFill>
                    <a:blip r:embed="rIdImg90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19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3.3. Paginação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ToListAsync()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sem limite traz a tabela inteira para a memória do processo. Numa tela de ranking, isso é carregar milhares de linhas para exibir dez.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2932928"/>
            <wp:docPr id="107" name="Imagem 107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7" name="Imagem 107"/>
                    <pic:cNvPicPr/>
                  </pic:nvPicPr>
                  <pic:blipFill>
                    <a:blip r:embed="rIdImg90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32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ThenBy(j =&gt; j.Id)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resolve um bug sutil: sem critério de desempate, dois jogadores com a mesma pontuação podem trocar de posição entre requisições, fazendo um deles aparecer duas vezes e outro sumir ao paginar. Ordenação de paginação precisa ser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total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não parcial.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3.4. Operações em massa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Atualizar mil registros com o padrão "carregar, alterar, salvar" gera mil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UPDATE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individuais, além do custo de materializar todas as entidades. O EF Core 7+ resolve isso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ExecuteUpdateAsync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ExecuteDeleteAsync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 traduzem para um único comando SQL sem carregar nada para a memória.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2073913"/>
            <wp:docPr id="108" name="Imagem 108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8" name="Imagem 108"/>
                    <pic:cNvPicPr/>
                  </pic:nvPicPr>
                  <pic:blipFill>
                    <a:blip r:embed="rIdImg90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73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Há um porém que precisa ser dito: essas operações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não passam pelo change tracker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Se houver entidade carregada em memória, ela fica desatualizada, e nenhum evento de domínio é disparado. São a ferramenta certa para manutenção em lote, e a errada para regra de negócio que dependa de eventos.</w:t>
      </w:r>
    </w:p>
    <w:p>
      <w:pPr>
        <w:pBdr>
          <w:bottom w:val="single" w:sz="6" w:space="1" w:color="CCCCCC"/>
        </w:pBdr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4. Atividade #2 — Integração Redis para cache distribuído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4.1. O que o Redis já faz, e o que falta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RedisStateService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LB-6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guarda estado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efêmero de partida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paredes destruídas num hash e os últimos 100 eventos numa lista,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LPUSH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+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LTRIM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Falta a ele o segundo papel que o laboratório pede: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cache de dados caros e gerenciamento de sessão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4.2. Cache do ranking global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ranking é o candidato óbvio: caro de calcular, consultado com frequência e tolerante a alguns segundos de defasagem.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5103704"/>
            <wp:docPr id="109" name="Imagem 109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9" name="Imagem 109"/>
                    <pic:cNvPicPr/>
                  </pic:nvPicPr>
                  <pic:blipFill>
                    <a:blip r:embed="rIdImg90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103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estratégia é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cache-aside com TTL curto e invalidação explícita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O TTL é a rede de segurança para o caso de a invalidação falhar; a invalidação é o que dá a sensação de resposta imediata quando a partida termina. Confiar apenas em um dos dois deixa o sistema ou lento para atualizar, ou permanentemente inconsistente.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4.3. Ranking com Sorted Set — a alternativa melhor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Serializar JSON no Redis funciona, mas desperdiça a estrutura de dados que resolve exatamente este problema. Um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Sorted Set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mantém o ranking ordenado no próprio Redis: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2004202"/>
            <wp:docPr id="110" name="Imagem 110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10" name="Imagem 110"/>
                    <pic:cNvPicPr/>
                  </pic:nvPicPr>
                  <pic:blipFill>
                    <a:blip r:embed="rIdImg9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04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última linha é o argumento decisivo. Responder "em que posição eu estou?" com SQL exige contar quantos jogadores têm pontuação maior — uma varredura. Com Sorted Set é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O(log N)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a resposta é imediata mesmo com muitos jogadores.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4.4. Gerenciamento de sessão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Guardar sessão em memória do processo impede escalar horizontalmente: com duas instâncias atrás de um balanceador, o jogador autenticado numa perde a sessão ao cair na outra. O Redis resolve por ser estado compartilhado e externo.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2982090"/>
            <wp:docPr id="111" name="Imagem 111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11" name="Imagem 111"/>
                    <pic:cNvPicPr/>
                  </pic:nvPicPr>
                  <pic:blipFill>
                    <a:blip r:embed="rIdImg9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8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4.5. Resumo das estruturas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25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Chave</w:t>
            </w:r>
          </w:p>
        </w:tc>
        <w:tc>
          <w:tcPr>
            <w:tcW w:w="125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Estrutura</w:t>
            </w:r>
          </w:p>
        </w:tc>
        <w:tc>
          <w:tcPr>
            <w:tcW w:w="125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Uso</w:t>
            </w:r>
          </w:p>
        </w:tc>
        <w:tc>
          <w:tcPr>
            <w:tcW w:w="125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Expiração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room:{id}:walls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Hash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Paredes destruídas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(já existe)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Ao encerrar a sala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room:{id}:events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List (LTRIM 0–99)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Últimos eventos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(já existe)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Ao encerrar a sala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ranking:zset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Sorted Set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Ranking global ordenado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Permanente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ranking:global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String (JSON)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Cache do top 10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2 min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sessao:{id}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Hash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Sessão do jogador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4 h, renovável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4.6. Jogadores conectados com Set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enunciado pede o armazenamento dos jogadores conectados a partir do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GameHub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A estrutura correta é 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Set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porque a propriedade que interessa é unicidade: o mesmo jogador não pode constar duas vezes, e a contagem precisa ser barata.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1983508"/>
            <wp:docPr id="112" name="Imagem 112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12" name="Imagem 112"/>
                    <pic:cNvPicPr/>
                  </pic:nvPicPr>
                  <pic:blipFill>
                    <a:blip r:embed="rIdImg9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83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SCARD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responde a contagem em tempo constante,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SADD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idempotente — chamar duas vezes com o mesmo jogador não duplica. Isso importa porque uma reconexão rápida pode disparar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JoinRoom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antes de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OnDisconnectedAsync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anterior ter rodado.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4.7. Sessão e revogação de token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enunciado pede validar a sessão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sem consultar o PostgreSQL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guardar tokens JWT expirados no Redis. O ponto sutil é que um JWT é autocontido e válido até expirar — não existe "apagar" um JWT. A forma de revogá-lo antes do prazo é manter uma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lista de negação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consultada a cada requisição.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2608000"/>
            <wp:docPr id="113" name="Imagem 113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13" name="Imagem 113"/>
                    <pic:cNvPicPr/>
                  </pic:nvPicPr>
                  <pic:blipFill>
                    <a:blip r:embed="rIdImg9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Casar o TTL da chave com o tempo restante do token é a decisão que torna isso sustentável. Sem ela, a lista de negação cresceria para sempre guardando tokens que já expiraram e não poderiam ser usados de qualquer forma.</w:t>
      </w:r>
    </w:p>
    <w:p>
      <w:pPr>
        <w:pBdr>
          <w:bottom w:val="single" w:sz="6" w:space="1" w:color="CCCCCC"/>
        </w:pBdr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5. Atividade #3 — Design do banco para escalabilidade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5.1. Sharding por região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enunciado sugere fragmentar por região, e faz sentido no contexto de um jogo: a partida é uma interação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local entre poucos jogadores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ninguém joga com quem está do outro lado do mundo por causa da latência. Isso significa que a fronteira natural de fragmentação já existe no domínio.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4606635"/>
            <wp:docPr id="114" name="Imagem 114" descr="Figura 2 — Sharding por região, com ranking centralizado no Redis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14" name="Imagem 114"/>
                    <pic:cNvPicPr/>
                  </pic:nvPicPr>
                  <pic:blipFill>
                    <a:blip r:embed="rIdImg9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0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2 — Sharding por região, com ranking centralizado no Redis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chave de fragmentação seria a região do jogador, e o dado de partida ficaria no shard onde a partida aconteceu. Duas consequências precisam ser declaradas: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 que fica fácil.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Consultas de partida, histórico e estatística de um jogador ficam inteiramente dentro de um shard. Nenhuma consulta distribuída, nenhuma transação distribuída.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 que quebra.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ranking global. Ordenar todos os jogadores exigiria consultar cada shard, trazer resultados parciais e mesclar — e o resultado seria uma foto de instantes diferentes, com paginação incorreta. A solução adotada no desenho acima é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não fazer ranking global no banco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cada shard publica a pontuação consolidada num Sorted Set do Redis, que é central e ordenado por natureza.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Vale a honestidade sobre o escopo: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 Battle Tanks não precisa de sharding hoje.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Alguns milhares de jogadores não saturam uma instância PostgreSQL bem indexada. O que o projeto precisa de fato é do particionamento por data, discutido na tarefa 7.4, que ataca o problema real — crescimento do histórico. Sharding entra no relatório como projeto para escala futura, como o enunciado pede, e não como necessidade atual.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5.2. Réplicas de leitura com replicação em streaming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Réplicas resolvem um problema mais imediato que o sharding: distribuir 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carga de leitura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sem multiplicar a de escrita.</w:t>
      </w:r>
    </w:p>
    <w:tbl>
      <w:tblPr>
        <w:tblW w:w="5000" w:type="pct"/>
        <w:tblBorders>
          <w:top w:val="single" w:sz="4" w:space="0" w:color="D8DEE4"/>
          <w:left w:val="single" w:sz="4" w:space="0" w:color="D8DEE4"/>
          <w:bottom w:val="single" w:sz="4" w:space="0" w:color="D8DEE4"/>
          <w:right w:val="single" w:sz="4" w:space="0" w:color="D8DEE4"/>
        </w:tblBorders>
        <w:tblCellMar>
          <w:top w:w="80" w:type="dxa"/>
          <w:left w:w="140" w:type="dxa"/>
          <w:bottom w:w="80" w:type="dxa"/>
          <w:right w:w="140" w:type="dxa"/>
        </w:tblCellMar>
      </w:tblPr>
      <w:tr>
        <w:tc>
          <w:tcPr>
            <w:tcW w:w="5000" w:type="pct"/>
            <w:shd w:val="clear" w:fill="F6F8FA"/>
          </w:tcPr>
          <w:p>
            <w:pPr>
              <w:spacing w:after="0" w:before="4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                escrita                    leitura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   API ────────────────► PRIMARIO ═══════► REPLICA 1 ──► ranking, historico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                            ║   (WAL)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                            ╚═══════════► REPLICA 2 ──► relatorios</w:t>
            </w:r>
          </w:p>
        </w:tc>
      </w:tr>
    </w:tbl>
    <w:p>
      <w:pPr>
        <w:spacing w:after="6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Configuração no primário (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postgresql.conf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):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4953000" cy="2762250"/>
            <wp:docPr id="115" name="Imagem 115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15" name="Imagem 115"/>
                    <pic:cNvPicPr/>
                  </pic:nvPicPr>
                  <pic:blipFill>
                    <a:blip r:embed="rIdImg915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 a réplica é criada a partir de um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pg_basebackup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seguindo o WAL do primário continuamente.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No lado da aplicação, a separação é por string de conexão: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1879457"/>
            <wp:docPr id="116" name="Imagem 116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16" name="Imagem 116"/>
                    <pic:cNvPicPr/>
                  </pic:nvPicPr>
                  <pic:blipFill>
                    <a:blip r:embed="rIdImg9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79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NoTracking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fixado no contexto de leitura não é só otimização: é uma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declaração de intenção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Ele não bloqueia a escrita por si — quem chamar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Add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SaveChanges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ainda tenta gravar — mas remove o caminho acidental, o de carregar uma entidade, alterá-la e salvar sem perceber. A barreira de verdade é a própria réplica, que é somente leitura e devolve erro em tempo de execução.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trade-off a declarar é 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atraso de replicação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A réplica fica milissegundos ou segundos atrás do primário. Para ranking e histórico isso é irrelevante. Para a tela que o jogador vê logo após terminar a partida, não é — ali a leitura precisa ir ao primário, ou ele acha que a pontuação não foi contada.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5.3. Connection pooling com Npgsql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Abrir conexão com PostgreSQL é caro: envolve handshake TCP, autenticação e alocação de um processo no servidor. Num jogo com muitas requisições curtas, o custo de abrir a conexão supera o da consulta.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Npgsql mantém pool por padrão, mas os valores default raramente servem:</w:t>
      </w:r>
    </w:p>
    <w:tbl>
      <w:tblPr>
        <w:tblW w:w="5000" w:type="pct"/>
        <w:tblBorders>
          <w:top w:val="single" w:sz="4" w:space="0" w:color="D8DEE4"/>
          <w:left w:val="single" w:sz="4" w:space="0" w:color="D8DEE4"/>
          <w:bottom w:val="single" w:sz="4" w:space="0" w:color="D8DEE4"/>
          <w:right w:val="single" w:sz="4" w:space="0" w:color="D8DEE4"/>
        </w:tblBorders>
        <w:tblCellMar>
          <w:top w:w="80" w:type="dxa"/>
          <w:left w:w="140" w:type="dxa"/>
          <w:bottom w:w="80" w:type="dxa"/>
          <w:right w:w="140" w:type="dxa"/>
        </w:tblCellMar>
      </w:tblPr>
      <w:tr>
        <w:tc>
          <w:tcPr>
            <w:tcW w:w="5000" w:type="pct"/>
            <w:shd w:val="clear" w:fill="F6F8FA"/>
          </w:tcPr>
          <w:p>
            <w:pPr>
              <w:spacing w:after="0" w:before="4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Host=localhost;Database=battletanks;Username=app;Password=***;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Minimum Pool Size=5;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Maximum Pool Size=50;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Connection Idle Lifetime=300;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Timeout=15;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Command Timeout=30;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Max Auto Prepare=20</w:t>
            </w:r>
          </w:p>
        </w:tc>
      </w:tr>
    </w:tbl>
    <w:p>
      <w:pPr>
        <w:spacing w:after="60" w:before="0" w:line="276" w:lineRule="auto"/>
        <w:ind w:firstLine="0" w:start="0"/>
        <w:jc w:val="start"/>
      </w:pP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Parâmetro</w:t>
            </w:r>
          </w:p>
        </w:tc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Por quê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Minimum Pool Size=5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Evita o custo de abrir conexão no primeiro acesso após ociosidade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Maximum Pool Size=50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Teto. Precisa ser menor que o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max_connections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do servidor dividido pelo número de instâncias da API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Connection Idle Lifetime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Devolve ao servidor conexões paradas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Timeout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Falha rápido quando o pool esgota, em vez de acumular requisições esperando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Max Auto Prepare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Prepara automaticamente as consultas mais repetidas, economizando o replanejamento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erro clássico aqui é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dimensionar o pool grande demais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Cada conexão consome um processo no PostgreSQL; um pool de 200 conexões por instância, com três instâncias, esgota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max_connections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padrão e derruba o banco. Pool menor com fila costuma dar mais vazão do que pool grande com o servidor sobrecarregado. Acima de certo ponto, um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pooler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externo como o PgBouncer é o caminho.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5.4. Benchmarking de carga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enunciado marca esta parte como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opcional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ela ficou fora do escopo desta entrega. Fica registrado o caminho para quando for feita: simular mais de 100 conexões simultâneas com k6 ou JMeter, medir o tempo de resposta do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/api/rooms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do ranking sob carga crescente, e plotar carga contra tempo de resposta para localizar o joelho da curva.</w:t>
      </w:r>
    </w:p>
    <w:p>
      <w:pPr>
        <w:pBdr>
          <w:bottom w:val="single" w:sz="6" w:space="1" w:color="CCCCCC"/>
        </w:pBdr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6. Como validar os ganhos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O que medir</w:t>
            </w:r>
          </w:p>
        </w:tc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Como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Uso de índice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EXPLAIN ANALYZE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antes e depois — procurar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Index Scan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no lugar de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Seq Scan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Consultas geradas pelo EF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Ativar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LogTo(Console.WriteLine)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e conferir o SQL emitido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Consulta N+1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Contar comandos no log: uma tela que emite dezenas de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SELECT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tem N+1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Latência do endpoint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curl -w "%{time_total}"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no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/api/rooms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e no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/api/ranking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Acerto do cache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INFO stats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no Redis: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keyspace_hits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contra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keyspace_misses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6.1. Medições feitas com PostgreSQL e Redis reais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migration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AddPerformanceIndexes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foi gerada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dotnet ef migrations add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aplicada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dotnet ef database update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ambos sem erro. As medições abaixo rodaram sobre essa migration,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GameSessions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populada com 50 mil linhas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Jogadores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com 20 mil, para que o volume seja grande o bastante para o planejador do PostgreSQL preferir o índice — com poucas linhas ele prefere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seq scan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como já registrado na seção 3.1.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Índice de `GameSession.Status`.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EXPLAIN ANALYZE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na mesma consulta, com e sem o índice disponível:</w:t>
      </w:r>
    </w:p>
    <w:tbl>
      <w:tblPr>
        <w:tblW w:w="5000" w:type="pct"/>
        <w:tblBorders>
          <w:top w:val="single" w:sz="4" w:space="0" w:color="D8DEE4"/>
          <w:left w:val="single" w:sz="4" w:space="0" w:color="D8DEE4"/>
          <w:bottom w:val="single" w:sz="4" w:space="0" w:color="D8DEE4"/>
          <w:right w:val="single" w:sz="4" w:space="0" w:color="D8DEE4"/>
        </w:tblBorders>
        <w:tblCellMar>
          <w:top w:w="80" w:type="dxa"/>
          <w:left w:w="140" w:type="dxa"/>
          <w:bottom w:w="80" w:type="dxa"/>
          <w:right w:w="140" w:type="dxa"/>
        </w:tblCellMar>
      </w:tblPr>
      <w:tr>
        <w:tc>
          <w:tcPr>
            <w:tcW w:w="5000" w:type="pct"/>
            <w:shd w:val="clear" w:fill="F6F8FA"/>
          </w:tcPr>
          <w:p>
            <w:pPr>
              <w:spacing w:after="0" w:before="4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Sem indice: Seq Scan on "GameSessions"     — Execution Time: 4.895 ms (49900 linhas descartadas)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Com indice: Index Scan using IX_GameSession_Status — Execution Time: 0.482 ms</w:t>
            </w:r>
          </w:p>
        </w:tc>
      </w:tr>
    </w:tbl>
    <w:p>
      <w:pPr>
        <w:spacing w:after="6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Confirma a previsão da seção 3.1: troca de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Seq Scan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por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Index Scan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~10x mais rápido.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`AsNoTracking()` na consulta de ranking.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Carregando as 20 mil linhas de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Jogadores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(cenário ampliado para tornar o custo do change tracker visível — o endpoint real usa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Take(10)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ou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Take(20)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onde a diferença absoluta é pequena demais para medir):</w:t>
      </w:r>
    </w:p>
    <w:tbl>
      <w:tblPr>
        <w:tblW w:w="5000" w:type="pct"/>
        <w:tblBorders>
          <w:top w:val="single" w:sz="4" w:space="0" w:color="D8DEE4"/>
          <w:left w:val="single" w:sz="4" w:space="0" w:color="D8DEE4"/>
          <w:bottom w:val="single" w:sz="4" w:space="0" w:color="D8DEE4"/>
          <w:right w:val="single" w:sz="4" w:space="0" w:color="D8DEE4"/>
        </w:tblBorders>
        <w:tblCellMar>
          <w:top w:w="80" w:type="dxa"/>
          <w:left w:w="140" w:type="dxa"/>
          <w:bottom w:w="80" w:type="dxa"/>
          <w:right w:w="140" w:type="dxa"/>
        </w:tblCellMar>
      </w:tblPr>
      <w:tr>
        <w:tc>
          <w:tcPr>
            <w:tcW w:w="5000" w:type="pct"/>
            <w:shd w:val="clear" w:fill="F6F8FA"/>
          </w:tcPr>
          <w:p>
            <w:pPr>
              <w:spacing w:after="0" w:before="4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Com tracking (padrao):  247 ms | 18.040 KB alocados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Com AsNoTracking():     121 ms |  9.097 KB alocados</w:t>
            </w:r>
          </w:p>
        </w:tc>
      </w:tr>
    </w:tbl>
    <w:p>
      <w:pPr>
        <w:spacing w:after="6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Aproximadamente metade do tempo e da memória, confirmando a seção 3.2.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Cache do ranking (Redis).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ObterTop10Async()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chamado duas vezes seguidas:</w:t>
      </w:r>
    </w:p>
    <w:tbl>
      <w:tblPr>
        <w:tblW w:w="5000" w:type="pct"/>
        <w:tblBorders>
          <w:top w:val="single" w:sz="4" w:space="0" w:color="D8DEE4"/>
          <w:left w:val="single" w:sz="4" w:space="0" w:color="D8DEE4"/>
          <w:bottom w:val="single" w:sz="4" w:space="0" w:color="D8DEE4"/>
          <w:right w:val="single" w:sz="4" w:space="0" w:color="D8DEE4"/>
        </w:tblBorders>
        <w:tblCellMar>
          <w:top w:w="80" w:type="dxa"/>
          <w:left w:w="140" w:type="dxa"/>
          <w:bottom w:w="80" w:type="dxa"/>
          <w:right w:w="140" w:type="dxa"/>
        </w:tblCellMar>
      </w:tblPr>
      <w:tr>
        <w:tc>
          <w:tcPr>
            <w:tcW w:w="5000" w:type="pct"/>
            <w:shd w:val="clear" w:fill="F6F8FA"/>
          </w:tcPr>
          <w:p>
            <w:pPr>
              <w:spacing w:after="0" w:before="4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1a chamada (reconstroi do banco): 797 ms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2a chamada (cache hit):             5 ms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TTL da chave logo apos gravar:  119,988 s (config: 120 s)</w:t>
            </w:r>
          </w:p>
        </w:tc>
      </w:tr>
    </w:tbl>
    <w:p>
      <w:pPr>
        <w:spacing w:after="6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Sorted Set e revogação de JWT.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Testados com três jogadores de pontuações distintas: a posição via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ZREVRANK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bateu com a ordem esperada (1ª, 2ª, 3ª) e um jogador sem pontuação retornou posição nula, como a seção 4.3 previa. A revogação de token (seção 4.7) foi testada com um TTL curto de 3s: o token aparece como revogado imediatamente após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RevogarTokenAsync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deixa de aparecer como revogado assim que o TTL expira — a chave some sozinha, sem acumular. Um token já expirado no momento da revogação não chega a gravar chave no Redis.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Paginação.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Consultada a página 1 (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OFFSET 0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) e a página 2 (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OFFSET 20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) da mesma ordenação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PontuacaoTotal DESC, Id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interseção de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Id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entre as duas páginas é zero, ou seja, o desempate por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Id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da seção 3.3 realmente elimina a duplicação/omissão de jogadores.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6.2. Bugs encontrados ao testar de verdade (e já corrigidos na branch)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Testar contra Postgres e Redis reais — em vez de só ler o código — expôs dois problemas que a leitura não pegaria: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 réplica de leitura nunca subia.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docker-compose.yml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da seção 5.2 tinha três defeitos empilhados, todos silenciosos até alguém rodar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docker compose up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 verdade: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1.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bloco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command: &gt; bash -c "..."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um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scalar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YAML dobrado; a linha de continuação do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pg_basebackup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(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-D /var/lib/postgresql/data ...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) ficava indentada demais e o YAML a    preservava como uma linha separada, virando um comando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-D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inexistente no bash.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2.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pg_hba.conf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gerado pelo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initdb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libera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host all all all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mas isso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não cobre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 pseudo-database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replication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faltava uma entrada dedicada, e a réplica era rejeitada com   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no pg_hba.conf entry for replication connection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3.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Depois de corrigir os dois itens acima, o processo final (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exec postgres ...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) ainda falhava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"root" execution ... is not permitted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bash -c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command: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roda como root e pula    a troca de usuário que o entrypoint oficial da imagem faz sozinho — precisa de   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exec gosu postgres postgres ...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explícito. E como o script inteiro passou a rodar como    root, os arquivos do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pg_basebackup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ficavam com dono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root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; faltava um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chown -R postgres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  antes do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gosu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assumir.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Com as três correções, a réplica sobe,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pg_stat_replication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no primário mostra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state = streaming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um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INSERT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no primário aparece na réplica em menos de um segundo, e um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INSERT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direto na réplica falha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cannot execute INSERT in a read-only transaction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o comportamento que a seção 5.2 descrevia, agora confirmado rodando.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`jogadores:online` só encolhia com desconexão educada.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GameHub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(seção 4.6) nunca sobrescrevia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OnDisconnectedAsync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o Set só perdia um jogador quando o cliente chamava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LeaveRoom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explicitamente. Queda de conexão, aba fechada ou crash do app — o caminho mais comum de desconexão numa partida — deixavam o jogador para sempre no Set, inflando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SCARD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com o tempo. A correção mapeia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ConnectionId → (RoomId, PlayerId)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no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JoinRoom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usa esse mapa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OnDisconnectedAsync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para repetir a mesma limpeza que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LeaveRoom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já fazia.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Um terceiro ponto ficou identificado mas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não corrigido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por estar fora do escopo do que foi testado agora: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RevogarTokenAsync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/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TokenRevogadoAsync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(seção 4.7) funcionam corretamente isolados, mas nenhum endpoint de logout chama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RevogarTokenAsync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nada no pipeline de autenticação consulta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TokenRevogadoAsync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hoje a revogação existe como código morto, sem efeito sobre requisições reais.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7. Conclusões sobre o progresso do capstone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código desta análise está aplicado na branch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lab7-djordan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do repositório do grupo.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laboratório 6 resolveu a comunicação; este ataca o que a sustenta. São problemas de natureza diferente: lá o gargalo era latência de entrega, aqui é custo de consulta — e custo de consulta só aparece com volume, o que o torna invisível em desenvolvimento e visível em apresentação.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Três lições ficam registradas para o projeto final. A primeira é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índice não é otimização genérica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cada um dos quatro propostos existe por causa de uma consulta específica que roda no código, e índice sem consulta correspondente só encarece a escrita. A segunda é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cache exige política de invalidação desde o primeiro dia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TTL sozinho produz dados velhos, invalidação sozinha falha em silêncio. A terceira é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 escolha da estrutura de dados vale mais que a escolha da tecnologia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trocar JSON serializado por Sorted Set no mesmo Redis transforma a consulta de posição no ranking de varredura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O(log N)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Uma quarta lição veio de fora da análise de banco: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rodar é diferente de ler.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docker-compose.yml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da réplica de leitura parecia correto na leitura — três defeitos diferentes (YAML,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pg_hba.conf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usuário do processo) só apareceram ao executar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docker compose up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 verdade, e o mesmo vale para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OnDisconnectedAsync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faltava no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GameHub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Os ganhos de índice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AsNoTracking()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deixaram de ser previsão fundamentada: a seção 6.1 traz os números medidos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EXPLAIN ANALYZE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um comparativo de tempo/alocação sobre PostgreSQL e Redis reais, e a seção 6.2 documenta os dois bugs que a execução expôs e que já foram corrigidos na branch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lab7-djordan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8. Referências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Microsoft.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EF Core — Índices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&lt;https://learn.microsoft.com/ef/core/modeling/indexes&gt;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Microsoft.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EF Core — Tracking vs. No-Tracking Queries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&lt;https://learn.microsoft.com/ef/core/querying/tracking&gt;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Microsoft.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EF Core — ExecuteUpdate e ExecuteDelete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&lt;https://learn.microsoft.com/ef/core/saving/execute-insert-update-delete&gt;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PostgreSQL.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Using EXPLAIN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&lt;https://www.postgresql.org/docs/current/using-explain.html&gt;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Redis.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Sorted Sets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&lt;https://redis.io/docs/latest/develop/data-types/sorted-sets/&gt;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Redis.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Client-side caching e estratégias de cache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&lt;https://redis.io/docs/latest/develop/reference/client-side-caching/&gt;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Repositório do grupo, branch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LB-6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esquema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RedisStateService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 partida.</w:t>
      </w:r>
    </w:p>
    <w:sectPr>
      <w:pgSz w:w="11910" w:h="1684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rimo Bold">
    <w:panose1 w:val="020B0704020202020204"/>
    <w:charset w:characterSet="1"/>
    <w:embedBold r:id="rId1"/>
  </w:font>
  <w:font w:name="Arimo Italics">
    <w:panose1 w:val="020B0604020202090204"/>
    <w:charset w:characterSet="1"/>
    <w:embedItalic r:id="rId2"/>
  </w:font>
  <w:font w:name="Arimo">
    <w:panose1 w:val="020B0604020202020204"/>
    <w:charset w:characterSet="1"/>
    <w:embedRegular r:id="rId3"/>
  </w:font>
  <w:font w:name="Arimo Bold Italics">
    <w:panose1 w:val="020B0704020202090204"/>
    <w:charset w:characterSet="1"/>
    <w:embedBoldItalic r:id="rId4"/>
  </w:font>
  <w:font w:name="Open Sans Bold">
    <w:panose1 w:val="020B0806030504020204"/>
    <w:charset w:characterSet="1"/>
    <w:embedBold r:id="rId5"/>
  </w:font>
  <w:font w:name="Open Sans Italics">
    <w:panose1 w:val="020B0606030504020204"/>
    <w:charset w:characterSet="1"/>
    <w:embedItalic r:id="rId6"/>
  </w:font>
  <w:font w:name="Open Sans">
    <w:panose1 w:val="020B0606030504020204"/>
    <w:charset w:characterSet="1"/>
    <w:embedRegular r:id="rId7"/>
  </w:font>
  <w:font w:name="Open Sans Bold Italics">
    <w:panose1 w:val="020B0806030504020204"/>
    <w:charset w:characterSet="1"/>
    <w:embedBoldItalic r:id="rId8"/>
  </w:font>
  <w:font w:name="Open Sans Light Italics">
    <w:panose1 w:val="020B0306030504020204"/>
    <w:charset w:characterSet="1"/>
    <w:embedItalic r:id="rId9"/>
  </w:font>
  <w:font w:name="Open Sans Light">
    <w:panose1 w:val="020B0306030504020204"/>
    <w:charset w:characterSet="1"/>
    <w:embedRegular r:id="rId10"/>
  </w:font>
  <w:font w:name="Open Sans Ultra-Bold">
    <w:panose1 w:val="00000000000000000000"/>
    <w:charset w:characterSet="1"/>
    <w:embedBold r:id="rId11"/>
  </w:font>
  <w:font w:name="Open Sans Ultra-Bold Italics">
    <w:panose1 w:val="00000000000000000000"/>
    <w:charset w:characterSet="1"/>
    <w:embedBoldItalic r:id="rId12"/>
  </w:font>
  <w:font w:name="Roboto Bold">
    <w:panose1 w:val="02000000000000000000"/>
    <w:charset w:characterSet="1"/>
    <w:embedBold r:id="rId13"/>
  </w:font>
  <w:font w:name="Arial MT Pro Bold">
    <w:panose1 w:val="020B0802020202020204"/>
    <w:charset w:characterSet="1"/>
  </w:font>
</w:fonts>
</file>

<file path=word/settings.xml><?xml version="1.0" encoding="utf-8"?>
<w:settings xmlns:w="http://schemas.openxmlformats.org/wordprocessingml/2006/main">
  <w:embedTrueTypeFonts/>
  <w:doNotShadeFormData/>
  <w:compat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fontTable.xml" Type="http://schemas.openxmlformats.org/officeDocument/2006/relationships/fontTable"/><Relationship Id="rId3" Target="media/image1.png" Type="http://schemas.openxmlformats.org/officeDocument/2006/relationships/image"/><Relationship Id="rIdImg900" Target="media/relatorio1.png" Type="http://schemas.openxmlformats.org/officeDocument/2006/relationships/image"/><Relationship Id="rIdImg901" Target="media/relatorio2.png" Type="http://schemas.openxmlformats.org/officeDocument/2006/relationships/image"/><Relationship Id="rIdImg902" Target="media/relatorio3.png" Type="http://schemas.openxmlformats.org/officeDocument/2006/relationships/image"/><Relationship Id="rIdImg903" Target="media/relatorio4.png" Type="http://schemas.openxmlformats.org/officeDocument/2006/relationships/image"/><Relationship Id="rIdImg904" Target="media/relatorio5.png" Type="http://schemas.openxmlformats.org/officeDocument/2006/relationships/image"/><Relationship Id="rIdImg905" Target="media/relatorio6.png" Type="http://schemas.openxmlformats.org/officeDocument/2006/relationships/image"/><Relationship Id="rIdImg906" Target="media/relatorio7.png" Type="http://schemas.openxmlformats.org/officeDocument/2006/relationships/image"/><Relationship Id="rIdImg907" Target="media/relatorio8.png" Type="http://schemas.openxmlformats.org/officeDocument/2006/relationships/image"/><Relationship Id="rIdImg908" Target="media/relatorio9.png" Type="http://schemas.openxmlformats.org/officeDocument/2006/relationships/image"/><Relationship Id="rIdImg909" Target="media/relatorio10.png" Type="http://schemas.openxmlformats.org/officeDocument/2006/relationships/image"/><Relationship Id="rIdImg910" Target="media/relatorio11.png" Type="http://schemas.openxmlformats.org/officeDocument/2006/relationships/image"/><Relationship Id="rIdImg911" Target="media/relatorio12.png" Type="http://schemas.openxmlformats.org/officeDocument/2006/relationships/image"/><Relationship Id="rIdImg912" Target="media/relatorio13.png" Type="http://schemas.openxmlformats.org/officeDocument/2006/relationships/image"/><Relationship Id="rIdImg913" Target="media/relatorio14.png" Type="http://schemas.openxmlformats.org/officeDocument/2006/relationships/image"/><Relationship Id="rIdImg914" Target="media/relatorio15.png" Type="http://schemas.openxmlformats.org/officeDocument/2006/relationships/image"/><Relationship Id="rIdImg915" Target="media/relatorio16.png" Type="http://schemas.openxmlformats.org/officeDocument/2006/relationships/image"/><Relationship Id="rIdImg916" Target="media/relatorio17.png" Type="http://schemas.openxmlformats.org/officeDocument/2006/relationships/image"/></Relationships>
</file>

<file path=word/_rels/fontTable.xml.rels><?xml version="1.0" encoding="UTF-8" standalone="yes"?><Relationships xmlns="http://schemas.openxmlformats.org/package/2006/relationships"><Relationship Id="rId1" Target="fonts/font1.odttf" Type="http://schemas.openxmlformats.org/officeDocument/2006/relationships/font"/><Relationship Id="rId10" Target="fonts/font10.odttf" Type="http://schemas.openxmlformats.org/officeDocument/2006/relationships/font"/><Relationship Id="rId11" Target="fonts/font11.odttf" Type="http://schemas.openxmlformats.org/officeDocument/2006/relationships/font"/><Relationship Id="rId12" Target="fonts/font12.odttf" Type="http://schemas.openxmlformats.org/officeDocument/2006/relationships/font"/><Relationship Id="rId13" Target="fonts/font13.odttf" Type="http://schemas.openxmlformats.org/officeDocument/2006/relationships/font"/><Relationship Id="rId2" Target="fonts/font2.odttf" Type="http://schemas.openxmlformats.org/officeDocument/2006/relationships/font"/><Relationship Id="rId3" Target="fonts/font3.odttf" Type="http://schemas.openxmlformats.org/officeDocument/2006/relationships/font"/><Relationship Id="rId4" Target="fonts/font4.odttf" Type="http://schemas.openxmlformats.org/officeDocument/2006/relationships/font"/><Relationship Id="rId5" Target="fonts/font5.odttf" Type="http://schemas.openxmlformats.org/officeDocument/2006/relationships/font"/><Relationship Id="rId6" Target="fonts/font6.odttf" Type="http://schemas.openxmlformats.org/officeDocument/2006/relationships/font"/><Relationship Id="rId7" Target="fonts/font7.odttf" Type="http://schemas.openxmlformats.org/officeDocument/2006/relationships/font"/><Relationship Id="rId8" Target="fonts/font8.odttf" Type="http://schemas.openxmlformats.org/officeDocument/2006/relationships/font"/><Relationship Id="rId9" Target="fonts/font9.odttf" Type="http://schemas.openxmlformats.org/officeDocument/2006/relationships/font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2026-08-16T22:29:54Z</dcterms:created>
  <dc:creator>Apache POI</dc:creator>
  <dc:title>Cópia de Tarefa 5.4 - IoT</dc:title>
</cp:coreProperties>
</file>