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tif" ContentType="image/tif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Structures organiques</w:t>
      </w:r>
    </w:p>
    <w:p>
      <w:pPr>
        <w:pStyle w:val="Normal"/>
        <w:spacing w:before="0" w:after="0"/>
        <w:rPr>
          <w:rStyle w:val="Strong"/>
          <w:rFonts w:ascii="Times New Roman" w:hAnsi="Times New Roman" w:cs="Times New Roman"/>
          <w:sz w:val="24"/>
          <w:szCs w:val="24"/>
        </w:rPr>
      </w:pPr>
      <w:r>
        <w:rPr>
          <w:rFonts w:cs="Times New Roman" w:ascii="Times New Roman" w:hAnsi="Times New Roman"/>
          <w:sz w:val="24"/>
          <w:szCs w:val="24"/>
        </w:rPr>
        <w:t>Fichiers extraits du CCDC (</w:t>
      </w:r>
      <w:r>
        <w:rPr>
          <w:rStyle w:val="Strong"/>
          <w:rFonts w:cs="Times New Roman" w:ascii="Times New Roman" w:hAnsi="Times New Roman"/>
          <w:sz w:val="24"/>
          <w:szCs w:val="24"/>
        </w:rPr>
        <w:t>The Cambridge Crystallographic Data Centre)</w:t>
      </w:r>
    </w:p>
    <w:p>
      <w:pPr>
        <w:pStyle w:val="Normal"/>
        <w:spacing w:before="0" w:after="0"/>
        <w:rPr>
          <w:rFonts w:ascii="Times New Roman" w:hAnsi="Times New Roman" w:cs="Times New Roman"/>
          <w:sz w:val="24"/>
          <w:szCs w:val="24"/>
        </w:rPr>
      </w:pPr>
      <w:hyperlink r:id="rId2">
        <w:r>
          <w:rPr>
            <w:rStyle w:val="LienInternet"/>
            <w:rFonts w:cs="Times New Roman" w:ascii="Times New Roman" w:hAnsi="Times New Roman"/>
            <w:sz w:val="24"/>
            <w:szCs w:val="24"/>
          </w:rPr>
          <w:t>https://www.ccdc.cam.ac.uk/</w:t>
        </w:r>
      </w:hyperlink>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QABTOD01 tertbinafine (utilisée dans le traitement des mycoses des ongles)</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DAWGOX aspartame (édulcorant)</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STARAC08 acide stéarique (fusion 69 °C)</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LINOLA acide linoléique (fusion - 9 °C, oméga 6)</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FUMAAC01 acide fumarique (fusion 287 °C)</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MALIAC13 acide maléique (fusion 131 °C)</w:t>
      </w:r>
    </w:p>
    <w:p>
      <w:pPr>
        <w:pStyle w:val="ListParagraph"/>
        <w:numPr>
          <w:ilvl w:val="0"/>
          <w:numId w:val="2"/>
        </w:numPr>
        <w:spacing w:before="0" w:after="0"/>
        <w:contextualSpacing/>
        <w:rPr>
          <w:rFonts w:ascii="Times New Roman" w:hAnsi="Times New Roman" w:cs="Times New Roman"/>
          <w:sz w:val="24"/>
          <w:szCs w:val="24"/>
        </w:rPr>
      </w:pPr>
      <w:r>
        <w:rPr>
          <w:rFonts w:cs="Times New Roman" w:ascii="Times New Roman" w:hAnsi="Times New Roman"/>
          <w:sz w:val="24"/>
          <w:szCs w:val="24"/>
        </w:rPr>
        <w:t xml:space="preserve">DIBMEG modèle complexe guanine-cytosine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Ecrire la formule semi-développée des molécules étudiées par diffraction des RX</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Dans la structure a. : mesurer les longueurs de liaison C-H, C-C, C=C simple, C=C aromatique, C</w:t>
      </w:r>
      <w:r>
        <w:rPr>
          <w:rFonts w:cs="Times New Roman" w:ascii="Times New Roman" w:hAnsi="Times New Roman"/>
          <w:position w:val="-6"/>
          <w:sz w:val="28"/>
          <w:szCs w:val="28"/>
          <w:u w:val="single"/>
        </w:rPr>
        <w:t>=</w:t>
      </w:r>
      <w:r>
        <w:rPr>
          <w:rFonts w:cs="Times New Roman" w:ascii="Times New Roman" w:hAnsi="Times New Roman"/>
          <w:sz w:val="24"/>
          <w:szCs w:val="24"/>
        </w:rPr>
        <w:t xml:space="preserve">C. Mesurer les angles entre les liaisons autour du carbone dans chaque cas. </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Dans la structure b. décrire les caractéristiques géométriques autour de la liaison peptidique (fonction amide).</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Dans les molécules c. et d. décrire la conformation privilégiée de la chaine carbonée. Dans le solide, identifier les interactions entre molécules. Relier ces observations et les connaissances que vous avez sur les micelles.</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Quelles sont les géométries des molécules e. et f. ? Rechercher les liaisons hydrogène dans le solide et donner leurs caractéristiques géométriques. Comparer le point de fusion de ces deux acides. Conclure.</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Identifier les liaisons hydrogène dans g et donner leurs caractéristiques géométriques. Conclure. Dans quelle molécule du vivant retrouve t’on cette structure ?</w:t>
      </w:r>
    </w:p>
    <w:sectPr>
      <w:headerReference w:type="default" r:id="rId3"/>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center"/>
      <w:rPr>
        <w:rFonts w:ascii="Times New Roman" w:hAnsi="Times New Roman" w:cs="Times New Roman"/>
        <w:b/>
        <w:b/>
        <w:bCs/>
      </w:rPr>
    </w:pPr>
    <w:r>
      <w:drawing>
        <wp:anchor behindDoc="1" distT="0" distB="0" distL="0" distR="0" simplePos="0" locked="0" layoutInCell="0" allowOverlap="1" relativeHeight="2">
          <wp:simplePos x="0" y="0"/>
          <wp:positionH relativeFrom="column">
            <wp:posOffset>-296545</wp:posOffset>
          </wp:positionH>
          <wp:positionV relativeFrom="paragraph">
            <wp:posOffset>-57150</wp:posOffset>
          </wp:positionV>
          <wp:extent cx="899160" cy="36576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899160" cy="365760"/>
                  </a:xfrm>
                  <a:prstGeom prst="rect">
                    <a:avLst/>
                  </a:prstGeom>
                </pic:spPr>
              </pic:pic>
            </a:graphicData>
          </a:graphic>
        </wp:anchor>
      </w:drawing>
    </w:r>
    <w:r>
      <w:rPr>
        <w:rFonts w:cs="Times New Roman" w:ascii="Times New Roman" w:hAnsi="Times New Roman"/>
        <w:b/>
        <w:bCs/>
      </w:rPr>
      <w:t>Préparation à l’agrégation de physique</w:t>
    </w:r>
  </w:p>
  <w:p>
    <w:pPr>
      <w:pStyle w:val="Entte"/>
      <w:jc w:val="center"/>
      <w:rPr>
        <w:rFonts w:ascii="Times New Roman" w:hAnsi="Times New Roman" w:cs="Times New Roman"/>
      </w:rPr>
    </w:pPr>
    <w:r>
      <w:rPr>
        <w:rFonts w:cs="Times New Roman" w:ascii="Times New Roman" w:hAnsi="Times New Roman"/>
      </w:rPr>
      <w:t>TP visualisation 3D de structures déterminées par diffraction des RX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061ec7"/>
    <w:rPr/>
  </w:style>
  <w:style w:type="character" w:styleId="PieddepageCar" w:customStyle="1">
    <w:name w:val="Pied de page Car"/>
    <w:basedOn w:val="DefaultParagraphFont"/>
    <w:uiPriority w:val="99"/>
    <w:qFormat/>
    <w:rsid w:val="00061ec7"/>
    <w:rPr/>
  </w:style>
  <w:style w:type="character" w:styleId="Strong">
    <w:name w:val="Strong"/>
    <w:basedOn w:val="DefaultParagraphFont"/>
    <w:uiPriority w:val="22"/>
    <w:qFormat/>
    <w:rsid w:val="00061ec7"/>
    <w:rPr>
      <w:b/>
      <w:bCs/>
    </w:rPr>
  </w:style>
  <w:style w:type="character" w:styleId="LienInternet">
    <w:name w:val="Hyperlink"/>
    <w:basedOn w:val="DefaultParagraphFont"/>
    <w:uiPriority w:val="99"/>
    <w:unhideWhenUsed/>
    <w:rsid w:val="00061ec7"/>
    <w:rPr>
      <w:color w:val="0563C1" w:themeColor="hyperlink"/>
      <w:u w:val="single"/>
    </w:rPr>
  </w:style>
  <w:style w:type="character" w:styleId="UnresolvedMention">
    <w:name w:val="Unresolved Mention"/>
    <w:basedOn w:val="DefaultParagraphFont"/>
    <w:uiPriority w:val="99"/>
    <w:semiHidden/>
    <w:unhideWhenUsed/>
    <w:qFormat/>
    <w:rsid w:val="00061ec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061ec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061ec7"/>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061ec7"/>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cdc.cam.ac.u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LibreOffice/7.4.1.2$Windows_X86_64 LibreOffice_project/3c58a8f3a960df8bc8fd77b461821e42c061c5f0</Application>
  <AppVersion>15.0000</AppVersion>
  <Pages>1</Pages>
  <Words>227</Words>
  <Characters>1314</Characters>
  <CharactersWithSpaces>1512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2022-09-18T17:06:00Z</dcterms:created>
  <dc:creator>Joelle Vidal</dc:creator>
  <dc:description/>
  <dc:language>en-US</dc:language>
  <cp:lastModifiedBy>Joelle Vidal</cp:lastModifiedBy>
  <dcterms:modified xsi:type="dcterms:W3CDTF">2022-09-18T17:48:00Z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