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Arquitetura do sistema</w:t>
      </w:r>
    </w:p>
    <w:p>
      <w:r>
        <w:t>Gabriel Mancio | Garantia da Qualidade de Software</w:t>
      </w:r>
    </w:p>
    <w:p>
      <w:r>
        <w:t>O sistema usará uma arquitetura em camadas, com interface, API REST, regras de negócio e banco de dados.</w:t>
      </w:r>
    </w:p>
    <w:p>
      <w:pPr>
        <w:pStyle w:val="Heading2"/>
        <w:pageBreakBefore w:val="0"/>
      </w:pPr>
      <w:r>
        <w:t>Arquitetura adotada</w:t>
      </w:r>
    </w:p>
    <w:p>
      <w:r>
        <w:t>A interface React enviará solicitações HTTP à API REST, desenvolvida com Node.js e Express. A comunicação usará JSON. A API validará os dados, chamará as classes de remuneração e acessará o SQLite por meio do repositório. Os cálculos ficarão separados das telas e das consultas SQL, facilitando os testes e a inclusão de novas categorias.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3168"/>
        <w:gridCol w:w="5040"/>
      </w:tblGrid>
      <w:tr>
        <w:trPr>
          <w:cantSplit/>
          <w:tblHeader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after="40" w:before="40"/>
            </w:pPr>
            <w:r>
              <w:rPr>
                <w:b/>
                <w:sz w:val="20"/>
              </w:rPr>
              <w:t>Parte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after="40" w:before="40"/>
            </w:pPr>
            <w:r>
              <w:rPr>
                <w:b/>
                <w:sz w:val="20"/>
              </w:rPr>
              <w:t>Tecnologia planejada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after="40" w:before="40"/>
            </w:pPr>
            <w:r>
              <w:rPr>
                <w:b/>
                <w:sz w:val="20"/>
              </w:rPr>
              <w:t>Justificativa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Interface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React, Vite e TypeScript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Criar componentes para cadastro, consulta e relatórios.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Servidor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Node.js, Express e TypeScript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API simples e mesma linguagem da interface.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t>Banco de dados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SQLite e SQL parametrizado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Banco em arquivo adequado ao uso local e aos cadastros exigidos.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Testes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Vitest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40" w:after="40"/>
            </w:pPr>
            <w:r>
              <w:rPr>
                <w:b w:val="0"/>
                <w:sz w:val="20"/>
              </w:rPr>
              <w:t>Testar os cálculos e a integração entre os componentes.</w:t>
            </w:r>
          </w:p>
        </w:tc>
      </w:tr>
    </w:tbl>
    <w:p>
      <w:pPr>
        <w:pStyle w:val="Heading2"/>
        <w:pageBreakBefore w:val="0"/>
      </w:pPr>
      <w:r>
        <w:t>Organização dos componentes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7920"/>
      </w:tblGrid>
      <w:tr>
        <w:trPr>
          <w:cantSplit/>
          <w:tblHeader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after="40" w:before="40"/>
            </w:pPr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after="40" w:before="40"/>
            </w:pPr>
            <w:r>
              <w:rPr>
                <w:b/>
                <w:sz w:val="20"/>
              </w:rPr>
              <w:t>Responsabilidade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Interface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Formulários por categoria, consulta, folha detalhada, individual e resumo.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Controladores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Receber solicitações, encaminhar operações e devolver dados ou erros.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Validação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Verificar dados necessários e regras RN001 a RN007 antes do cálculo ou gravação.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Domínio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Colaborador e subclasses; geração e resumo pela classe FolhaPagamento.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Repositório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Incluir, consultar, alterar e excluir registros no SQLite.</w:t>
            </w:r>
          </w:p>
        </w:tc>
      </w:tr>
    </w:tbl>
    <w:p>
      <w:pPr>
        <w:pStyle w:val="Heading1"/>
        <w:pageBreakBefore w:val="0"/>
      </w:pPr>
      <w:r>
        <w:t>Banco de dados</w:t>
      </w:r>
    </w:p>
    <w:p>
      <w:r>
        <w:t>Uma tabela de colaboradores armazenará um identificador interno, matrícula, nome, salário base, tipo e os parâmetros específicos. Campos de outra categoria ficarão sem valor. A aplicação reconstruirá a classe correspondente ao tipo ao consultar os registros.</w:t>
      </w:r>
    </w:p>
    <w:p>
      <w:r>
        <w:t>A matrícula terá restrição de unicidade. As consultas ao banco usarão parâmetros, e uma atualização inválida deverá preservar os dados já cadastrados.</w:t>
      </w:r>
    </w:p>
    <w:p>
      <w:pPr>
        <w:pStyle w:val="Heading1"/>
        <w:pageBreakBefore/>
      </w:pPr>
      <w:r>
        <w:t>Diagrama da arquitetura</w:t>
      </w:r>
    </w:p>
    <w:p>
      <w:r>
        <w:t>As setas indicam as chamadas entre os componentes. A resposta volta pelo mesmo caminho. Os cálculos ficam no domínio; o repositório executa as operações no banco.</w:t>
      </w:r>
    </w:p>
    <w:p>
      <w:r>
        <w:drawing>
          <wp:inline xmlns:a="http://schemas.openxmlformats.org/drawingml/2006/main" xmlns:pic="http://schemas.openxmlformats.org/drawingml/2006/picture">
            <wp:extent cx="5852160" cy="4617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_camad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617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Comunicação pela API REST</w:t>
      </w:r>
    </w:p>
    <w:p>
      <w:r>
        <w:t>A API será criada para este sistema. GET consultará colaboradores e resultados da folha; POST cadastrará colaboradores; PUT atualizará os dados; DELETE excluirá um cadastro. A API devolverá os dados solicitados ou uma mensagem que indique o problema encontrado.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Folha de Pagamento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Arquitetura do sistema</dc:title>
  <dc:subject/>
  <dc:creator>Gabriel Mancio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