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Plano de testes</w:t>
      </w:r>
    </w:p>
    <w:p>
      <w:r>
        <w:t>Gabriel Mancio | Garantia da Qualidade de Software</w:t>
      </w:r>
    </w:p>
    <w:p>
      <w:r>
        <w:t>Os testes verificarão os cadastros, os cálculos das três categorias, os relatórios e o armazenamento dos dados no banco.</w:t>
      </w:r>
    </w:p>
    <w:p>
      <w:pPr>
        <w:pStyle w:val="Heading2"/>
        <w:pageBreakBefore w:val="0"/>
      </w:pPr>
      <w:r>
        <w:t>Escopo</w:t>
      </w:r>
    </w:p>
    <w:p>
      <w:r>
        <w:t>Cobrir RF001 a RF009, RN001 a RN008 e RNF001 a RNF004, incluindo a folha individual, a consolidada e o resumo. Os testes também abrangem as recomendações do cliente incluídas no projeto.</w:t>
      </w:r>
    </w:p>
    <w:p>
      <w:pPr>
        <w:pStyle w:val="Heading2"/>
        <w:pageBreakBefore w:val="0"/>
      </w:pPr>
      <w:r>
        <w:t>Estratégia</w:t>
      </w:r>
    </w:p>
    <w:p>
      <w:r>
        <w:t>Usar exemplos calculados manualmente, entradas válidas e inválidas e valores zero. Testar cada fórmula de forma isolada antes de integrar a aplicação. Repetir os casos afetados após uma correção e executar regressão dos cálculos ao alterar regras ou categorias.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5328"/>
        <w:gridCol w:w="2880"/>
      </w:tblGrid>
      <w:tr>
        <w:trPr>
          <w:cantSplit/>
          <w:tblHeader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after="40" w:before="40"/>
            </w:pPr>
            <w:r>
              <w:rPr>
                <w:b/>
                <w:sz w:val="20"/>
              </w:rPr>
              <w:t>Nível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after="40" w:before="40"/>
            </w:pPr>
            <w:r>
              <w:rPr>
                <w:b/>
                <w:sz w:val="20"/>
              </w:rPr>
              <w:t>O que verificar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after="40" w:before="40"/>
            </w:pPr>
            <w:r>
              <w:rPr>
                <w:b/>
                <w:sz w:val="20"/>
              </w:rPr>
              <w:t>Evidência prevista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Unitário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Validações e fórmulas de salário das três categorias.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Resultado automatizado e relatório de cobertura.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Integração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Cadastro, consulta, unicidade, alteração, exclusão e dados salvos após reiniciar o sistema.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Saídas de teste com banco isolado.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Sistema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Operações completas pela interface e mensagens de erro.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Registro dos passos e resultados observados.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Aceitação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Fluxos UC01 a UC04, folha individual e consolidada, resumo e critérios do cliente.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Registro do resultado esperado e do resultado apresentado pelo sistema.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Revisão técnica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RNF004 e organização das dependências.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Registro de revisão e teste de extensão.</w:t>
            </w:r>
          </w:p>
        </w:tc>
      </w:tr>
    </w:tbl>
    <w:p>
      <w:pPr>
        <w:pStyle w:val="Heading2"/>
        <w:pageBreakBefore w:val="0"/>
      </w:pPr>
      <w:r>
        <w:t>Dados</w:t>
      </w:r>
    </w:p>
    <w:p>
      <w:r>
        <w:t>Usar matrículas e nomes fictícios. Os exemplos padrão são: base 2.000,00; comissionado com base 2.000,00, vendas 10.000,00 e 5%; produção com base 1.500,00, 100 unidades a 3,00. Os salários são 2.000,00, 2.500,00 e 1.800,00, totalizando 6.300,00.</w:t>
      </w:r>
    </w:p>
    <w:p>
      <w:pPr>
        <w:pStyle w:val="Heading1"/>
        <w:pageBreakBefore/>
      </w:pPr>
      <w:r>
        <w:t>Ambiente de testes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920"/>
      </w:tblGrid>
      <w:tr>
        <w:trPr>
          <w:cantSplit/>
          <w:tblHeader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after="40" w:before="40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after="40" w:before="40"/>
            </w:pPr>
            <w:r>
              <w:rPr>
                <w:b/>
                <w:sz w:val="20"/>
              </w:rPr>
              <w:t>Definição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Sistema operacional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Windows.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Interface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Navegador; React e Vite conforme arquitetura.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Servidor e banco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Node.js e SQLite; banco isolado para testes.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Ferramentas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Vitest para automação e cobertura; Git para identificar a versão; registro manual para aceitação.</w:t>
            </w:r>
          </w:p>
        </w:tc>
      </w:tr>
    </w:tbl>
    <w:p>
      <w:pPr>
        <w:pStyle w:val="Heading2"/>
        <w:pageBreakBefore w:val="0"/>
      </w:pPr>
      <w:r>
        <w:t>Critérios de entrada</w:t>
      </w:r>
    </w:p>
    <w:p>
      <w:r>
        <w:t>Iniciar os testes quando a funcionalidade estiver implementada, o ambiente estiver disponível e os dados e resultados esperados estiverem definidos.</w:t>
      </w:r>
    </w:p>
    <w:p>
      <w:pPr>
        <w:pStyle w:val="Heading2"/>
        <w:pageBreakBefore w:val="0"/>
      </w:pPr>
      <w:r>
        <w:t>Critérios de saída e aprovação</w:t>
      </w:r>
    </w:p>
    <w:p>
      <w:r>
        <w:t>Concluir a verificação após executar os casos previstos, registrar os resultados e corrigir os problemas encontrados. Aprovar quando todos os casos passarem e não houver defeitos críticos abertos.</w:t>
      </w:r>
    </w:p>
    <w:p>
      <w:pPr>
        <w:pStyle w:val="Heading2"/>
        <w:pageBreakBefore w:val="0"/>
      </w:pPr>
      <w:r>
        <w:t>Registro de resultados</w:t>
      </w:r>
    </w:p>
    <w:p>
      <w:r>
        <w:t>Registrar o caso testado, o resultado obtido e os problemas encontrados. Quando houver mais de uma entrada no mesmo caso, conferir cada resultado antes de considerar o caso aprovado.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Folha de Pagamento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testes</dc:title>
  <dc:subject/>
  <dc:creator>Gabriel Mancio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