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0E88" w14:textId="77777777" w:rsidR="00C35724" w:rsidRDefault="00C35724" w:rsidP="00C35724">
      <w:pPr>
        <w:jc w:val="center"/>
        <w:rPr>
          <w:sz w:val="32"/>
          <w:szCs w:val="32"/>
        </w:rPr>
      </w:pPr>
      <w:r w:rsidRPr="00C35724">
        <w:rPr>
          <w:sz w:val="32"/>
          <w:szCs w:val="32"/>
        </w:rPr>
        <w:t>O impacto da política monetária no mercado de ações brasileiro</w:t>
      </w:r>
    </w:p>
    <w:p w14:paraId="58BE6F71" w14:textId="77777777" w:rsidR="00C35724" w:rsidRDefault="00C35724" w:rsidP="00C35724">
      <w:pPr>
        <w:rPr>
          <w:sz w:val="24"/>
          <w:szCs w:val="24"/>
        </w:rPr>
      </w:pPr>
      <w:r>
        <w:rPr>
          <w:sz w:val="24"/>
          <w:szCs w:val="24"/>
        </w:rPr>
        <w:t xml:space="preserve">Autores: </w:t>
      </w:r>
      <w:r w:rsidRPr="00C35724">
        <w:rPr>
          <w:sz w:val="24"/>
          <w:szCs w:val="24"/>
        </w:rPr>
        <w:t>Luan Wallacy Vieira Soares, Vinícius de Azevedo Couto Firme, Luiz Antônio de Lima Júnior</w:t>
      </w:r>
    </w:p>
    <w:p w14:paraId="1CC61B71" w14:textId="77777777" w:rsidR="00C35724" w:rsidRDefault="00C35724" w:rsidP="00C35724">
      <w:pPr>
        <w:rPr>
          <w:sz w:val="24"/>
          <w:szCs w:val="24"/>
        </w:rPr>
      </w:pPr>
      <w:r>
        <w:rPr>
          <w:sz w:val="24"/>
          <w:szCs w:val="24"/>
        </w:rPr>
        <w:t xml:space="preserve">Local de publicação: </w:t>
      </w:r>
      <w:r w:rsidRPr="00C35724">
        <w:rPr>
          <w:sz w:val="24"/>
          <w:szCs w:val="24"/>
        </w:rPr>
        <w:t>Universidade Federal de Juiz de Fora</w:t>
      </w:r>
      <w:r>
        <w:rPr>
          <w:sz w:val="24"/>
          <w:szCs w:val="24"/>
        </w:rPr>
        <w:t xml:space="preserve"> – MG</w:t>
      </w:r>
    </w:p>
    <w:p w14:paraId="77178C46" w14:textId="77777777" w:rsidR="00C35724" w:rsidRDefault="00C35724" w:rsidP="00C35724">
      <w:pPr>
        <w:rPr>
          <w:sz w:val="24"/>
          <w:szCs w:val="24"/>
        </w:rPr>
      </w:pPr>
    </w:p>
    <w:p w14:paraId="5D6D4B8B" w14:textId="77777777" w:rsidR="00C35724" w:rsidRDefault="00C35724" w:rsidP="00C35724">
      <w:pPr>
        <w:rPr>
          <w:sz w:val="24"/>
          <w:szCs w:val="24"/>
        </w:rPr>
      </w:pPr>
      <w:r>
        <w:rPr>
          <w:sz w:val="24"/>
          <w:szCs w:val="24"/>
        </w:rPr>
        <w:t xml:space="preserve">Tema do artigo: </w:t>
      </w:r>
      <w:r w:rsidRPr="00C35724">
        <w:rPr>
          <w:sz w:val="24"/>
          <w:szCs w:val="24"/>
        </w:rPr>
        <w:t>O artigo aborda a relação entre variáveis macroeconômicas, como taxa de juros, câmbio, risco-brasil, volatilidade externa, crescimento econômico e expectativas de inflação afetam o comportamento do Ibovespa, identificando efeito de curto prazo e de longo prazo.</w:t>
      </w:r>
    </w:p>
    <w:p w14:paraId="44F805E9" w14:textId="77777777" w:rsidR="00C35724" w:rsidRDefault="00C35724" w:rsidP="00C35724">
      <w:pPr>
        <w:rPr>
          <w:sz w:val="24"/>
          <w:szCs w:val="24"/>
        </w:rPr>
      </w:pPr>
      <w:r>
        <w:rPr>
          <w:sz w:val="24"/>
          <w:szCs w:val="24"/>
        </w:rPr>
        <w:t xml:space="preserve">Objetivo do artigo: </w:t>
      </w:r>
      <w:r w:rsidRPr="00C35724">
        <w:rPr>
          <w:sz w:val="24"/>
          <w:szCs w:val="24"/>
        </w:rPr>
        <w:t>Analisar de maneira detalhada o impacto da política monetária no mercado de ações brasileiro, representado pelo Ibovespa.</w:t>
      </w:r>
    </w:p>
    <w:p w14:paraId="21F9308D" w14:textId="2B20A5BE" w:rsidR="008955FC" w:rsidRDefault="008955FC" w:rsidP="00C35724">
      <w:pPr>
        <w:rPr>
          <w:sz w:val="24"/>
          <w:szCs w:val="24"/>
        </w:rPr>
      </w:pPr>
      <w:r>
        <w:rPr>
          <w:sz w:val="24"/>
          <w:szCs w:val="24"/>
        </w:rPr>
        <w:t>Duas referências bibliográficas: O artigo se baseia nas pesquisas de Thorbecke (1997) e de Grôppo (2005) para fundamentar a ideia de que a taxa de juros interna de um país tem relação inversa com o preço das ações. As pesquisas nas quais eles se baseiam fazem uso da metodologia VAR para determinar o</w:t>
      </w:r>
      <w:r w:rsidR="00923424">
        <w:rPr>
          <w:sz w:val="24"/>
          <w:szCs w:val="24"/>
        </w:rPr>
        <w:t>s efeitos dos choques dos juros nos preços do Ibovespa. Na pesquisa de Grôppo foi identificado que um aumento de 10% na taxa de juros de curto prazo leva a uma redução de 4,7% no Ibovespa, enquanto uma redução de mesma proporção na de longo prazo causa uma redução de 2,7% no Ibovespa.</w:t>
      </w:r>
    </w:p>
    <w:p w14:paraId="76A831EA" w14:textId="77777777" w:rsidR="00923424" w:rsidRDefault="00923424" w:rsidP="00C35724">
      <w:pPr>
        <w:rPr>
          <w:sz w:val="24"/>
          <w:szCs w:val="24"/>
        </w:rPr>
      </w:pPr>
    </w:p>
    <w:p w14:paraId="01066AC1" w14:textId="3DD58329" w:rsidR="00923424" w:rsidRPr="00C35724" w:rsidRDefault="00923424" w:rsidP="00C35724">
      <w:pPr>
        <w:rPr>
          <w:sz w:val="24"/>
          <w:szCs w:val="24"/>
        </w:rPr>
      </w:pPr>
      <w:r>
        <w:rPr>
          <w:sz w:val="24"/>
          <w:szCs w:val="24"/>
        </w:rPr>
        <w:t>Metodologia: O artigo opta por utilizar modelos ARDL (</w:t>
      </w:r>
      <w:r w:rsidRPr="00923424">
        <w:rPr>
          <w:sz w:val="24"/>
          <w:szCs w:val="24"/>
        </w:rPr>
        <w:t>Autoregressive Distributed Lag)</w:t>
      </w:r>
      <w:r>
        <w:rPr>
          <w:sz w:val="24"/>
          <w:szCs w:val="24"/>
        </w:rPr>
        <w:t xml:space="preserve">, que é especialmente útil para quando o modelo possui variáveis com diferentes ordens de integração. A equação do modelo se dá por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ϕ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t-i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/>
            <w:sz w:val="24"/>
            <w:szCs w:val="24"/>
          </w:rPr>
          <m:t>+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q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t-j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>
        <w:rPr>
          <w:rStyle w:val="vlist-s"/>
          <w:color w:val="D1D5DB"/>
          <w:sz w:val="2"/>
          <w:szCs w:val="2"/>
          <w:shd w:val="clear" w:color="auto" w:fill="444654"/>
        </w:rPr>
        <w:t>​</w:t>
      </w:r>
      <w:r>
        <w:rPr>
          <w:rStyle w:val="vlist-s"/>
          <w:color w:val="D1D5DB"/>
          <w:sz w:val="2"/>
          <w:szCs w:val="2"/>
          <w:shd w:val="clear" w:color="auto" w:fill="444654"/>
        </w:rPr>
        <w:t>.</w:t>
      </w:r>
      <w:r>
        <w:rPr>
          <w:color w:val="D1D5DB"/>
          <w:sz w:val="29"/>
          <w:szCs w:val="29"/>
          <w:shd w:val="clear" w:color="auto" w:fill="444654"/>
        </w:rPr>
        <w:br/>
      </w:r>
    </w:p>
    <w:sectPr w:rsidR="00923424" w:rsidRPr="00C35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24"/>
    <w:rsid w:val="008955FC"/>
    <w:rsid w:val="00923424"/>
    <w:rsid w:val="00C35724"/>
    <w:rsid w:val="00CA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D0DD"/>
  <w15:docId w15:val="{8A34E6D4-A757-4E8E-8C43-B880D970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23424"/>
    <w:rPr>
      <w:color w:val="808080"/>
    </w:rPr>
  </w:style>
  <w:style w:type="character" w:customStyle="1" w:styleId="mord">
    <w:name w:val="mord"/>
    <w:basedOn w:val="Fontepargpadro"/>
    <w:rsid w:val="00923424"/>
  </w:style>
  <w:style w:type="character" w:customStyle="1" w:styleId="vlist-s">
    <w:name w:val="vlist-s"/>
    <w:basedOn w:val="Fontepargpadro"/>
    <w:rsid w:val="00923424"/>
  </w:style>
  <w:style w:type="character" w:customStyle="1" w:styleId="mrel">
    <w:name w:val="mrel"/>
    <w:basedOn w:val="Fontepargpadro"/>
    <w:rsid w:val="00923424"/>
  </w:style>
  <w:style w:type="character" w:customStyle="1" w:styleId="mbin">
    <w:name w:val="mbin"/>
    <w:basedOn w:val="Fontepargpadro"/>
    <w:rsid w:val="00923424"/>
  </w:style>
  <w:style w:type="character" w:customStyle="1" w:styleId="mop">
    <w:name w:val="mop"/>
    <w:basedOn w:val="Fontepargpadro"/>
    <w:rsid w:val="00923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FB067-59C5-4FE9-8763-ED658E6CA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André</dc:creator>
  <cp:keywords/>
  <dc:description/>
  <cp:lastModifiedBy>Gabriel André Matte</cp:lastModifiedBy>
  <cp:revision>2</cp:revision>
  <dcterms:created xsi:type="dcterms:W3CDTF">2023-08-29T03:38:00Z</dcterms:created>
  <dcterms:modified xsi:type="dcterms:W3CDTF">2023-08-29T04:16:00Z</dcterms:modified>
</cp:coreProperties>
</file>