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17F5" w14:textId="288CFFBE" w:rsidR="00122907" w:rsidRDefault="00081745" w:rsidP="00122907">
      <w:pPr>
        <w:pStyle w:val="ABNTTtulo"/>
      </w:pPr>
      <w:r>
        <w:t>FUNDAÇÃO ESCOLA DE COMÉRCIO ÁLVARES PENTEADO</w:t>
      </w:r>
    </w:p>
    <w:p w14:paraId="5D598E7D" w14:textId="4ADE1642" w:rsidR="00081745" w:rsidRDefault="00081745" w:rsidP="00081745">
      <w:pPr>
        <w:pStyle w:val="ABNTSubtitulo"/>
      </w:pPr>
      <w:r>
        <w:t>CURSO DE CIÊNCIAS ECONÔMICAS</w:t>
      </w:r>
    </w:p>
    <w:p w14:paraId="513E8A72" w14:textId="77777777" w:rsidR="00081745" w:rsidRDefault="00081745" w:rsidP="00081745">
      <w:pPr>
        <w:pStyle w:val="ABNTSubtitulo"/>
      </w:pPr>
    </w:p>
    <w:p w14:paraId="51BD642C" w14:textId="6A8F5B1F" w:rsidR="00081745" w:rsidRDefault="00081745" w:rsidP="00081745">
      <w:pPr>
        <w:pStyle w:val="ABNTSubtitulo"/>
      </w:pPr>
      <w:r>
        <w:t>GABRIEL ANDRÉ MARQUEZ MATTE E THALES STONOGA</w:t>
      </w:r>
    </w:p>
    <w:p w14:paraId="3A469D05" w14:textId="77777777" w:rsidR="00081745" w:rsidRDefault="00081745" w:rsidP="00081745">
      <w:pPr>
        <w:pStyle w:val="ABNTSubtitulo"/>
        <w:jc w:val="left"/>
      </w:pPr>
    </w:p>
    <w:p w14:paraId="7A1B5938" w14:textId="3BA51ACF" w:rsidR="00081745" w:rsidRDefault="00081745" w:rsidP="00081745">
      <w:pPr>
        <w:pStyle w:val="ABNTSubtitulo"/>
      </w:pPr>
      <w:r>
        <w:t>O IMPACTO DE MUDANÇAS NA POLÍTICA MONETÁRIA NA VOLATILIDADE DE SETORES DA BOLSA DE VALORES</w:t>
      </w:r>
    </w:p>
    <w:p w14:paraId="0D8FECEE" w14:textId="77777777" w:rsidR="00081745" w:rsidRDefault="00081745" w:rsidP="00081745">
      <w:pPr>
        <w:pStyle w:val="ABNTSubtitulo"/>
        <w:jc w:val="left"/>
      </w:pPr>
    </w:p>
    <w:p w14:paraId="4EB57DB4" w14:textId="08E8508F" w:rsidR="000B72AA" w:rsidRDefault="000B72AA" w:rsidP="000B72AA">
      <w:pPr>
        <w:pStyle w:val="ABNTCaptulo"/>
      </w:pPr>
      <w:r>
        <w:t>Introdução ao tema</w:t>
      </w:r>
    </w:p>
    <w:p w14:paraId="22F65F9E" w14:textId="77777777" w:rsidR="008D4218" w:rsidRDefault="000F6AF3" w:rsidP="008D4218">
      <w:pPr>
        <w:pStyle w:val="ABNT"/>
      </w:pPr>
      <w:r>
        <w:t>A interação das medidas de política monetária com as tendências da Bolsa de Valores tem sido um foco central em pesquisas econômicas. Segundo análises de Ben S. Bernanke e Kenneth N. Kuttner</w:t>
      </w:r>
      <w:r w:rsidR="008D4218">
        <w:t xml:space="preserve"> (2005)</w:t>
      </w:r>
      <w:r>
        <w:t>, uma diminuição inesperada de 25 pontos base nas taxas de juros tem o potencial de elevar os</w:t>
      </w:r>
      <w:r w:rsidR="008D4218">
        <w:t xml:space="preserve"> principais</w:t>
      </w:r>
      <w:r>
        <w:t xml:space="preserve"> índices das bolsas dos EUA em cerca de 1%. Esse fenômeno sublinha a relevância dessas políticas nas tomadas de decisão dos investidores e na solidez econômica do país. Contudo, mesmo com essa ampla cobertura na literatura, existem particularidades, especialmente relacionadas ao mercado brasileiro, que ainda aguardam uma exploração mais detalhada.</w:t>
      </w:r>
    </w:p>
    <w:p w14:paraId="0696DC34" w14:textId="7CA34388" w:rsidR="000F6AF3" w:rsidRDefault="000F6AF3" w:rsidP="008D4218">
      <w:pPr>
        <w:pStyle w:val="ABNT"/>
      </w:pPr>
      <w:r>
        <w:t xml:space="preserve">Este projeto busca adentrar neste universo, propondo uma investigação aprofundada sobre como diferentes setores da bolsa brasileira respondem às variações na política monetária. O foco é descobrir padrões e correlações no campo da volatilidade dos ativos, em contraste aos retornos, que ainda foram pouco abordados na literatura atual, preenchendo assim uma lacuna significativa. </w:t>
      </w:r>
      <w:r w:rsidR="00884E72" w:rsidRPr="00884E72">
        <w:t>Por meio da exploração dessas ligações, este estudo visa fornecer informações valiosas para a comunidade acadêmica, bem como para os decisores de políticas e investidores que desejam navegar pela intricada paisagem financeira brasileira.</w:t>
      </w:r>
    </w:p>
    <w:p w14:paraId="333C615C" w14:textId="53F717E7" w:rsidR="00694BAF" w:rsidRDefault="00694BAF" w:rsidP="00694BAF">
      <w:pPr>
        <w:pStyle w:val="ABNTCaptulo"/>
      </w:pPr>
      <w:r>
        <w:lastRenderedPageBreak/>
        <w:t>Objetivos</w:t>
      </w:r>
    </w:p>
    <w:p w14:paraId="0BF0ECEA" w14:textId="2BEEC64F" w:rsidR="00694BAF" w:rsidRDefault="00FF4198" w:rsidP="00694BAF">
      <w:pPr>
        <w:pStyle w:val="ABNT"/>
      </w:pPr>
      <w:r w:rsidRPr="00FF4198">
        <w:t>O cerne desta pesquisa é analisar a magnitude do efeito das determinações de política monetária sobre as variações de setores específicos representados na bolsa brasileira. Ao longo desta jornada investigativa, aspiramos desvendar e compreender as nuances associadas à volatilidade de ativos, proporcionando assim um mergulho mais profundo nas peculiaridades do mercado acionário brasileiro quando confrontado com ajustes na política monetária</w:t>
      </w:r>
      <w:r w:rsidR="00B1655F" w:rsidRPr="00B1655F">
        <w:t>.</w:t>
      </w:r>
    </w:p>
    <w:p w14:paraId="7EAD2ED9" w14:textId="4E2BB283" w:rsidR="00FF4198" w:rsidRDefault="00FF4198" w:rsidP="00FF4198">
      <w:pPr>
        <w:pStyle w:val="ABNT"/>
      </w:pPr>
      <w:r w:rsidRPr="00FF4198">
        <w:t>Para uma abordagem mais meticulosa, almejamos, em primeiro plano, discernir os setores da bolsa brasileira que demonstram maior receptividade às alterações na política monetária e, em sequência, avaliar a intensidade dessa resposta. Adicionalmente, pretende-se dar ênfase ao estudo das flutuações de volatilidade desses ativos, sobretudo quando estes respondem a momentos cruciais de decisões monetárias, como expressivas modificações nas taxas de juros</w:t>
      </w:r>
      <w:r>
        <w:t>.</w:t>
      </w:r>
    </w:p>
    <w:p w14:paraId="60EB15FB" w14:textId="68C26E2C" w:rsidR="00FF4198" w:rsidRPr="00FF4198" w:rsidRDefault="00FF4198" w:rsidP="00FF4198">
      <w:pPr>
        <w:pStyle w:val="ABNT"/>
      </w:pPr>
      <w:r w:rsidRPr="00FF4198">
        <w:t>O estudo também se propõe a confrontar a volatilidade observada com os retornos correspondentes desses ativos, no intuito de revelar possíveis desequilíbrios ou relações notáveis. Finalmente, é nossa aspiração extrair, das análises e descobertas deste trabalho, insights que possam orientar tanto estratégias de investidores quanto direcionar políticas públicas eficazes no contexto financeiro nacional.</w:t>
      </w:r>
    </w:p>
    <w:p w14:paraId="2BADBA8F" w14:textId="2732BF8C" w:rsidR="00081745" w:rsidRDefault="00081745" w:rsidP="00081745">
      <w:pPr>
        <w:pStyle w:val="ABNTCaptulo"/>
      </w:pPr>
      <w:r>
        <w:t>Justificativa</w:t>
      </w:r>
    </w:p>
    <w:p w14:paraId="6825ACBB" w14:textId="7445E5BF" w:rsidR="005F4F3F" w:rsidRDefault="005F4F3F" w:rsidP="005F4F3F">
      <w:pPr>
        <w:pStyle w:val="ABNT"/>
      </w:pPr>
      <w:r>
        <w:t>A bolsa brasileira, com sua singularidade e nuances, reflete as constantes mudanças e adaptações da economia nacional. Neste contexto, a política monetária emerge como um fator determinante. Sua capacidade de influenciar o acesso e os valores de crédito tem o potencial direto de alterar a volatilidade em diversos setores de investimento. É imprescindível aprofundar o entendimento sobre o vínculo entre a política monetária e a bolsa brasileira, levando em conta a reação dos variados setores às intervenções monetárias. Esta investigação amplia nossa percepção sobre os mecanismos do mercado nacional, realçando a intersecção entre as abordagens macroeconômicas e suas manifestações no ambiente financeiro brasileiro.</w:t>
      </w:r>
    </w:p>
    <w:p w14:paraId="3551CCEF" w14:textId="08605FBF" w:rsidR="008D4218" w:rsidRDefault="005F4F3F" w:rsidP="005F4F3F">
      <w:pPr>
        <w:pStyle w:val="ABNT"/>
      </w:pPr>
      <w:r>
        <w:lastRenderedPageBreak/>
        <w:t>Dada a diversidade e especificidade da economia brasileira, torna-se relevante a análise da relação entre as medidas monetárias e as oscilações setoriais na bolsa. Embora muitas pesquisas tenham abordado o tema, persistem lacunas no entendimento, particularmente em relação à flutuação setorial resultante de ajustes nas diretrizes monetárias. Diante disso, o objetivo deste artigo é fornecer uma análise mais detalhada dessas relações. Esta pesquisa aspira a iluminar as zonas cinzentas existentes, trazendo reflexões que possam aperfeiçoar estratégias de investimento e auxiliar na formulação de políticas alinhadas ao contexto econômico brasileiro. Em resumo, a proposta deste estudo não apenas fortalece o campo acadêmico, mas também busca possibilitar o uso de novas diretrizes práticas para a gestão financeira e econômica no Brasil.</w:t>
      </w:r>
    </w:p>
    <w:p w14:paraId="7DE9C08F" w14:textId="67300E1E" w:rsidR="00FF4198" w:rsidRDefault="00FF4198" w:rsidP="00FF4198">
      <w:pPr>
        <w:pStyle w:val="ABNTCaptulo"/>
      </w:pPr>
      <w:r>
        <w:t>Metodologia</w:t>
      </w:r>
    </w:p>
    <w:p w14:paraId="15B215C8" w14:textId="77777777" w:rsidR="00547F28" w:rsidRDefault="00547F28" w:rsidP="00547F28">
      <w:pPr>
        <w:pStyle w:val="ABNT"/>
      </w:pPr>
      <w:r>
        <w:t>Para atingir os objetivos delineados neste estudo, faremos uso de métodos econométricos amplamente reconhecidos. Inicialmente, utilizaremos os modelos GARCH (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Heteroskedasticity</w:t>
      </w:r>
      <w:proofErr w:type="spellEnd"/>
      <w:r>
        <w:t>) para examinar a volatilidade nas séries temporais financeiras. Esses modelos têm mostrado ser eficientes em acompanhar as variações de volatilidade ao longo de diversos períodos, sendo assim adequados para avaliar a volatilidade dos setores na bolsa.</w:t>
      </w:r>
    </w:p>
    <w:p w14:paraId="6BFA6974" w14:textId="77777777" w:rsidR="00547F28" w:rsidRDefault="00547F28" w:rsidP="00547F28">
      <w:pPr>
        <w:pStyle w:val="ABNT"/>
      </w:pPr>
      <w:r>
        <w:t>No entanto, para capturar de forma mais precisa a interação entre a política monetária e a volatilidade setorial, e para remover os efeitos não específicos das empresas na volatilidade, optamos por implementar o modelo DCC-GARCH. Este modelo possibilitará a análise das correlações dinâmicas entre os setores da bolsa, oferecendo uma representação mais acurada da volatilidade condicional e das correlações ao longo do tempo. Ademais, o DCC-GARCH auxilia na análise da estrutura de correlação entre os diferentes setores, o que é crucial para compreender como eles reagem de forma interdependente às alterações na política monetária.</w:t>
      </w:r>
    </w:p>
    <w:p w14:paraId="00AC7224" w14:textId="77777777" w:rsidR="00547F28" w:rsidRDefault="00547F28" w:rsidP="00547F28">
      <w:pPr>
        <w:pStyle w:val="ABNT"/>
      </w:pPr>
      <w:r>
        <w:t>Para discernir o impacto específico das alterações na política monetária na volatilidade setorial, calcularemos o beta de cada setor utilizando o Modelo de Precificação de Ativos de Capital (CAPM). Este passo nos permitirá controlar a volatilidade geral do mercado, focando apenas na volatilidade que pode ser atribuída às alterações na política monetária.</w:t>
      </w:r>
    </w:p>
    <w:p w14:paraId="72A3913D" w14:textId="77777777" w:rsidR="00547F28" w:rsidRDefault="00547F28" w:rsidP="00547F28">
      <w:pPr>
        <w:pStyle w:val="ABNT"/>
      </w:pPr>
      <w:r>
        <w:lastRenderedPageBreak/>
        <w:t xml:space="preserve">Ademais, continuaremos a empregar o modelo VAR (Vector </w:t>
      </w:r>
      <w:proofErr w:type="spellStart"/>
      <w:r>
        <w:t>Autoregression</w:t>
      </w:r>
      <w:proofErr w:type="spellEnd"/>
      <w:r>
        <w:t>) para investigar as relações entre as variáveis de política monetária e a volatilidade dos setores. O VAR é valorizado por sua capacidade de mapear relações entre séries temporais diversas, permitindo-nos perceber as repercussões tanto imediatas quanto de longo prazo das intervenções monetárias na volatilidade dos setores do mercado.</w:t>
      </w:r>
    </w:p>
    <w:p w14:paraId="29B45B01" w14:textId="0807B9EA" w:rsidR="00547F28" w:rsidRDefault="00547F28" w:rsidP="00547F28">
      <w:pPr>
        <w:pStyle w:val="ABNT"/>
      </w:pPr>
      <w:r>
        <w:t>A combinação das metodologias GARCH, DCC-GARCH, CAPM e VAR proporcionará uma representação mais completa e precisa da volatilidade dos setores da bolsa frente às mudanças na política monetária. Durante as etapas de análise, é crucial garantir a acurácia dos modelos, monitorando continuamente para detectar e ajustar possíveis inconsistências nos resíduos, assegurando a confiabilidade das descobertas.</w:t>
      </w:r>
    </w:p>
    <w:p w14:paraId="27E8612D" w14:textId="12363355" w:rsidR="00D702E5" w:rsidRDefault="00D702E5" w:rsidP="00D702E5">
      <w:pPr>
        <w:pStyle w:val="ABNTCaptulo"/>
      </w:pPr>
      <w:r>
        <w:t>Revisão da Literatura</w:t>
      </w:r>
    </w:p>
    <w:p w14:paraId="051287EA" w14:textId="5A1E0817" w:rsidR="000318DF" w:rsidRDefault="000318DF" w:rsidP="000318DF">
      <w:pPr>
        <w:pStyle w:val="ABNT"/>
      </w:pPr>
      <w:r w:rsidRPr="000318DF">
        <w:t>O campo acadêmico da economia tem dedicado um olhar atento à interação entre as estratégias de política monetária e as oscilações do mercado financeiro</w:t>
      </w:r>
      <w:r w:rsidR="00E82397">
        <w:t xml:space="preserve">. </w:t>
      </w:r>
      <w:r>
        <w:t>As estratégias em política monetária, que incluem ajustes nas taxas de juros e operações de mercado aberto, têm uma influência marcante na precificação dos ativos financeiros. Segundo o estudo de Ben S. Bernanke e Kenneth N. Kuttner (</w:t>
      </w:r>
      <w:r w:rsidR="00834DF3">
        <w:t>2004</w:t>
      </w:r>
      <w:r>
        <w:t>), variações inesperadas nas taxas de juros podem influenciar os índices do mercado de ações. Este aspecto sublinha a importância de se explorar a interação entre a política monetária e a volatilidade do mercado, com um enfoque especial em economias emergentes como a brasileira.</w:t>
      </w:r>
    </w:p>
    <w:p w14:paraId="4C5AE24E" w14:textId="0BD53265" w:rsidR="00A344C8" w:rsidRPr="00984753" w:rsidRDefault="00A344C8" w:rsidP="000318DF">
      <w:pPr>
        <w:pStyle w:val="ABNT"/>
      </w:pPr>
      <w:r>
        <w:t>No estudo conduzido por Cássio da Nóbrega (2010)</w:t>
      </w:r>
      <w:r w:rsidR="0094206D">
        <w:t xml:space="preserve">, a relação entre a política monetária e a volatilidade dos preços dos ativos foi analisada </w:t>
      </w:r>
      <w:r w:rsidR="0094206D" w:rsidRPr="0094206D">
        <w:t xml:space="preserve">através do modelo BEKK durante o período de janeiro de 2003 a outubro de 2009. O objetivo principal era modelar a volatilidade do Índice Bovespa (Ibovespa) e da Selic, explorando a aglomeração de volatilidade e a persistência dos choques nas variáveis do mercado financeiro. Utilizando modelos Vetor </w:t>
      </w:r>
      <w:proofErr w:type="spellStart"/>
      <w:r w:rsidR="0094206D" w:rsidRPr="0094206D">
        <w:t>Autoregressivo</w:t>
      </w:r>
      <w:proofErr w:type="spellEnd"/>
      <w:r w:rsidR="0094206D" w:rsidRPr="0094206D">
        <w:t xml:space="preserve">, a causalidade no sentido de Granger entre o mecanismo de transmissão de política monetária (taxa de juros) e o índice acionário foi testada. O framework teórico proposto por Bernanke e </w:t>
      </w:r>
      <w:proofErr w:type="spellStart"/>
      <w:r w:rsidR="0094206D" w:rsidRPr="0094206D">
        <w:t>Gertler</w:t>
      </w:r>
      <w:proofErr w:type="spellEnd"/>
      <w:r w:rsidR="0094206D" w:rsidRPr="0094206D">
        <w:t xml:space="preserve"> (1999, 2000) foi empregado para entender os efeitos da volatilidade nas regras de política monetária. Os resultados indicaram uma causalidade unidirecional do Ibovespa em relação à Selic durante o período de maior volatilidade no mercado acionário (2003 - 2008), sugerindo que os retornos no mercado de </w:t>
      </w:r>
      <w:r w:rsidR="0094206D" w:rsidRPr="0094206D">
        <w:lastRenderedPageBreak/>
        <w:t xml:space="preserve">ações brasileiros influenciaram as decisões de política monetária nesse período. A análise adicional revelou uma correlação direta entre a volatilidade do Ibovespa e a volatilidade da taxa Selic, alinhada com a teoria de que movimentos nos preços dos ativos podem afetar a demanda agregada, indicando uma reação dos </w:t>
      </w:r>
      <w:proofErr w:type="spellStart"/>
      <w:r w:rsidR="0094206D" w:rsidRPr="0094206D">
        <w:t>policymakers</w:t>
      </w:r>
      <w:proofErr w:type="spellEnd"/>
      <w:r w:rsidR="0094206D" w:rsidRPr="0094206D">
        <w:t xml:space="preserve"> às variações no mercado para mitigar impactos negativos potenciais na economia.</w:t>
      </w:r>
    </w:p>
    <w:p w14:paraId="2A46F509" w14:textId="2E6B5424" w:rsidR="008D4218" w:rsidRPr="00A344C8" w:rsidRDefault="008D4218" w:rsidP="008D4218">
      <w:pPr>
        <w:pStyle w:val="ABNTCaptulo"/>
      </w:pPr>
      <w:r w:rsidRPr="00A344C8">
        <w:t>Referências</w:t>
      </w:r>
    </w:p>
    <w:p w14:paraId="7C6B1B4C" w14:textId="2487E3A7" w:rsidR="008D4218" w:rsidRDefault="008D4218" w:rsidP="008D4218">
      <w:pPr>
        <w:pStyle w:val="ABNT"/>
        <w:rPr>
          <w:lang w:val="en-US"/>
        </w:rPr>
      </w:pPr>
      <w:r w:rsidRPr="008D4218">
        <w:rPr>
          <w:b/>
          <w:bCs/>
          <w:lang w:val="en-US"/>
        </w:rPr>
        <w:t>BERNANKE, B. S.; KUTTNER, K. N</w:t>
      </w:r>
      <w:r w:rsidRPr="008D4218">
        <w:rPr>
          <w:lang w:val="en-US"/>
        </w:rPr>
        <w:t xml:space="preserve">. What explains the stock market's reaction to Federal Reserve policy? </w:t>
      </w:r>
      <w:r w:rsidRPr="008D4218">
        <w:rPr>
          <w:i/>
          <w:iCs/>
          <w:lang w:val="en-US"/>
        </w:rPr>
        <w:t>The Journal of Finance</w:t>
      </w:r>
      <w:r w:rsidRPr="008D4218">
        <w:rPr>
          <w:lang w:val="en-US"/>
        </w:rPr>
        <w:t xml:space="preserve">, v. 60, n. 3, p. 1221-1257, </w:t>
      </w:r>
      <w:r>
        <w:rPr>
          <w:lang w:val="en-US"/>
        </w:rPr>
        <w:t>2004</w:t>
      </w:r>
    </w:p>
    <w:p w14:paraId="1E9EACBB" w14:textId="50B5B17E" w:rsidR="005D64BC" w:rsidRDefault="005D64BC" w:rsidP="008D4218">
      <w:pPr>
        <w:pStyle w:val="ABNT"/>
        <w:rPr>
          <w:lang w:val="en-US"/>
        </w:rPr>
      </w:pPr>
      <w:r w:rsidRPr="005D64BC">
        <w:rPr>
          <w:b/>
          <w:bCs/>
          <w:lang w:val="en-US"/>
        </w:rPr>
        <w:t>Bollerslev, T</w:t>
      </w:r>
      <w:r w:rsidRPr="005D64BC">
        <w:rPr>
          <w:lang w:val="en-US"/>
        </w:rPr>
        <w:t xml:space="preserve">. Generalized Autoregressive Conditional Heteroskedasticity. </w:t>
      </w:r>
      <w:r w:rsidRPr="005D64BC">
        <w:rPr>
          <w:i/>
          <w:iCs/>
          <w:lang w:val="en-US"/>
        </w:rPr>
        <w:t>Journal of Econometrics</w:t>
      </w:r>
      <w:r w:rsidRPr="005D64BC">
        <w:rPr>
          <w:lang w:val="en-US"/>
        </w:rPr>
        <w:t>, 31(3), 307-327</w:t>
      </w:r>
      <w:r>
        <w:rPr>
          <w:lang w:val="en-US"/>
        </w:rPr>
        <w:t>, 1986</w:t>
      </w:r>
      <w:r w:rsidRPr="005D64BC">
        <w:rPr>
          <w:lang w:val="en-US"/>
        </w:rPr>
        <w:t>.</w:t>
      </w:r>
    </w:p>
    <w:p w14:paraId="3C61EF8E" w14:textId="6EFCCAF2" w:rsidR="005D64BC" w:rsidRDefault="005D64BC" w:rsidP="008D4218">
      <w:pPr>
        <w:pStyle w:val="ABNT"/>
        <w:rPr>
          <w:lang w:val="en-US"/>
        </w:rPr>
      </w:pPr>
      <w:r w:rsidRPr="005D64BC">
        <w:rPr>
          <w:b/>
          <w:bCs/>
          <w:lang w:val="en-US"/>
        </w:rPr>
        <w:t>Engle, R</w:t>
      </w:r>
      <w:r w:rsidRPr="005D64BC">
        <w:rPr>
          <w:lang w:val="en-US"/>
        </w:rPr>
        <w:t xml:space="preserve">. Dynamic Conditional Correlation: A Simple Class of Multivariate Generalized Autoregressive Conditional Heteroskedasticity Models. </w:t>
      </w:r>
      <w:r w:rsidRPr="005D64BC">
        <w:rPr>
          <w:i/>
          <w:iCs/>
          <w:lang w:val="en-US"/>
        </w:rPr>
        <w:t>Journal of Business &amp; Economic Statistics</w:t>
      </w:r>
      <w:r w:rsidRPr="005D64BC">
        <w:rPr>
          <w:lang w:val="en-US"/>
        </w:rPr>
        <w:t>, 20(3), 339-350</w:t>
      </w:r>
      <w:r>
        <w:rPr>
          <w:lang w:val="en-US"/>
        </w:rPr>
        <w:t xml:space="preserve">, </w:t>
      </w:r>
      <w:r w:rsidRPr="005D64BC">
        <w:rPr>
          <w:lang w:val="en-US"/>
        </w:rPr>
        <w:t>2002</w:t>
      </w:r>
      <w:r>
        <w:rPr>
          <w:lang w:val="en-US"/>
        </w:rPr>
        <w:t>.</w:t>
      </w:r>
    </w:p>
    <w:p w14:paraId="7A7ED427" w14:textId="0276ED04" w:rsidR="005D64BC" w:rsidRDefault="005D64BC" w:rsidP="008D4218">
      <w:pPr>
        <w:pStyle w:val="ABNT"/>
        <w:rPr>
          <w:lang w:val="en-US"/>
        </w:rPr>
      </w:pPr>
      <w:proofErr w:type="spellStart"/>
      <w:r w:rsidRPr="005D64BC">
        <w:rPr>
          <w:b/>
          <w:bCs/>
          <w:lang w:val="en-US"/>
        </w:rPr>
        <w:t>Lütkepohl</w:t>
      </w:r>
      <w:proofErr w:type="spellEnd"/>
      <w:r w:rsidRPr="005D64BC">
        <w:rPr>
          <w:b/>
          <w:bCs/>
          <w:lang w:val="en-US"/>
        </w:rPr>
        <w:t>, H</w:t>
      </w:r>
      <w:r w:rsidRPr="005D64BC">
        <w:rPr>
          <w:lang w:val="en-US"/>
        </w:rPr>
        <w:t xml:space="preserve">. New Introduction to Multiple Time Series Analysis. </w:t>
      </w:r>
      <w:r w:rsidRPr="005D64BC">
        <w:rPr>
          <w:i/>
          <w:iCs/>
          <w:lang w:val="en-US"/>
        </w:rPr>
        <w:t>Springer-Verlag</w:t>
      </w:r>
      <w:r>
        <w:rPr>
          <w:lang w:val="en-US"/>
        </w:rPr>
        <w:t xml:space="preserve">. </w:t>
      </w:r>
      <w:r w:rsidRPr="005D64BC">
        <w:rPr>
          <w:lang w:val="en-US"/>
        </w:rPr>
        <w:t>2005</w:t>
      </w:r>
    </w:p>
    <w:p w14:paraId="6FDD1F98" w14:textId="5F013E8F" w:rsidR="0094206D" w:rsidRPr="0094206D" w:rsidRDefault="0094206D" w:rsidP="008D4218">
      <w:pPr>
        <w:pStyle w:val="ABNT"/>
      </w:pPr>
      <w:r w:rsidRPr="0094206D">
        <w:rPr>
          <w:b/>
          <w:bCs/>
        </w:rPr>
        <w:t>BESARRIA, Cassio da Nobrega</w:t>
      </w:r>
      <w:r w:rsidRPr="0094206D">
        <w:t xml:space="preserve">. Volatilidade no mercado de ações brasileiro e seu impacto sobre as regras de política monetária: 2003 2009. 2010. 83 f. Dissertação (Mestrado em Economia do Trabalho e Economia de Empresas) - </w:t>
      </w:r>
      <w:r w:rsidRPr="0094206D">
        <w:rPr>
          <w:i/>
          <w:iCs/>
        </w:rPr>
        <w:t>Universidade Federal da Paraíba, João Pessoa</w:t>
      </w:r>
      <w:r w:rsidRPr="0094206D">
        <w:t>, 2010</w:t>
      </w:r>
    </w:p>
    <w:sectPr w:rsidR="0094206D" w:rsidRPr="0094206D" w:rsidSect="0012290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907"/>
    <w:rsid w:val="000318DF"/>
    <w:rsid w:val="00081745"/>
    <w:rsid w:val="000B72AA"/>
    <w:rsid w:val="000F6AF3"/>
    <w:rsid w:val="00122907"/>
    <w:rsid w:val="00343CB8"/>
    <w:rsid w:val="004222F3"/>
    <w:rsid w:val="00480BA5"/>
    <w:rsid w:val="00547F28"/>
    <w:rsid w:val="005D64BC"/>
    <w:rsid w:val="005F4F3F"/>
    <w:rsid w:val="00653F2B"/>
    <w:rsid w:val="00694BAF"/>
    <w:rsid w:val="007C2012"/>
    <w:rsid w:val="00834DF3"/>
    <w:rsid w:val="00884E72"/>
    <w:rsid w:val="008D4218"/>
    <w:rsid w:val="0094206D"/>
    <w:rsid w:val="00960BC1"/>
    <w:rsid w:val="00984753"/>
    <w:rsid w:val="00A344C8"/>
    <w:rsid w:val="00B1655F"/>
    <w:rsid w:val="00CF2B83"/>
    <w:rsid w:val="00D702E5"/>
    <w:rsid w:val="00E82397"/>
    <w:rsid w:val="00FF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411A"/>
  <w15:chartTrackingRefBased/>
  <w15:docId w15:val="{4071E21B-7E37-4B8B-A362-EC719DA2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2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290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</w:rPr>
  </w:style>
  <w:style w:type="paragraph" w:customStyle="1" w:styleId="ABNT">
    <w:name w:val="ABNT"/>
    <w:basedOn w:val="Normal"/>
    <w:link w:val="ABNTChar"/>
    <w:qFormat/>
    <w:rsid w:val="00122907"/>
    <w:pPr>
      <w:spacing w:after="120" w:line="360" w:lineRule="auto"/>
      <w:ind w:firstLine="851"/>
      <w:jc w:val="both"/>
    </w:pPr>
    <w:rPr>
      <w:rFonts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122907"/>
    <w:rPr>
      <w:rFonts w:cs="Times New Roman"/>
      <w:sz w:val="24"/>
      <w:szCs w:val="24"/>
    </w:rPr>
  </w:style>
  <w:style w:type="paragraph" w:customStyle="1" w:styleId="ABNTTtulo">
    <w:name w:val="ABNT Título"/>
    <w:basedOn w:val="ABNT"/>
    <w:link w:val="ABNTTtuloChar"/>
    <w:qFormat/>
    <w:rsid w:val="00122907"/>
    <w:pPr>
      <w:spacing w:after="240"/>
      <w:ind w:firstLine="0"/>
      <w:jc w:val="center"/>
    </w:pPr>
    <w:rPr>
      <w:b/>
      <w:sz w:val="28"/>
    </w:rPr>
  </w:style>
  <w:style w:type="character" w:customStyle="1" w:styleId="ABNTTtuloChar">
    <w:name w:val="ABNT Título Char"/>
    <w:basedOn w:val="ABNTChar"/>
    <w:link w:val="ABNTTtulo"/>
    <w:rsid w:val="00122907"/>
    <w:rPr>
      <w:rFonts w:cs="Times New Roman"/>
      <w:b/>
      <w:sz w:val="28"/>
      <w:szCs w:val="24"/>
    </w:rPr>
  </w:style>
  <w:style w:type="paragraph" w:customStyle="1" w:styleId="ABNTSubtitulo">
    <w:name w:val="ABNT Subtitulo"/>
    <w:basedOn w:val="ABNTTtulo"/>
    <w:link w:val="ABNTSubtituloChar"/>
    <w:qFormat/>
    <w:rsid w:val="00081745"/>
    <w:rPr>
      <w:b w:val="0"/>
    </w:rPr>
  </w:style>
  <w:style w:type="character" w:customStyle="1" w:styleId="ABNTSubtituloChar">
    <w:name w:val="ABNT Subtitulo Char"/>
    <w:basedOn w:val="ABNTTtuloChar"/>
    <w:link w:val="ABNTSubtitulo"/>
    <w:rsid w:val="00081745"/>
    <w:rPr>
      <w:rFonts w:cs="Times New Roman"/>
      <w:b w:val="0"/>
      <w:sz w:val="28"/>
      <w:szCs w:val="24"/>
    </w:rPr>
  </w:style>
  <w:style w:type="paragraph" w:customStyle="1" w:styleId="ABNTCaptulo">
    <w:name w:val="ABNT Capítulo"/>
    <w:basedOn w:val="ABNT"/>
    <w:link w:val="ABNTCaptuloChar"/>
    <w:qFormat/>
    <w:rsid w:val="00081745"/>
    <w:pPr>
      <w:spacing w:after="240"/>
      <w:ind w:firstLine="0"/>
    </w:pPr>
    <w:rPr>
      <w:b/>
      <w:sz w:val="28"/>
    </w:rPr>
  </w:style>
  <w:style w:type="character" w:customStyle="1" w:styleId="ABNTCaptuloChar">
    <w:name w:val="ABNT Capítulo Char"/>
    <w:basedOn w:val="ABNTChar"/>
    <w:link w:val="ABNTCaptulo"/>
    <w:rsid w:val="00081745"/>
    <w:rPr>
      <w:rFonts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/>
</file>

<file path=customXml/itemProps1.xml><?xml version="1.0" encoding="utf-8"?>
<ds:datastoreItem xmlns:ds="http://schemas.openxmlformats.org/officeDocument/2006/customXml" ds:itemID="{F9ABC082-8423-4DCD-9636-2CEA68632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1496</Words>
  <Characters>8082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André Matte</dc:creator>
  <cp:keywords/>
  <dc:description/>
  <cp:lastModifiedBy>Gabriel André Matte</cp:lastModifiedBy>
  <cp:revision>12</cp:revision>
  <dcterms:created xsi:type="dcterms:W3CDTF">2023-10-05T04:17:00Z</dcterms:created>
  <dcterms:modified xsi:type="dcterms:W3CDTF">2023-10-30T04:25:00Z</dcterms:modified>
</cp:coreProperties>
</file>