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17971" cy="377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unicesum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7971" cy="37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05599" cy="7055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o-efeito-rebot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599" cy="705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i w:val="0"/>
          <w:sz w:val="32"/>
        </w:rPr>
        <w:t>Relatório da Atividade Extensionista</w:t>
      </w:r>
    </w:p>
    <w:p>
      <w:r>
        <w:rPr>
          <w:b w:val="0"/>
          <w:i w:val="0"/>
          <w:color w:val="666666"/>
          <w:sz w:val="16"/>
        </w:rPr>
        <w:t>Projeto de Extensão Efeito Rebote • Versão para correção</w:t>
      </w:r>
    </w:p>
    <w:p>
      <w:pPr>
        <w:spacing w:before="280" w:after="80"/>
        <w:pBdr>
          <w:bottom w:val="single" w:sz="6" w:space="1" w:color="BBBBBB"/>
        </w:pBdr>
      </w:pPr>
      <w:r>
        <w:rPr>
          <w:b/>
          <w:i w:val="0"/>
          <w:sz w:val="21"/>
        </w:rPr>
        <w:t>1) Identificação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  <w:insideH w:val="single" w:sz="4" w:space="0" w:color="EEEEEE"/>
          <w:insideV w:val="single" w:sz="4" w:space="0" w:color="EEEEEE"/>
        </w:tblBorders>
        <w:tblLayout w:type="fixed"/>
      </w:tblPr>
      <w:tblGrid>
        <w:gridCol w:w="2381"/>
        <w:gridCol w:w="7824"/>
      </w:tblGrid>
      <w:tr>
        <w:tc>
          <w:tcPr>
            <w:tcW w:type="dxa" w:w="2381"/>
          </w:tcPr>
          <w:p>
            <w:r>
              <w:rPr>
                <w:b/>
                <w:i w:val="0"/>
                <w:color w:val="444444"/>
              </w:rPr>
              <w:t>Tipo</w:t>
            </w:r>
          </w:p>
        </w:tc>
        <w:tc>
          <w:tcPr>
            <w:tcW w:type="dxa" w:w="7824"/>
          </w:tcPr>
          <w:p>
            <w:pPr>
              <w:jc w:val="both"/>
            </w:pPr>
            <w:r>
              <w:rPr>
                <w:b w:val="0"/>
                <w:i w:val="0"/>
                <w:color w:val="444444"/>
              </w:rPr>
              <w:t>Projetos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i w:val="0"/>
                <w:color w:val="444444"/>
              </w:rPr>
              <w:t>Título</w:t>
            </w:r>
          </w:p>
        </w:tc>
        <w:tc>
          <w:tcPr>
            <w:tcW w:type="dxa" w:w="7824"/>
          </w:tcPr>
          <w:p>
            <w:pPr>
              <w:jc w:val="both"/>
            </w:pPr>
            <w:r>
              <w:rPr>
                <w:b w:val="0"/>
                <w:i w:val="0"/>
                <w:color w:val="444444"/>
              </w:rPr>
              <w:t>Projeto de Extensão Efeito Rebote: o custo da reincidência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i w:val="0"/>
                <w:color w:val="444444"/>
              </w:rPr>
              <w:t>Responsável</w:t>
            </w:r>
          </w:p>
        </w:tc>
        <w:tc>
          <w:tcPr>
            <w:tcW w:type="dxa" w:w="7824"/>
          </w:tcPr>
          <w:p>
            <w:pPr>
              <w:jc w:val="both"/>
            </w:pPr>
            <w:r>
              <w:rPr>
                <w:b w:val="0"/>
                <w:i w:val="0"/>
                <w:color w:val="444444"/>
              </w:rPr>
              <w:t>Camila Virissimo Rodrigues da Silva Moreira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i w:val="0"/>
                <w:color w:val="444444"/>
              </w:rPr>
              <w:t>Unidade</w:t>
            </w:r>
          </w:p>
        </w:tc>
        <w:tc>
          <w:tcPr>
            <w:tcW w:type="dxa" w:w="7824"/>
          </w:tcPr>
          <w:p>
            <w:pPr>
              <w:jc w:val="both"/>
            </w:pPr>
            <w:r>
              <w:rPr>
                <w:b w:val="0"/>
                <w:i w:val="0"/>
                <w:color w:val="444444"/>
              </w:rPr>
              <w:t>Maringá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i w:val="0"/>
                <w:color w:val="444444"/>
              </w:rPr>
              <w:t>Curso propositor</w:t>
            </w:r>
          </w:p>
        </w:tc>
        <w:tc>
          <w:tcPr>
            <w:tcW w:type="dxa" w:w="7824"/>
          </w:tcPr>
          <w:p>
            <w:pPr>
              <w:jc w:val="both"/>
            </w:pPr>
            <w:r>
              <w:rPr>
                <w:b w:val="0"/>
                <w:i w:val="0"/>
                <w:color w:val="444444"/>
              </w:rPr>
              <w:t>Direito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i w:val="0"/>
                <w:color w:val="444444"/>
              </w:rPr>
              <w:t>Cursos vinculados</w:t>
            </w:r>
          </w:p>
        </w:tc>
        <w:tc>
          <w:tcPr>
            <w:tcW w:type="dxa" w:w="7824"/>
          </w:tcPr>
          <w:p>
            <w:pPr>
              <w:jc w:val="both"/>
            </w:pPr>
            <w:r>
              <w:rPr>
                <w:b w:val="0"/>
                <w:i w:val="0"/>
                <w:color w:val="444444"/>
              </w:rPr>
              <w:t>Nenhum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i w:val="0"/>
                <w:color w:val="444444"/>
              </w:rPr>
              <w:t>Eixo</w:t>
            </w:r>
          </w:p>
        </w:tc>
        <w:tc>
          <w:tcPr>
            <w:tcW w:type="dxa" w:w="7824"/>
          </w:tcPr>
          <w:p>
            <w:pPr>
              <w:jc w:val="both"/>
            </w:pPr>
            <w:r>
              <w:rPr>
                <w:b w:val="0"/>
                <w:i w:val="0"/>
                <w:color w:val="444444"/>
              </w:rPr>
              <w:t>-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i w:val="0"/>
                <w:color w:val="444444"/>
              </w:rPr>
              <w:t>Competência</w:t>
            </w:r>
          </w:p>
        </w:tc>
        <w:tc>
          <w:tcPr>
            <w:tcW w:type="dxa" w:w="7824"/>
          </w:tcPr>
          <w:p>
            <w:pPr>
              <w:jc w:val="both"/>
            </w:pPr>
            <w:r>
              <w:rPr>
                <w:b w:val="0"/>
                <w:i w:val="0"/>
                <w:color w:val="444444"/>
              </w:rPr>
              <w:t>Competencia 1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i w:val="0"/>
                <w:color w:val="444444"/>
              </w:rPr>
              <w:t>ODS principal</w:t>
            </w:r>
          </w:p>
        </w:tc>
        <w:tc>
          <w:tcPr>
            <w:tcW w:type="dxa" w:w="7824"/>
          </w:tcPr>
          <w:p>
            <w:pPr>
              <w:jc w:val="both"/>
            </w:pPr>
            <w:r>
              <w:rPr>
                <w:b w:val="0"/>
                <w:i w:val="0"/>
                <w:color w:val="444444"/>
              </w:rPr>
              <w:t>16 - Paz, Justiça e Instituições Eficazes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i w:val="0"/>
                <w:color w:val="444444"/>
              </w:rPr>
              <w:t>ODS secundárias</w:t>
            </w:r>
          </w:p>
        </w:tc>
        <w:tc>
          <w:tcPr>
            <w:tcW w:type="dxa" w:w="7824"/>
          </w:tcPr>
          <w:p>
            <w:pPr>
              <w:jc w:val="both"/>
            </w:pPr>
            <w:r>
              <w:rPr>
                <w:b w:val="0"/>
                <w:i w:val="0"/>
                <w:color w:val="444444"/>
              </w:rPr>
              <w:t>3 - Saúde e Bem-Estar • 10 - Redução das Desigualdades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i w:val="0"/>
                <w:color w:val="444444"/>
              </w:rPr>
              <w:t>Ciclo</w:t>
            </w:r>
          </w:p>
        </w:tc>
        <w:tc>
          <w:tcPr>
            <w:tcW w:type="dxa" w:w="7824"/>
          </w:tcPr>
          <w:p>
            <w:pPr>
              <w:jc w:val="both"/>
            </w:pPr>
            <w:r>
              <w:rPr>
                <w:b w:val="0"/>
                <w:i w:val="0"/>
                <w:color w:val="444444"/>
              </w:rPr>
              <w:t>Semestral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i w:val="0"/>
                <w:color w:val="444444"/>
              </w:rPr>
              <w:t>Semestre(s)</w:t>
            </w:r>
          </w:p>
        </w:tc>
        <w:tc>
          <w:tcPr>
            <w:tcW w:type="dxa" w:w="7824"/>
          </w:tcPr>
          <w:p>
            <w:pPr>
              <w:jc w:val="both"/>
            </w:pPr>
            <w:r>
              <w:rPr>
                <w:b w:val="0"/>
                <w:i w:val="0"/>
                <w:color w:val="444444"/>
              </w:rPr>
              <w:t>[PENDENTE: semestres das turmas participantes]</w:t>
            </w:r>
          </w:p>
        </w:tc>
      </w:tr>
    </w:tbl>
    <w:p>
      <w:pPr>
        <w:spacing w:before="280" w:after="80"/>
        <w:pBdr>
          <w:bottom w:val="single" w:sz="6" w:space="1" w:color="BBBBBB"/>
        </w:pBdr>
      </w:pPr>
      <w:r>
        <w:rPr>
          <w:b/>
          <w:i w:val="0"/>
          <w:sz w:val="21"/>
        </w:rPr>
        <w:t>2) Períodos e vagas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  <w:insideH w:val="single" w:sz="4" w:space="0" w:color="EEEEEE"/>
          <w:insideV w:val="single" w:sz="4" w:space="0" w:color="EEEEEE"/>
        </w:tblBorders>
        <w:tblLayout w:type="fixed"/>
      </w:tblPr>
      <w:tblGrid>
        <w:gridCol w:w="2381"/>
        <w:gridCol w:w="7824"/>
      </w:tblGrid>
      <w:tr>
        <w:tc>
          <w:tcPr>
            <w:tcW w:type="dxa" w:w="2381"/>
          </w:tcPr>
          <w:p>
            <w:r>
              <w:rPr>
                <w:b/>
                <w:i w:val="0"/>
                <w:color w:val="444444"/>
              </w:rPr>
              <w:t>Início / Fim da atividade</w:t>
            </w:r>
          </w:p>
        </w:tc>
        <w:tc>
          <w:tcPr>
            <w:tcW w:type="dxa" w:w="7824"/>
          </w:tcPr>
          <w:p>
            <w:pPr>
              <w:jc w:val="both"/>
            </w:pPr>
            <w:r>
              <w:rPr>
                <w:b w:val="0"/>
                <w:i w:val="0"/>
                <w:color w:val="444444"/>
              </w:rPr>
              <w:t>[PENDENTE: data de início] — [PENDENTE: data do último encontro]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i w:val="0"/>
                <w:color w:val="444444"/>
              </w:rPr>
              <w:t>Inscrições</w:t>
            </w:r>
          </w:p>
        </w:tc>
        <w:tc>
          <w:tcPr>
            <w:tcW w:type="dxa" w:w="7824"/>
          </w:tcPr>
          <w:p>
            <w:pPr>
              <w:jc w:val="both"/>
            </w:pPr>
            <w:r>
              <w:rPr>
                <w:b w:val="0"/>
                <w:i w:val="0"/>
                <w:color w:val="444444"/>
              </w:rPr>
              <w:t>Inscrição dos participantes realizada pela coordenação do curso no UniGestor, após a aprovação do projeto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i w:val="0"/>
                <w:color w:val="444444"/>
              </w:rPr>
              <w:t>Carga horária total</w:t>
            </w:r>
          </w:p>
        </w:tc>
        <w:tc>
          <w:tcPr>
            <w:tcW w:type="dxa" w:w="7824"/>
          </w:tcPr>
          <w:p>
            <w:pPr>
              <w:jc w:val="both"/>
            </w:pPr>
            <w:r>
              <w:rPr>
                <w:b w:val="0"/>
                <w:i w:val="0"/>
                <w:color w:val="444444"/>
              </w:rPr>
              <w:t>[PENDENTE: carga horária total definida pela coordenação]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i w:val="0"/>
                <w:color w:val="444444"/>
              </w:rPr>
              <w:t>Vagas</w:t>
            </w:r>
          </w:p>
        </w:tc>
        <w:tc>
          <w:tcPr>
            <w:tcW w:type="dxa" w:w="7824"/>
          </w:tcPr>
          <w:p>
            <w:pPr>
              <w:jc w:val="both"/>
            </w:pPr>
            <w:r>
              <w:rPr>
                <w:b w:val="0"/>
                <w:i w:val="0"/>
                <w:color w:val="444444"/>
              </w:rPr>
              <w:t>80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i w:val="0"/>
                <w:color w:val="444444"/>
              </w:rPr>
              <w:t>Comunidade participante</w:t>
            </w:r>
          </w:p>
        </w:tc>
        <w:tc>
          <w:tcPr>
            <w:tcW w:type="dxa" w:w="7824"/>
          </w:tcPr>
          <w:p>
            <w:pPr>
              <w:jc w:val="both"/>
            </w:pPr>
            <w:r>
              <w:rPr>
                <w:b w:val="0"/>
                <w:i w:val="0"/>
                <w:color w:val="444444"/>
              </w:rPr>
              <w:t>O projeto é destinado aos acadêmicos do curso de Direito dos períodos matutino e noturno, com aproximadamente 80 participantes, que atuam como protagonistas na construção e na execução das ações. A comunidade atendida compreende as pessoas privadas de liberdade custodiadas na Penitenciária Estadual de Maringá (PEM), na Casa de Custódia de Maringá (CCM) e na Colônia Penal Industrial de Maringá (CPIM), bem como, de forma indireta, os seus familiares, sobre os quais recai frequentemente o custo da aquisição de itens de higiene.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A comunidade acadêmica e a comunidade externa (familiares, amigos e colegas de trabalho dos estudantes e seguidores das redes do projeto) participam como público das ações de conscientização e como apoiadoras da campanha de arrecadação.</w:t>
            </w:r>
          </w:p>
        </w:tc>
      </w:tr>
    </w:tbl>
    <w:p>
      <w:pPr>
        <w:spacing w:before="280" w:after="80"/>
        <w:pBdr>
          <w:bottom w:val="single" w:sz="6" w:space="1" w:color="BBBBBB"/>
        </w:pBdr>
      </w:pPr>
      <w:r>
        <w:rPr>
          <w:b/>
          <w:i w:val="0"/>
          <w:sz w:val="21"/>
        </w:rPr>
        <w:t>3) Dimensão pedagógica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  <w:insideH w:val="single" w:sz="4" w:space="0" w:color="EEEEEE"/>
          <w:insideV w:val="single" w:sz="4" w:space="0" w:color="EEEEEE"/>
        </w:tblBorders>
        <w:tblLayout w:type="fixed"/>
      </w:tblPr>
      <w:tblGrid>
        <w:gridCol w:w="2381"/>
        <w:gridCol w:w="7824"/>
      </w:tblGrid>
      <w:tr>
        <w:tc>
          <w:tcPr>
            <w:tcW w:type="dxa" w:w="2381"/>
          </w:tcPr>
          <w:p>
            <w:r>
              <w:rPr>
                <w:b/>
                <w:i w:val="0"/>
                <w:color w:val="444444"/>
              </w:rPr>
              <w:t>Justificativa</w:t>
            </w:r>
          </w:p>
        </w:tc>
        <w:tc>
          <w:tcPr>
            <w:tcW w:type="dxa" w:w="7824"/>
          </w:tcPr>
          <w:p>
            <w:pPr>
              <w:jc w:val="both"/>
            </w:pPr>
            <w:r>
              <w:rPr>
                <w:b w:val="0"/>
                <w:i w:val="0"/>
                <w:color w:val="444444"/>
              </w:rPr>
              <w:t>A extensão universitária integra, ao lado do ensino e da pesquisa, o tripé da educação superior brasileira: a Constituição Federal, em seu art. 207, estabelece a indissociabilidade entre ensino, pesquisa e extensão. A Resolução CNE/CES nº 7/2018, que regulamenta a Meta 12.7 do Plano Nacional de Educação (Lei nº 13.005/2014), determina que as atividades de extensão componham no mínimo 10% da carga horária curricular dos cursos de graduação e orienta que sejam dirigidas prioritariamente a áreas de grande pertinência social. No curso de Direito, essa vivência permite ao acadêmico compreender a aplicação prática das normas jurídicas e os efeitos que delas decorrem sobre a vida das pessoas.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O sistema carcerário brasileiro atravessa uma crise estrutural reconhecida pelo Supremo Tribunal Federal, no julgamento da ADPF 347, como um "estado de coisas inconstitucional". A Lei de Execução Penal (Lei nº 7.210/1984) assegura à pessoa presa assistência material e assistência à saúde de caráter preventivo e curativo (arts. 12, 14 e 41). A literatura científica, contudo, documenta escassez crônica de insumos básicos de higiene nas unidades prisionais, o que submete os custodiados a condições degradantes de habitação e convivência (DIUANA et al., 2008; MINAYO; RIBEIRO, 2016; LÔBO et al., 2022). Diante dessa insuficiência, os familiares frequentemente assumem o custo dos itens de higiene e dos medicamentos de uso rotineiro (DIUANA et al., 2008; MINAYO; RIBEIRO, 2016).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Os estudos indicam que a higiene precária mantém associação multifatorial com o adoecimento no cárcere, atuando em conjunto com a superlotação, a ventilação inadequada e a alimentação deficiente (GOIS et al., 2012; MINAYO; RIBEIRO, 2016). Em inquérito com 1.573 presos do Rio de Janeiro, Minayo e Ribeiro (2016) registraram elevada prevalência autorreferida de doenças de pele, com destaque para alergias e dermatites (43,4%). Quando o preso adoece, o Estado mobiliza atendimento interno, medicamentos, exames, agentes prisionais, escoltas e a rede externa do SUS; em unidades paulistas, a falta de escolta foi o problema mais citado nos encaminhamentos de saúde, relatado por 53 das 69 penitenciárias masculinas pesquisadas (FERNANDES et al., 2014). Esses estudos, porém, não apresentam valores em reais nem comparam o custo da prevenção com o do tratamento; por isso, o projeto trata a relação entre prevenção e redução de custos como hipótese, e não como fato comprovado.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Nesse contexto, o projeto utiliza a expressão "efeito rebote" como categoria de análise para compreender o encadeamento de consequências decorrentes da insuficiência da assistência material: a ausência de itens básicos de higiene pode contribuir para o agravamento das condições sanitárias, gerando demandas posteriores de maior complexidade que retornam ao próprio Estado (atendimentos, deslocamentos e escoltas) e que alcançam também as famílias, sobre as quais recai parte dos custos, com prejuízo à manutenção dos vínculos durante o cumprimento da pena.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A realidade de Maringá confirma a pertinência do recorte. Relatórios de inspeção da Defensoria Pública do Paraná registraram, em 2025, ocupação acima da capacidade nas três unidades: 1.198 presos para 960 vagas na CCM (março), 423 para 330 na CPIM e 523 para 360 na PEM (maio). Os mesmos relatórios apontam falta de creme dental e escova na CCM; falta de pasta de dente, aparelho de barbear e escova na PEM; e, na CPIM, que o kit de higiene não vinha sendo enviado completo, sendo os itens em falta supridos pelo Conselho da Comunidade (PARANÁ, 2025a; 2025b; 2025c). Trata-se de dados declarados pelas direções e referentes a um único dia de inspeção, mas que indicam, no próprio território do projeto, a carência dos itens que a campanha pretende arrecadar.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A intervenção proposta não pretende solucionar o problema estrutural da assistência material no sistema prisional nem substituir a responsabilidade estatal pela garantia desses direitos. A arrecadação e a entrega de materiais de higiene constituem uma intervenção pontual, voltada à mitigação de uma das consequências concretas dessa insuficiência, que permite aos acadêmicos observar na prática os efeitos sociais e institucionais do problema estudado e relacioná-los aos conteúdos de Direito Penal, Direito Processual Penal e Execução Penal.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i w:val="0"/>
                <w:color w:val="444444"/>
              </w:rPr>
              <w:t>Objetivo da atividade na comunidade</w:t>
            </w:r>
          </w:p>
        </w:tc>
        <w:tc>
          <w:tcPr>
            <w:tcW w:type="dxa" w:w="7824"/>
          </w:tcPr>
          <w:p>
            <w:pPr>
              <w:jc w:val="both"/>
            </w:pPr>
            <w:r>
              <w:rPr>
                <w:b w:val="0"/>
                <w:i w:val="0"/>
                <w:color w:val="444444"/>
              </w:rPr>
              <w:t>Contribuir para a efetivação da assistência material às pessoas privadas de liberdade da PEM, da CCM e da CPIM, por meio da arrecadação, triagem e entrega de itens de higiene pessoal em conformidade com as normas da Polícia Penal do Paraná, e conscientizar a comunidade acadêmica e externa sobre o "efeito rebote" da desassistência material, promovendo, ao mesmo tempo, a formação humanística, crítica e cidadã dos acadêmicos de Direito.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Objetivos específicos: (1) avaliar condições que coloquem apenados em situação de risco; (2) promover o acolhimento às famílias daqueles em reclusão; (3) realizar busca e arrecadação de insumos conforme a necessidade das instituições PEM, CCM e CPIM; (4) promover campanhas de doação para as instituições PEM, CCM e CPIM; (5) estimular nos acadêmicos de Direito o pensamento crítico, humanístico e de cidadania; e (6) promover na sociedade em geral a responsabilidade social.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i w:val="0"/>
                <w:color w:val="444444"/>
              </w:rPr>
              <w:t>Habilidades e atitudes desenvolvidas</w:t>
            </w:r>
          </w:p>
        </w:tc>
        <w:tc>
          <w:tcPr>
            <w:tcW w:type="dxa" w:w="7824"/>
          </w:tcPr>
          <w:p>
            <w:pPr>
              <w:jc w:val="both"/>
            </w:pPr>
            <w:r>
              <w:rPr>
                <w:b w:val="0"/>
                <w:i w:val="0"/>
                <w:color w:val="444444"/>
              </w:rPr>
              <w:t>Conhecimentos: execução penal e direitos da pessoa presa (LEP, Constituição Federal, Regras de Mandela); estrutura e finalidade dos estabelecimentos prisionais de Maringá; impactos sociais, econômicos e sanitários da insuficiência da assistência material; noções de gestão de campanhas e de prestação de contas.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Habilidades: pesquisa e análise crítica de dados oficiais; comunicação escrita e oral; produção de conteúdo informativo para redes sociais; planejamento, organização logística e controle de arrecadação; trabalho em equipe e liderança de iniciativas coletivas.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Atitudes: empatia e compreensão humanizada da realidade prisional, superando estigmas; responsabilidade social e compromisso com a dignidade da pessoa humana; ética e transparência no manejo de doações e recursos; postura respeitosa e observância das normas de segurança durante as visitas técnicas.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A participação nas etapas de pesquisa, organização, arrecadação, triagem, visitas técnicas e entrega aproxima os acadêmicos de uma realidade conhecida, em geral, apenas pela legislação, pela doutrina e pelos estudos acadêmicos, ampliando a compreensão da diferença entre a previsão formal de direitos e sua efetiva concretização no sistema prisional.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i w:val="0"/>
                <w:color w:val="444444"/>
              </w:rPr>
              <w:t>Identidade visual e materiais</w:t>
            </w:r>
          </w:p>
        </w:tc>
        <w:tc>
          <w:tcPr>
            <w:tcW w:type="dxa" w:w="7824"/>
          </w:tcPr>
          <w:p>
            <w:pPr>
              <w:jc w:val="both"/>
            </w:pPr>
            <w:r>
              <w:rPr>
                <w:b w:val="0"/>
                <w:i w:val="0"/>
                <w:color w:val="444444"/>
              </w:rPr>
              <w:t>A identidade visual do projeto baseia-se em um emblema circular que traduz as falhas estruturais da execução penal. O azul marinho da borda e da tipografia transmite institucionalidade e seriedade jurídica; o ciclo de setas em vermelho bordô e amarelo dourado, cores de alerta, representa a continuidade e o alto custo do ciclo de reincidência (Figuras 01 e 02). Ao centro, a balança da justiça contrapõe o peso da lei, representado pelo Código Penal, ao peso econômico da desassistência, representado por um cifrão fraturado com moedas em queda; ao fundo, grades e muros fundidos à arquitetura estatal situam o problema na intersecção entre o cárcere e as políticas públicas.</w:t>
            </w:r>
          </w:p>
          <w:p>
            <w:pPr>
              <w:spacing w:before="160"/>
            </w:pPr>
            <w:r>
              <w:rPr>
                <w:b/>
                <w:i w:val="0"/>
                <w:color w:val="444444"/>
                <w:sz w:val="17"/>
              </w:rPr>
              <w:t>Figura 01: Logotipo oficial do projeto Efeito Rebote.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201663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1-logo-oficial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0166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 w:val="0"/>
                <w:i w:val="0"/>
                <w:color w:val="666666"/>
                <w:sz w:val="16"/>
              </w:rPr>
              <w:t>Fonte: Elaborado pelos autores (2026).</w:t>
            </w:r>
          </w:p>
          <w:p>
            <w:pPr>
              <w:spacing w:before="160"/>
            </w:pPr>
            <w:r>
              <w:rPr>
                <w:b/>
                <w:i w:val="0"/>
                <w:color w:val="444444"/>
                <w:sz w:val="17"/>
              </w:rPr>
              <w:t>Figura 02: Logotipo Efeito Rebote (versão estilizada).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201394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2-logo-estilizado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0139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 w:val="0"/>
                <w:i w:val="0"/>
                <w:color w:val="666666"/>
                <w:sz w:val="16"/>
              </w:rPr>
              <w:t>Fonte: Elaborado pelos autores (2026).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Com base nessa identidade, foram prototipados os materiais da campanha (Figura 03): folder tríptico educativo com resumo dos arts. 12 e 14 da LEP; flyer de balcão com QR Code para os pontos de coleta e as restrições dos itens; caixas de coleta padronizadas, nos modelos em papelão reaproveitado e compacto em madeira; e peças digitais para as redes sociais, como carrosséis informativos sobre os itens aceitos. Todo material segue as regras de aprovação prévia descritas na metodologia.</w:t>
            </w:r>
          </w:p>
          <w:p>
            <w:pPr>
              <w:spacing w:before="160"/>
            </w:pPr>
            <w:r>
              <w:rPr>
                <w:b/>
                <w:i w:val="0"/>
                <w:color w:val="444444"/>
                <w:sz w:val="17"/>
              </w:rPr>
              <w:t>Figura 03: Mockups dos materiais da campanha Efeito Rebote.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80000" cy="238387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3-mockups-materiais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383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 w:val="0"/>
                <w:i w:val="0"/>
                <w:color w:val="666666"/>
                <w:sz w:val="16"/>
              </w:rPr>
              <w:t>Fonte: Elaborado pelos autores (2026).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i w:val="0"/>
                <w:color w:val="444444"/>
              </w:rPr>
              <w:t>Metodologia</w:t>
            </w:r>
          </w:p>
        </w:tc>
        <w:tc>
          <w:tcPr>
            <w:tcW w:type="dxa" w:w="7824"/>
          </w:tcPr>
          <w:p>
            <w:pPr>
              <w:jc w:val="both"/>
            </w:pPr>
            <w:r>
              <w:rPr>
                <w:b w:val="0"/>
                <w:i w:val="0"/>
                <w:color w:val="444444"/>
              </w:rPr>
              <w:t>Os encontros ocorrem semanalmente, às segundas-feiras, às 18h15, com acompanhamento da professora responsável e registro de frequência, totalizando 15 encontros: o 1º e o 2º destinam-se à construção do projeto; do 3º ao 13º, ao desenvolvimento das atividades conforme os encaminhamentos da turma; o 14º, às visitas técnicas; e o 15º, à discussão dos resultados e à elaboração do relatório final. O conteúdo de cada encontro está detalhado no cronograma.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A metodologia fundamenta-se na Aprendizagem Baseada em Projetos (PjBL), organizada em seis etapas integradas: (1) imersão e identificação do problema, com estudo da realidade prisional de Maringá; (2) seleção e delimitação do problema prioritário — a insuficiência de itens de higiene e o "efeito rebote"; (3) análise do problema e levantamento das necessidades de aprendizagem; (4) estudo e investigação, com aprofundamento teórico e normativo; (5) planejamento e execução da intervenção — campanha de conscientização, arrecadação, rifa solidária e visitas técnicas com entrega dos itens; e (6) sistematização dos resultados, reflexão e elaboração do relatório final. Os estudantes organizam-se em quatro equipes — Apresentação e Visitas, Criação e Audiovisual, Pesquisa e Escrita, e Logística e Arrecadação —, e todo o conteúdo produzido é encaminhado à professora responsável para análise e aprovação antes da execução ou publicação.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Itens arrecadados. Em conformidade com as restrições de segurança das unidades prisionais, serão aceitos exclusivamente: (1) escova dental simples; (2) creme dental de até 100 g; (3) aparelho de barbear descartável de duas lâminas; (4) sabão em pó em pacote de até 500 g; e (5) detergente em embalagem transparente de até 500 ml. Itens fora dessas especificações serão separados e destinados a outras instituições de caridade do município.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Arrecadação direta. Caixas de coleta identificadas com a marca "PONTO DE COLETA: EFEITO REBOTE" e com a lista dos itens aceitos serão instaladas em locais de grande circulação do campus, mediante autorização da instituição. A equipe de Logística e Arrecadação fará o recolhimento e a triagem semanal, registrando em planilha a quantidade de cada item recebido. Os itens serão armazenados em espaço cedido pela coordenação até a entrega.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Ações junto à sociedade. Para que o projeto alcance a comunidade externa e não apenas o ambiente acadêmico, a rifa funcionará também como instrumento de conscientização, pois cada bilhete leva o perfil @efeitorebote.oficial e um QR Code de acesso ao conteúdo informativo do projeto, e os acadêmicos atuarão como multiplicadores, explicando o projeto a familiares, amigos e colegas de trabalho no momento da venda. A instituição parceira é a UniCesumar, que cede os espaços do campus para os pontos de coleta, o local de armazenamento, o transporte institucional e a cota de impressão. Outras instituições da comunidade de Maringá, como igrejas, delegacias e estabelecimentos comerciais, poderão receber pontos de coleta externos e material informativo sobre o "efeito rebote", mediante aprovação da professora responsável e autorização do responsável pelo local, seguindo as mesmas regras de identificação, recolhimento, triagem e registro dos pontos do campus.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Ações de mobilização para a arrecadação. Para chamar a atenção da comunidade e ampliar as doações, serão realizadas: (1) intervenção visual no pátio do campus, com cenário temático montado com a identidade visual do projeto, exposição dos cinco itens aceitos, informações sobre o "efeito rebote" e caixa de coleta, com acadêmicos em escala para explicar o projeto ao público; (2) caixas de coleta personalizadas em comércios locais de Maringá, instaladas com autorização do responsável por cada estabelecimento e recolhidas semanalmente pela equipe de Logística e Arrecadação; e (3) peças de grande formato, como banners e faixas no campus, produzidas com a cota de impressão institucional — a veiculação em outdoor somente ocorrerá se houver cessão gratuita do espaço, preservando a estratégia de custo zero. Todas as ações dependem de autorização prévia da professora responsável e da instituição, e o cenário evitará qualquer representação sensacionalista ou estigmatizante das pessoas privadas de liberdade.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Rifa solidária. Como forma complementar de arrecadação, será realizada uma rifa com bilhetes numerados de 0001 a 2400, ao valor de R$ 5,00 cada. Cada acadêmico receberá um bloco de 30 bilhetes numerados em sequência, vendidos em sua rede de contatos, o que distribui a responsabilidade de forma igualitária e dispensa a organização de eventos. Para que a rifa também cumpra função de conscientização, cada bilhete trará o perfil do projeto no Instagram (@efeitorebote.oficial) e um QR Code de acesso a ele, de modo que o comprador, ao guardar o bilhete, tenha acesso ao conteúdo informativo do projeto. Como cada acadêmico vende de forma independente, o controle é centralizado no sistema on-line de vendas desenvolvido pela turma (aplicativo web acessado pelo celular com o e-mail cadastrado do acadêmico): a cada venda, o vendedor preenche o canhoto e registra no sistema, no mesmo dia, os números vendidos, o nome e o telefone do comprador e a forma de pagamento; o sistema só permite registrar números do bloco do próprio acadêmico, impede que um número seja vendido duas vezes e constitui o registro oficial da rifa. Para pagamentos por PIX, o sistema gera o código com o valor exato e a identificação do pedido, e o pagamento cai diretamente na conta de recebimento da comissão financeira — conta de uso exclusivo da rifa, indicada pela comissão e aprovada pela professora responsável —, de modo que o dinheiro não fique com o vendedor; valores em espécie são entregues à comissão nos acertos semanais, realizados às segundas-feiras nos encontros, quando o registro é conferido com os extratos. Somente participam do sorteio os bilhetes registrados e pagos até 30/10/2026, às 23h59; a lista dos números participantes, sem dados pessoais, é publicada no perfil do projeto em 01/11/2026. O prêmio será um tablet Samsung Galaxy Tab A11+ (11 polegadas, Wi-Fi) ou modelo equivalente. O sorteio ocorrerá em 02/11/2026, às [PENDENTE: horário], com transmissão ao vivo no @efeitorebote.oficial: os números da lista oficial são impressos, dobrados e depositados em urna, e um número é retirado na presença da professora responsável e de duas testemunhas, com lavratura de ata; por ser transmitido on-line, o sorteio independe do funcionamento do campus. Os valores arrecadados, deduzido o custo de aquisição do prêmio, serão destinados exclusivamente à compra dos itens listados, com comprovação por nota fiscal e prestação de contas à professora responsável e à turma. A realização da rifa está condicionada à autorização da instituição, observadas as normas institucionais e a legislação aplicável; o regulamento completo consta do Anexo 1.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Divulgação e redes sociais. A divulgação adotará estratégias de custo zero: avisos nos murais e telões do campus, representantes de turma como multiplicadores e perfis do projeto nas redes sociais. A primeira publicação terá caráter exclusivamente informativo, apresentando e explicando o projeto, sem pedido de arrecadação. As redes terão três publicações semanais (carrosséis informativos, vídeos curtos e conteúdos sobre a realidade prisional e os direitos da pessoa presa), todas previamente aprovadas pela professora responsável e em conformidade com as regras institucionais. Não serão publicadas imagens ou dados que identifiquem pessoas privadas de liberdade.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Visitas técnicas e entrega. As visitas à PEM, à CCM e à CPIM estão previstas para 04 e 05 de novembro, em grupos de até 50 alunos, com acompanhamento docente obrigatório e transporte institucional, observadas as normas de segurança das unidades. A entrega dos itens arrecadados será integrada às visitas e registrada em termo de entrega com os quantitativos por unidade.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Proteção de dados. O nome e o telefone dos compradores são coletados exclusivamente para identificação dos bilhetes e contato com o ganhador, ficam acessíveis apenas ao vendedor e à comissão financeira, não são divulgados e serão eliminados após a entrega do prêmio, em observância à Lei Geral de Proteção de Dados (Lei nº 13.709/2018).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Impressão dos materiais. Os bilhetes (480 folhas A4, cinco bilhetes por folha, seis folhas por acadêmico) e os demais materiais impressos serão produzidos com a cota de impressão institucional, [PENDENTE: confirmar com a coordenação se a cota comporta esse volume]; não haverá gasto com impressão retirado dos recursos destinados aos itens.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Prestação de contas e frequência. A comissão financeira confirma cada pagamento no sistema após conferir o extrato ou receber o valor em espécie; cada confirmação gera automaticamente o lançamento correspondente em livro-caixa que não admite edição nem exclusão (correções apenas por estorno), e toda despesa exige número e imagem da nota fiscal. O sistema verifica continuamente se as entradas correspondem aos bilhetes confirmados e se o saldo confere, e uma página pública de transparência, divulgada no perfil do projeto, apresenta os números participantes e os valores arrecadados e gastos, sem dados pessoais, levando à sociedade o acompanhamento da ação. Ao final, será elaborado relatório de transparência com o quantitativo arrecadado e entregue por tipo de item e por unidade, o valor obtido com a rifa e os comprovantes de compra. A frequência dos acadêmicos é registrada em cada encontro, e as entregas individuais descritas no cronograma compõem o relatório final do projeto.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Ajustes em relação ao pré-projeto aprovado. Esta versão mantém a fundamentação, os objetivos e a meta de referência de mais de 8.000 itens do pré-projeto (Anexo 3) e incorpora: (1) a lista atualizada de itens, que acrescenta o sabão em pó e define o limite de cada produto; como o pré-projeto especificava creme dental branco, a lista final — tipo, cor, embalagem e forma de entrega — será validada com a PEM, a CCM e a CPIM antes de qualquer aquisição; (2) a rifa solidária como fonte complementar de recursos: a divulgação permanece de custo zero, e a receita da rifa, deduzido o prêmio, destina-se exclusivamente à compra de itens; (3) as ações de mobilização e junto à sociedade; (4) o sistema on-line de controle de vendas e prestação de contas; e (5) a reformulação dos objetivos específicos e o tratamento do "efeito rebote" como categoria de análise fundamentada na literatura, sem pretensão de comprovar a relação entre prevenção e custos públicos, o que exigiria levantamento de dados alheio ao escopo da ação extensionista. O quantitativo arrecadado será acompanhado semanalmente em relação à meta.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i w:val="0"/>
                <w:color w:val="444444"/>
              </w:rPr>
              <w:t>Referências</w:t>
            </w:r>
          </w:p>
        </w:tc>
        <w:tc>
          <w:tcPr>
            <w:tcW w:type="dxa" w:w="7824"/>
          </w:tcPr>
          <w:p>
            <w:pPr>
              <w:jc w:val="both"/>
            </w:pPr>
            <w:r>
              <w:rPr>
                <w:b w:val="0"/>
                <w:i w:val="0"/>
                <w:color w:val="444444"/>
              </w:rPr>
              <w:t>BRASIL. Constituição (1988). Constituição da República Federativa do Brasil. Brasília, DF: Presidência da República, 1988.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BRASIL. Lei nº 7.210, de 11 de julho de 1984. Institui a Lei de Execução Penal. Brasília, DF: Presidência da República, 1984.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BRASIL. Lei nº 13.005, de 25 de junho de 2014. Aprova o Plano Nacional de Educação - PNE e dá outras providências. Brasília, DF: Presidência da República, 2014.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BRASIL. Ministério da Educação. Conselho Nacional de Educação. Câmara de Educação Superior. Resolução nº 7, de 18 de dezembro de 2018. Estabelece as Diretrizes para a Extensão na Educação Superior Brasileira. Brasília, DF: MEC, 2018.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BRASIL. Supremo Tribunal Federal. Arguição de Descumprimento de Preceito Fundamental 347. Brasília, DF: STF, 2023.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DIUANA, Vilma et al. Saúde em prisões: representações e práticas dos agentes de segurança penitenciária no Rio de Janeiro, Brasil. Cadernos de Saúde Pública, v. 24, n. 8, p. 1887-1896, 2008.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FERNANDES, Luiz Henrique et al. Necessidade de aprimoramento do atendimento à saúde no sistema carcerário. Revista de Saúde Pública, v. 48, n. 2, p. 275-283, 2014.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GOIS, Swyanne Macêdo et al. Para além das grades e punições: uma revisão sistemática sobre a saúde penitenciária. Ciência &amp; Saúde Coletiva, v. 17, n. 5, p. 1235-1246, 2012.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LÔBO, Nancy Meriane de Nóvoa et al. Análise do cuidado em saúde no sistema prisional do Pará, Brasil. Ciência &amp; Saúde Coletiva, v. 27, n. 12, 2022.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MINAYO, Maria Cecília de Souza; RIBEIRO, Adalgisa Peixoto. Condições de saúde dos presos do estado do Rio de Janeiro, Brasil. Ciência &amp; Saúde Coletiva, v. 21, n. 7, p. 2031-2040, 2016.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PARANÁ. Defensoria Pública do Estado do Paraná. Núcleo da Política Criminal e da Execução Penal (NUPEP). Relatório de inspeção na Casa de Custódia de Maringá (CCM). Curitiba, 2025a. Disponível em: https://www.defensoriapublica.pr.def.br/sites/default/arquivos_restritos/files/documento/2025-03/relatorio_inspecao_ccm_1.pdf. Acesso em: 2 out. 2026.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PARANÁ. Defensoria Pública do Estado do Paraná. Núcleo da Política Criminal e da Execução Penal (NUPEP). Relatório de inspeção na Colônia Penal Industrial de Maringá (CPIM). Curitiba, 2025b. Disponível em: https://www.defensoriapublica.pr.def.br/sites/default/arquivos_restritos/files/documento/2025-09/relatorio_inspecao_cpim_final.pdf. Acesso em: 2 out. 2026.</w:t>
            </w:r>
          </w:p>
          <w:p>
            <w:pPr>
              <w:spacing w:before="80"/>
              <w:jc w:val="both"/>
            </w:pPr>
            <w:r>
              <w:rPr>
                <w:b w:val="0"/>
                <w:i w:val="0"/>
                <w:color w:val="444444"/>
              </w:rPr>
              <w:t>PARANÁ. Defensoria Pública do Estado do Paraná. Núcleo da Política Criminal e da Execução Penal (NUPEP). Relatório de inspeção na Penitenciária Estadual de Maringá (PEM). Curitiba, 2025c. Disponível em: https://www.defensoriapublica.pr.def.br/sites/default/arquivos_restritos/files/documento/2025-10/relatorio_inspecao_pem.pdf. Acesso em: 2 out. 2026.</w:t>
            </w:r>
          </w:p>
        </w:tc>
      </w:tr>
    </w:tbl>
    <w:p>
      <w:pPr>
        <w:spacing w:before="280" w:after="80"/>
        <w:pBdr>
          <w:bottom w:val="single" w:sz="6" w:space="1" w:color="BBBBBB"/>
        </w:pBdr>
      </w:pPr>
      <w:r>
        <w:rPr>
          <w:b/>
          <w:i w:val="0"/>
          <w:sz w:val="21"/>
        </w:rPr>
        <w:t>4) Cronograma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</w:tblPr>
      <w:tblGrid>
        <w:gridCol w:w="1020"/>
        <w:gridCol w:w="8051"/>
        <w:gridCol w:w="1134"/>
      </w:tblGrid>
      <w:tr>
        <w:tc>
          <w:tcPr>
            <w:tcW w:type="dxa" w:w="1020"/>
          </w:tcPr>
          <w:p>
            <w:r>
              <w:rPr>
                <w:b/>
                <w:i w:val="0"/>
              </w:rPr>
              <w:t>Encontro</w:t>
            </w:r>
          </w:p>
        </w:tc>
        <w:tc>
          <w:tcPr>
            <w:tcW w:type="dxa" w:w="8050"/>
          </w:tcPr>
          <w:p>
            <w:r>
              <w:rPr>
                <w:b/>
                <w:i w:val="0"/>
              </w:rPr>
              <w:t>Descrição</w:t>
            </w:r>
          </w:p>
        </w:tc>
        <w:tc>
          <w:tcPr>
            <w:tcW w:type="dxa" w:w="1134"/>
          </w:tcPr>
          <w:p>
            <w:r>
              <w:rPr>
                <w:b/>
                <w:i w:val="0"/>
              </w:rPr>
              <w:t>Carga (h)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</w:rPr>
              <w:t>1</w:t>
            </w:r>
          </w:p>
        </w:tc>
        <w:tc>
          <w:tcPr>
            <w:tcW w:type="dxa" w:w="8050"/>
          </w:tcPr>
          <w:p>
            <w:r>
              <w:rPr>
                <w:b/>
                <w:i w:val="0"/>
                <w:color w:val="444444"/>
              </w:rPr>
              <w:t>ENCONTRO 1 – Apresentação do Projeto e Organização da Turma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Etapa da metodologia: </w:t>
            </w:r>
            <w:r>
              <w:rPr>
                <w:b w:val="0"/>
                <w:i w:val="0"/>
                <w:color w:val="444444"/>
              </w:rPr>
              <w:t>ETAPA 1 — Imersão e identificação do problema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Objetivos: </w:t>
            </w:r>
            <w:r>
              <w:rPr>
                <w:b w:val="0"/>
                <w:i w:val="0"/>
                <w:color w:val="444444"/>
              </w:rPr>
              <w:t>Apresentar a proposta do projeto Efeito Rebote, seus objetivos e a dinâmica dos encontros; organizar os acadêmicos dos períodos matutino e noturno em equipes de trabalho.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Atividades: </w:t>
            </w:r>
            <w:r>
              <w:rPr>
                <w:b w:val="0"/>
                <w:i w:val="0"/>
                <w:color w:val="444444"/>
              </w:rPr>
              <w:t>Exposição dialogada sobre a realidade do sistema prisional; apresentação do modelo de projeto; formação das equipes (Apresentação e Visitas, Criação e Audiovisual, Pesquisa e Escrita, Logística e Arrecadação); definição dos canais de comunicação da turma.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Entrega do estudante: </w:t>
            </w:r>
            <w:r>
              <w:rPr>
                <w:b w:val="0"/>
                <w:i w:val="0"/>
                <w:color w:val="444444"/>
              </w:rPr>
              <w:t>Relatório reflexivo inicial sobre as expectativas em relação ao projeto e a percepção prévia sobre o sistema prisional.</w:t>
            </w:r>
          </w:p>
          <w:p/>
        </w:tc>
        <w:tc>
          <w:tcPr>
            <w:tcW w:type="dxa" w:w="1134"/>
          </w:tcPr>
          <w:p>
            <w:pPr>
              <w:jc w:val="right"/>
            </w:pPr>
            <w:r>
              <w:rPr>
                <w:b w:val="0"/>
                <w:i w:val="0"/>
                <w:color w:val="444444"/>
              </w:rPr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</w:rPr>
              <w:t>2</w:t>
            </w:r>
          </w:p>
        </w:tc>
        <w:tc>
          <w:tcPr>
            <w:tcW w:type="dxa" w:w="8050"/>
          </w:tcPr>
          <w:p>
            <w:r>
              <w:rPr>
                <w:b/>
                <w:i w:val="0"/>
                <w:color w:val="444444"/>
              </w:rPr>
              <w:t>ENCONTRO 2 – Construção do Projeto Escrito e Definição das Estratégias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Etapa da metodologia: </w:t>
            </w:r>
            <w:r>
              <w:rPr>
                <w:b w:val="0"/>
                <w:i w:val="0"/>
                <w:color w:val="444444"/>
              </w:rPr>
              <w:t>ETAPA 2 — Seleção e delimitação do problema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Objetivos: </w:t>
            </w:r>
            <w:r>
              <w:rPr>
                <w:b w:val="0"/>
                <w:i w:val="0"/>
                <w:color w:val="444444"/>
              </w:rPr>
              <w:t>Delimitar o problema do "efeito rebote" e consolidar o projeto escrito; definir os métodos de arrecadação e o plano de comunicação.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Atividades: </w:t>
            </w:r>
            <w:r>
              <w:rPr>
                <w:b w:val="0"/>
                <w:i w:val="0"/>
                <w:color w:val="444444"/>
              </w:rPr>
              <w:t>Adaptação do projeto ao modelo institucional; definição dos itens aceitos e de suas especificações; deliberação sobre a rifa solidária e as regras de execução; elaboração do material de apresentação para as redes sociais e envio para aprovação.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Entrega do estudante: </w:t>
            </w:r>
            <w:r>
              <w:rPr>
                <w:b w:val="0"/>
                <w:i w:val="0"/>
                <w:color w:val="444444"/>
              </w:rPr>
              <w:t>Contribuição individual registrada na construção do projeto (seção redigida, peça produzida ou proposta apresentada).</w:t>
            </w:r>
          </w:p>
          <w:p/>
        </w:tc>
        <w:tc>
          <w:tcPr>
            <w:tcW w:type="dxa" w:w="1134"/>
          </w:tcPr>
          <w:p>
            <w:pPr>
              <w:jc w:val="right"/>
            </w:pPr>
            <w:r>
              <w:rPr>
                <w:b w:val="0"/>
                <w:i w:val="0"/>
                <w:color w:val="444444"/>
              </w:rPr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</w:rPr>
              <w:t>3</w:t>
            </w:r>
          </w:p>
        </w:tc>
        <w:tc>
          <w:tcPr>
            <w:tcW w:type="dxa" w:w="8050"/>
          </w:tcPr>
          <w:p>
            <w:r>
              <w:rPr>
                <w:b/>
                <w:i w:val="0"/>
                <w:color w:val="444444"/>
              </w:rPr>
              <w:t>ENCONTRO 3 – Execução Penal e Assistência Material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Etapa da metodologia: </w:t>
            </w:r>
            <w:r>
              <w:rPr>
                <w:b w:val="0"/>
                <w:i w:val="0"/>
                <w:color w:val="444444"/>
              </w:rPr>
              <w:t>ETAPA 3 — Análise do problema e necessidades de aprendizagem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Objetivos: </w:t>
            </w:r>
            <w:r>
              <w:rPr>
                <w:b w:val="0"/>
                <w:i w:val="0"/>
                <w:color w:val="444444"/>
              </w:rPr>
              <w:t>Compreender os direitos assegurados pela LEP (arts. 12, 14 e 41) e a estrutura da PEM, da CCM e da CPIM; identificar lacunas de conhecimento da turma.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Atividades: </w:t>
            </w:r>
            <w:r>
              <w:rPr>
                <w:b w:val="0"/>
                <w:i w:val="0"/>
                <w:color w:val="444444"/>
              </w:rPr>
              <w:t>Exposição dialogada; leitura orientada da LEP e das Regras de Mandela; levantamento de dúvidas a serem investigadas; apresentação das normas da Polícia Penal do Paraná sobre itens permitidos; contato da equipe de Logística e Arrecadação com a PEM, a CCM e a CPIM para validar a lista de itens e as condições de entrega.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Entrega do estudante: </w:t>
            </w:r>
            <w:r>
              <w:rPr>
                <w:b w:val="0"/>
                <w:i w:val="0"/>
                <w:color w:val="444444"/>
              </w:rPr>
              <w:t>Fichamento sobre a assistência material na execução penal.</w:t>
            </w:r>
          </w:p>
          <w:p/>
        </w:tc>
        <w:tc>
          <w:tcPr>
            <w:tcW w:type="dxa" w:w="1134"/>
          </w:tcPr>
          <w:p>
            <w:pPr>
              <w:jc w:val="right"/>
            </w:pPr>
            <w:r>
              <w:rPr>
                <w:b w:val="0"/>
                <w:i w:val="0"/>
                <w:color w:val="444444"/>
              </w:rPr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</w:rPr>
              <w:t>4</w:t>
            </w:r>
          </w:p>
        </w:tc>
        <w:tc>
          <w:tcPr>
            <w:tcW w:type="dxa" w:w="8050"/>
          </w:tcPr>
          <w:p>
            <w:r>
              <w:rPr>
                <w:b/>
                <w:i w:val="0"/>
                <w:color w:val="444444"/>
              </w:rPr>
              <w:t>ENCONTRO 4 – Lançamento da Campanha e Distribuição da Rifa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Etapa da metodologia: </w:t>
            </w:r>
            <w:r>
              <w:rPr>
                <w:b w:val="0"/>
                <w:i w:val="0"/>
                <w:color w:val="444444"/>
              </w:rPr>
              <w:t>ETAPA 5 — Planejamento e execução da intervenção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Objetivos: </w:t>
            </w:r>
            <w:r>
              <w:rPr>
                <w:b w:val="0"/>
                <w:i w:val="0"/>
                <w:color w:val="444444"/>
              </w:rPr>
              <w:t>Iniciar a campanha de conscientização e organizar a rifa solidária, mediante as aprovações necessárias.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Atividades: </w:t>
            </w:r>
            <w:r>
              <w:rPr>
                <w:b w:val="0"/>
                <w:i w:val="0"/>
                <w:color w:val="444444"/>
              </w:rPr>
              <w:t>Publicação do conteúdo de apresentação aprovado; distribuição dos blocos de 30 bilhetes por acadêmico, com registro em planilha; orientação sobre as regras de venda, registro nos canhotos e acertos com a comissão financeira.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Entrega do estudante: </w:t>
            </w:r>
            <w:r>
              <w:rPr>
                <w:b w:val="0"/>
                <w:i w:val="0"/>
                <w:color w:val="444444"/>
              </w:rPr>
              <w:t>Termo de recebimento do bloco de bilhetes e relato das primeiras ações de divulgação.</w:t>
            </w:r>
          </w:p>
          <w:p/>
        </w:tc>
        <w:tc>
          <w:tcPr>
            <w:tcW w:type="dxa" w:w="1134"/>
          </w:tcPr>
          <w:p>
            <w:pPr>
              <w:jc w:val="right"/>
            </w:pPr>
            <w:r>
              <w:rPr>
                <w:b w:val="0"/>
                <w:i w:val="0"/>
                <w:color w:val="444444"/>
              </w:rPr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</w:rPr>
              <w:t>5</w:t>
            </w:r>
          </w:p>
        </w:tc>
        <w:tc>
          <w:tcPr>
            <w:tcW w:type="dxa" w:w="8050"/>
          </w:tcPr>
          <w:p>
            <w:r>
              <w:rPr>
                <w:b/>
                <w:i w:val="0"/>
                <w:color w:val="444444"/>
              </w:rPr>
              <w:t>ENCONTRO 5 – Pontos de Coleta no Campus e na Comunidade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Etapa da metodologia: </w:t>
            </w:r>
            <w:r>
              <w:rPr>
                <w:b w:val="0"/>
                <w:i w:val="0"/>
                <w:color w:val="444444"/>
              </w:rPr>
              <w:t>ETAPA 5 — Planejamento e execução da intervenção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Objetivos: </w:t>
            </w:r>
            <w:r>
              <w:rPr>
                <w:b w:val="0"/>
                <w:i w:val="0"/>
                <w:color w:val="444444"/>
              </w:rPr>
              <w:t>Estruturar a arrecadação direta de itens no campus e em instituições parceiras da comunidade, ampliando a visibilidade do projeto junto à sociedade.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Atividades: </w:t>
            </w:r>
            <w:r>
              <w:rPr>
                <w:b w:val="0"/>
                <w:i w:val="0"/>
                <w:color w:val="444444"/>
              </w:rPr>
              <w:t>Confecção das caixas de coleta com materiais reaproveitados e identificação visual do projeto; instalação nos locais autorizados do campus; contato com igrejas, delegacias e comércios interessados em receber pontos de coleta externos, mediante aprovação; entrega de material informativo aos parceiros; divulgação da lista de itens aceitos.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Entrega do estudante: </w:t>
            </w:r>
            <w:r>
              <w:rPr>
                <w:b w:val="0"/>
                <w:i w:val="0"/>
                <w:color w:val="444444"/>
              </w:rPr>
              <w:t>Relatório descritivo da participação na instalação ou na divulgação dos pontos de coleta.</w:t>
            </w:r>
          </w:p>
          <w:p/>
        </w:tc>
        <w:tc>
          <w:tcPr>
            <w:tcW w:type="dxa" w:w="1134"/>
          </w:tcPr>
          <w:p>
            <w:pPr>
              <w:jc w:val="right"/>
            </w:pPr>
            <w:r>
              <w:rPr>
                <w:b w:val="0"/>
                <w:i w:val="0"/>
                <w:color w:val="444444"/>
              </w:rPr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</w:rPr>
              <w:t>6</w:t>
            </w:r>
          </w:p>
        </w:tc>
        <w:tc>
          <w:tcPr>
            <w:tcW w:type="dxa" w:w="8050"/>
          </w:tcPr>
          <w:p>
            <w:r>
              <w:rPr>
                <w:b/>
                <w:i w:val="0"/>
                <w:color w:val="444444"/>
              </w:rPr>
              <w:t>ENCONTRO 6 – Conteúdo Informativo e Redes Sociais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Etapa da metodologia: </w:t>
            </w:r>
            <w:r>
              <w:rPr>
                <w:b w:val="0"/>
                <w:i w:val="0"/>
                <w:color w:val="444444"/>
              </w:rPr>
              <w:t>ETAPA 4 — Estudo, investigação e construção do entendimento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Objetivos: </w:t>
            </w:r>
            <w:r>
              <w:rPr>
                <w:b w:val="0"/>
                <w:i w:val="0"/>
                <w:color w:val="444444"/>
              </w:rPr>
              <w:t>Produzir conteúdo informativo sobre a realidade prisional e o "efeito rebote" a partir de fontes oficiais.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Atividades: </w:t>
            </w:r>
            <w:r>
              <w:rPr>
                <w:b w:val="0"/>
                <w:i w:val="0"/>
                <w:color w:val="444444"/>
              </w:rPr>
              <w:t>Pesquisa de dados (SENAPPEN, CNJ, Defensoria Pública do Paraná); produção de carrosséis e vídeos curtos; organização do calendário de três publicações semanais e envio prévio para aprovação.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Entrega do estudante: </w:t>
            </w:r>
            <w:r>
              <w:rPr>
                <w:b w:val="0"/>
                <w:i w:val="0"/>
                <w:color w:val="444444"/>
              </w:rPr>
              <w:t>Peça de conteúdo produzida ou roteiro, com as fontes utilizadas.</w:t>
            </w:r>
          </w:p>
          <w:p/>
        </w:tc>
        <w:tc>
          <w:tcPr>
            <w:tcW w:type="dxa" w:w="1134"/>
          </w:tcPr>
          <w:p>
            <w:pPr>
              <w:jc w:val="right"/>
            </w:pPr>
            <w:r>
              <w:rPr>
                <w:b w:val="0"/>
                <w:i w:val="0"/>
                <w:color w:val="444444"/>
              </w:rPr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</w:rPr>
              <w:t>7</w:t>
            </w:r>
          </w:p>
        </w:tc>
        <w:tc>
          <w:tcPr>
            <w:tcW w:type="dxa" w:w="8050"/>
          </w:tcPr>
          <w:p>
            <w:r>
              <w:rPr>
                <w:b/>
                <w:i w:val="0"/>
                <w:color w:val="444444"/>
              </w:rPr>
              <w:t>ENCONTRO 7 – Intervenção no Pátio e Acompanhamento da Arrecadação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Etapa da metodologia: </w:t>
            </w:r>
            <w:r>
              <w:rPr>
                <w:b w:val="0"/>
                <w:i w:val="0"/>
                <w:color w:val="444444"/>
              </w:rPr>
              <w:t>ETAPA 5 — Planejamento e execução da intervenção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Objetivos: </w:t>
            </w:r>
            <w:r>
              <w:rPr>
                <w:b w:val="0"/>
                <w:i w:val="0"/>
                <w:color w:val="444444"/>
              </w:rPr>
              <w:t>Dar visibilidade à campanha no campus e monitorar o andamento da arrecadação e da rifa.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Atividades: </w:t>
            </w:r>
            <w:r>
              <w:rPr>
                <w:b w:val="0"/>
                <w:i w:val="0"/>
                <w:color w:val="444444"/>
              </w:rPr>
              <w:t>Montagem do cenário temático no pátio do campus, com exposição dos itens aceitos, caixa de coleta e escala de acadêmicos para atendimento ao público; recolhimento e triagem semanal dos itens do campus e dos comércios parceiros; acerto semanal da rifa com a comissão financeira.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Entrega do estudante: </w:t>
            </w:r>
            <w:r>
              <w:rPr>
                <w:b w:val="0"/>
                <w:i w:val="0"/>
                <w:color w:val="444444"/>
              </w:rPr>
              <w:t>Relatório descritivo da participação na intervenção ou na arrecadação.</w:t>
            </w:r>
          </w:p>
          <w:p/>
        </w:tc>
        <w:tc>
          <w:tcPr>
            <w:tcW w:type="dxa" w:w="1134"/>
          </w:tcPr>
          <w:p>
            <w:pPr>
              <w:jc w:val="right"/>
            </w:pPr>
            <w:r>
              <w:rPr>
                <w:b w:val="0"/>
                <w:i w:val="0"/>
                <w:color w:val="444444"/>
              </w:rPr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</w:rPr>
              <w:t>8</w:t>
            </w:r>
          </w:p>
        </w:tc>
        <w:tc>
          <w:tcPr>
            <w:tcW w:type="dxa" w:w="8050"/>
          </w:tcPr>
          <w:p>
            <w:r>
              <w:rPr>
                <w:b/>
                <w:i w:val="0"/>
                <w:color w:val="444444"/>
              </w:rPr>
              <w:t>ENCONTRO 8 – Triagem e Conferência dos Itens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Etapa da metodologia: </w:t>
            </w:r>
            <w:r>
              <w:rPr>
                <w:b w:val="0"/>
                <w:i w:val="0"/>
                <w:color w:val="444444"/>
              </w:rPr>
              <w:t>ETAPA 5 — Planejamento e execução da intervenção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Objetivos: </w:t>
            </w:r>
            <w:r>
              <w:rPr>
                <w:b w:val="0"/>
                <w:i w:val="0"/>
                <w:color w:val="444444"/>
              </w:rPr>
              <w:t>Assegurar que os itens arrecadados atendam às especificações exigidas pelas unidades prisionais.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Atividades: </w:t>
            </w:r>
            <w:r>
              <w:rPr>
                <w:b w:val="0"/>
                <w:i w:val="0"/>
                <w:color w:val="444444"/>
              </w:rPr>
              <w:t>Conferência item a item (tipo, peso, volume e embalagem); separação dos itens fora do padrão para destinação a outras instituições; contabilização parcial por tipo de item.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Entrega do estudante: </w:t>
            </w:r>
            <w:r>
              <w:rPr>
                <w:b w:val="0"/>
                <w:i w:val="0"/>
                <w:color w:val="444444"/>
              </w:rPr>
              <w:t>Registro da triagem realizada pela equipe.</w:t>
            </w:r>
          </w:p>
          <w:p/>
        </w:tc>
        <w:tc>
          <w:tcPr>
            <w:tcW w:type="dxa" w:w="1134"/>
          </w:tcPr>
          <w:p>
            <w:pPr>
              <w:jc w:val="right"/>
            </w:pPr>
            <w:r>
              <w:rPr>
                <w:b w:val="0"/>
                <w:i w:val="0"/>
                <w:color w:val="444444"/>
              </w:rPr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</w:rPr>
              <w:t>9</w:t>
            </w:r>
          </w:p>
        </w:tc>
        <w:tc>
          <w:tcPr>
            <w:tcW w:type="dxa" w:w="8050"/>
          </w:tcPr>
          <w:p>
            <w:r>
              <w:rPr>
                <w:b/>
                <w:i w:val="0"/>
                <w:color w:val="444444"/>
              </w:rPr>
              <w:t>ENCONTRO 9 – Balanço da Rifa e Aquisição do Prêmio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Etapa da metodologia: </w:t>
            </w:r>
            <w:r>
              <w:rPr>
                <w:b w:val="0"/>
                <w:i w:val="0"/>
                <w:color w:val="444444"/>
              </w:rPr>
              <w:t>ETAPA 5 — Planejamento e execução da intervenção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Objetivos: </w:t>
            </w:r>
            <w:r>
              <w:rPr>
                <w:b w:val="0"/>
                <w:i w:val="0"/>
                <w:color w:val="444444"/>
              </w:rPr>
              <w:t>Avaliar o andamento das vendas e garantir a aquisição do prêmio com transparência.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Atividades: </w:t>
            </w:r>
            <w:r>
              <w:rPr>
                <w:b w:val="0"/>
                <w:i w:val="0"/>
                <w:color w:val="444444"/>
              </w:rPr>
              <w:t>Conferência dos registros do sistema de vendas com os extratos da conta da comissão financeira; balanço por acadêmico; cotação em três lojas e aquisição do tablet com nota fiscal; reforço da divulgação junto aos acadêmicos com menos vendas.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Entrega do estudante: </w:t>
            </w:r>
            <w:r>
              <w:rPr>
                <w:b w:val="0"/>
                <w:i w:val="0"/>
                <w:color w:val="444444"/>
              </w:rPr>
              <w:t>Relatório descritivo da participação no balanço da rifa ou na aquisição do prêmio.</w:t>
            </w:r>
          </w:p>
          <w:p/>
        </w:tc>
        <w:tc>
          <w:tcPr>
            <w:tcW w:type="dxa" w:w="1134"/>
          </w:tcPr>
          <w:p>
            <w:pPr>
              <w:jc w:val="right"/>
            </w:pPr>
            <w:r>
              <w:rPr>
                <w:b w:val="0"/>
                <w:i w:val="0"/>
                <w:color w:val="444444"/>
              </w:rPr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</w:rPr>
              <w:t>10</w:t>
            </w:r>
          </w:p>
        </w:tc>
        <w:tc>
          <w:tcPr>
            <w:tcW w:type="dxa" w:w="8050"/>
          </w:tcPr>
          <w:p>
            <w:r>
              <w:rPr>
                <w:b/>
                <w:i w:val="0"/>
                <w:color w:val="444444"/>
              </w:rPr>
              <w:t>ENCONTRO 10 – Consolidação da Arrecadação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Etapa da metodologia: </w:t>
            </w:r>
            <w:r>
              <w:rPr>
                <w:b w:val="0"/>
                <w:i w:val="0"/>
                <w:color w:val="444444"/>
              </w:rPr>
              <w:t>ETAPA 5 — Planejamento e execução da intervenção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Objetivos: </w:t>
            </w:r>
            <w:r>
              <w:rPr>
                <w:b w:val="0"/>
                <w:i w:val="0"/>
                <w:color w:val="444444"/>
              </w:rPr>
              <w:t>Consolidar o quantitativo total arrecadado e organizar os itens para a entrega.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Atividades: </w:t>
            </w:r>
            <w:r>
              <w:rPr>
                <w:b w:val="0"/>
                <w:i w:val="0"/>
                <w:color w:val="444444"/>
              </w:rPr>
              <w:t>Contagem final por tipo de item; separação dos lotes por unidade (PEM, CCM e CPIM), conforme a orientação das unidades; atualização do relatório de transparência.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Entrega do estudante: </w:t>
            </w:r>
            <w:r>
              <w:rPr>
                <w:b w:val="0"/>
                <w:i w:val="0"/>
                <w:color w:val="444444"/>
              </w:rPr>
              <w:t>Relatório descritivo da etapa de consolidação.</w:t>
            </w:r>
          </w:p>
          <w:p/>
        </w:tc>
        <w:tc>
          <w:tcPr>
            <w:tcW w:type="dxa" w:w="1134"/>
          </w:tcPr>
          <w:p>
            <w:pPr>
              <w:jc w:val="right"/>
            </w:pPr>
            <w:r>
              <w:rPr>
                <w:b w:val="0"/>
                <w:i w:val="0"/>
                <w:color w:val="444444"/>
              </w:rPr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</w:rPr>
              <w:t>11</w:t>
            </w:r>
          </w:p>
        </w:tc>
        <w:tc>
          <w:tcPr>
            <w:tcW w:type="dxa" w:w="8050"/>
          </w:tcPr>
          <w:p>
            <w:r>
              <w:rPr>
                <w:b/>
                <w:i w:val="0"/>
                <w:color w:val="444444"/>
              </w:rPr>
              <w:t>ENCONTRO 11 – Preparação Técnica para as Visitas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Etapa da metodologia: </w:t>
            </w:r>
            <w:r>
              <w:rPr>
                <w:b w:val="0"/>
                <w:i w:val="0"/>
                <w:color w:val="444444"/>
              </w:rPr>
              <w:t>ETAPA 4 — Estudo, investigação e construção do entendimento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Objetivos: </w:t>
            </w:r>
            <w:r>
              <w:rPr>
                <w:b w:val="0"/>
                <w:i w:val="0"/>
                <w:color w:val="444444"/>
              </w:rPr>
              <w:t>Preparar os acadêmicos para uma visita respeitosa, segura e orientada pela observação crítica.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Atividades: </w:t>
            </w:r>
            <w:r>
              <w:rPr>
                <w:b w:val="0"/>
                <w:i w:val="0"/>
                <w:color w:val="444444"/>
              </w:rPr>
              <w:t>Apresentação das normas de segurança e de conduta das unidades; elaboração do roteiro de observação (estrutura, assistência material, boas práticas de ressocialização); divisão dos grupos de visita.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Entrega do estudante: </w:t>
            </w:r>
            <w:r>
              <w:rPr>
                <w:b w:val="0"/>
                <w:i w:val="0"/>
                <w:color w:val="444444"/>
              </w:rPr>
              <w:t>Roteiro de observação individual para a visita técnica.</w:t>
            </w:r>
          </w:p>
          <w:p/>
        </w:tc>
        <w:tc>
          <w:tcPr>
            <w:tcW w:type="dxa" w:w="1134"/>
          </w:tcPr>
          <w:p>
            <w:pPr>
              <w:jc w:val="right"/>
            </w:pPr>
            <w:r>
              <w:rPr>
                <w:b w:val="0"/>
                <w:i w:val="0"/>
                <w:color w:val="444444"/>
              </w:rPr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</w:rPr>
              <w:t>12</w:t>
            </w:r>
          </w:p>
        </w:tc>
        <w:tc>
          <w:tcPr>
            <w:tcW w:type="dxa" w:w="8050"/>
          </w:tcPr>
          <w:p>
            <w:r>
              <w:rPr>
                <w:b/>
                <w:i w:val="0"/>
                <w:color w:val="444444"/>
              </w:rPr>
              <w:t>ENCONTRO 12 – Logística das Visitas e da Entrega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Etapa da metodologia: </w:t>
            </w:r>
            <w:r>
              <w:rPr>
                <w:b w:val="0"/>
                <w:i w:val="0"/>
                <w:color w:val="444444"/>
              </w:rPr>
              <w:t>ETAPA 5 — Planejamento e execução da intervenção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Objetivos: </w:t>
            </w:r>
            <w:r>
              <w:rPr>
                <w:b w:val="0"/>
                <w:i w:val="0"/>
                <w:color w:val="444444"/>
              </w:rPr>
              <w:t>Organizar o transporte, os grupos e a entrega dos itens nas unidades.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Atividades: </w:t>
            </w:r>
            <w:r>
              <w:rPr>
                <w:b w:val="0"/>
                <w:i w:val="0"/>
                <w:color w:val="444444"/>
              </w:rPr>
              <w:t>Confirmação das listas de participantes e dos documentos exigidos pelas unidades; organização do transporte institucional; preparação dos lotes e dos termos de entrega.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Entrega do estudante: </w:t>
            </w:r>
            <w:r>
              <w:rPr>
                <w:b w:val="0"/>
                <w:i w:val="0"/>
                <w:color w:val="444444"/>
              </w:rPr>
              <w:t>Checklist da equipe responsável pela logística.</w:t>
            </w:r>
          </w:p>
          <w:p/>
        </w:tc>
        <w:tc>
          <w:tcPr>
            <w:tcW w:type="dxa" w:w="1134"/>
          </w:tcPr>
          <w:p>
            <w:pPr>
              <w:jc w:val="right"/>
            </w:pPr>
            <w:r>
              <w:rPr>
                <w:b w:val="0"/>
                <w:i w:val="0"/>
                <w:color w:val="444444"/>
              </w:rPr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</w:rPr>
              <w:t>13</w:t>
            </w:r>
          </w:p>
        </w:tc>
        <w:tc>
          <w:tcPr>
            <w:tcW w:type="dxa" w:w="8050"/>
          </w:tcPr>
          <w:p>
            <w:r>
              <w:rPr>
                <w:b/>
                <w:i w:val="0"/>
                <w:color w:val="444444"/>
              </w:rPr>
              <w:t>ENCONTRO 13 – Encerramento da Rifa e Comunicação dos Resultados Parciais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Etapa da metodologia: </w:t>
            </w:r>
            <w:r>
              <w:rPr>
                <w:b w:val="0"/>
                <w:i w:val="0"/>
                <w:color w:val="444444"/>
              </w:rPr>
              <w:t>ETAPA 5 — Planejamento e execução da intervenção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Objetivos: </w:t>
            </w:r>
            <w:r>
              <w:rPr>
                <w:b w:val="0"/>
                <w:i w:val="0"/>
                <w:color w:val="444444"/>
              </w:rPr>
              <w:t>Encerrar a rifa com transparência e preparar a aquisição dos itens com os valores arrecadados.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Atividades: </w:t>
            </w:r>
            <w:r>
              <w:rPr>
                <w:b w:val="0"/>
                <w:i w:val="0"/>
                <w:color w:val="444444"/>
              </w:rPr>
              <w:t>Acerto final de valores (prazo de vendas: 30/10); publicação da lista de números participantes (01/11); organização do sorteio transmitido ao vivo no @efeitorebote.oficial em 02/11, com ata e testemunhas; compra dos itens validados pelas unidades, com nota fiscal; produção de conteúdo, previamente aprovado, sobre o quantitativo arrecadado.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Entrega do estudante: </w:t>
            </w:r>
            <w:r>
              <w:rPr>
                <w:b w:val="0"/>
                <w:i w:val="0"/>
                <w:color w:val="444444"/>
              </w:rPr>
              <w:t>Relatório descritivo da participação no encerramento da rifa ou na comunicação dos resultados.</w:t>
            </w:r>
          </w:p>
          <w:p/>
        </w:tc>
        <w:tc>
          <w:tcPr>
            <w:tcW w:type="dxa" w:w="1134"/>
          </w:tcPr>
          <w:p>
            <w:pPr>
              <w:jc w:val="right"/>
            </w:pPr>
            <w:r>
              <w:rPr>
                <w:b w:val="0"/>
                <w:i w:val="0"/>
                <w:color w:val="444444"/>
              </w:rPr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</w:rPr>
              <w:t>14</w:t>
            </w:r>
          </w:p>
        </w:tc>
        <w:tc>
          <w:tcPr>
            <w:tcW w:type="dxa" w:w="8050"/>
          </w:tcPr>
          <w:p>
            <w:r>
              <w:rPr>
                <w:b/>
                <w:i w:val="0"/>
                <w:color w:val="444444"/>
              </w:rPr>
              <w:t>ENCONTRO 14 – Visitas Técnicas e Entrega dos Itens (04 e 05/11)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Etapa da metodologia: </w:t>
            </w:r>
            <w:r>
              <w:rPr>
                <w:b w:val="0"/>
                <w:i w:val="0"/>
                <w:color w:val="444444"/>
              </w:rPr>
              <w:t>ETAPA 5 — Planejamento e execução da intervenção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Objetivos: </w:t>
            </w:r>
            <w:r>
              <w:rPr>
                <w:b w:val="0"/>
                <w:i w:val="0"/>
                <w:color w:val="444444"/>
              </w:rPr>
              <w:t>Observar in loco a estrutura e o funcionamento das unidades e a aplicação da LEP; entregar os itens arrecadados.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Atividades: </w:t>
            </w:r>
            <w:r>
              <w:rPr>
                <w:b w:val="0"/>
                <w:i w:val="0"/>
                <w:color w:val="444444"/>
              </w:rPr>
              <w:t>Visitas técnicas à PEM, à CCM e à CPIM, com acompanhamento docente; entrega dos itens aos gestores das unidades, com assinatura do termo de entrega; registro das observações conforme o roteiro.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Entrega do estudante: </w:t>
            </w:r>
            <w:r>
              <w:rPr>
                <w:b w:val="0"/>
                <w:i w:val="0"/>
                <w:color w:val="444444"/>
              </w:rPr>
              <w:t>Relatório descritivo e reflexivo sobre a experiência da visita.</w:t>
            </w:r>
          </w:p>
          <w:p/>
        </w:tc>
        <w:tc>
          <w:tcPr>
            <w:tcW w:type="dxa" w:w="1134"/>
          </w:tcPr>
          <w:p>
            <w:pPr>
              <w:jc w:val="right"/>
            </w:pPr>
            <w:r>
              <w:rPr>
                <w:b w:val="0"/>
                <w:i w:val="0"/>
                <w:color w:val="444444"/>
              </w:rPr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</w:rPr>
              <w:t>15</w:t>
            </w:r>
          </w:p>
        </w:tc>
        <w:tc>
          <w:tcPr>
            <w:tcW w:type="dxa" w:w="8050"/>
          </w:tcPr>
          <w:p>
            <w:r>
              <w:rPr>
                <w:b/>
                <w:i w:val="0"/>
                <w:color w:val="444444"/>
              </w:rPr>
              <w:t>ENCONTRO 15 – Discussão dos Resultados e Relatório Final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Etapa da metodologia: </w:t>
            </w:r>
            <w:r>
              <w:rPr>
                <w:b w:val="0"/>
                <w:i w:val="0"/>
                <w:color w:val="444444"/>
              </w:rPr>
              <w:t>ETAPA 6 — Sistematização, reflexão e avaliação dos resultados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Objetivos: </w:t>
            </w:r>
            <w:r>
              <w:rPr>
                <w:b w:val="0"/>
                <w:i w:val="0"/>
                <w:color w:val="444444"/>
              </w:rPr>
              <w:t>Analisar criticamente os resultados alcançados e sistematizar as aprendizagens do projeto.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Atividades: </w:t>
            </w:r>
            <w:r>
              <w:rPr>
                <w:b w:val="0"/>
                <w:i w:val="0"/>
                <w:color w:val="444444"/>
              </w:rPr>
              <w:t>Apresentação do relatório de transparência; debate sobre o "efeito rebote" à luz das observações das visitas; construção coletiva do relatório final.</w:t>
            </w:r>
          </w:p>
          <w:p>
            <w:pPr>
              <w:spacing w:before="40"/>
            </w:pPr>
            <w:r>
              <w:rPr>
                <w:b/>
                <w:i w:val="0"/>
                <w:color w:val="444444"/>
              </w:rPr>
              <w:t xml:space="preserve">Entrega do estudante: </w:t>
            </w:r>
            <w:r>
              <w:rPr>
                <w:b w:val="0"/>
                <w:i w:val="0"/>
                <w:color w:val="444444"/>
              </w:rPr>
              <w:t>Relatório reflexivo final sobre a experiência extensionista e a relação com a formação jurídica.</w:t>
            </w:r>
          </w:p>
          <w:p/>
        </w:tc>
        <w:tc>
          <w:tcPr>
            <w:tcW w:type="dxa" w:w="1134"/>
          </w:tcPr>
          <w:p>
            <w:pPr>
              <w:jc w:val="right"/>
            </w:pPr>
            <w:r>
              <w:rPr>
                <w:b w:val="0"/>
                <w:i w:val="0"/>
                <w:color w:val="444444"/>
              </w:rPr>
            </w:r>
          </w:p>
        </w:tc>
      </w:tr>
    </w:tbl>
    <w:p>
      <w:pPr>
        <w:spacing w:before="280" w:after="80"/>
        <w:pBdr>
          <w:bottom w:val="single" w:sz="6" w:space="1" w:color="BBBBBB"/>
        </w:pBdr>
      </w:pPr>
      <w:r>
        <w:rPr>
          <w:b/>
          <w:i w:val="0"/>
          <w:sz w:val="21"/>
        </w:rPr>
        <w:t>5) Anexos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</w:tblPr>
      <w:tblGrid>
        <w:gridCol w:w="8505"/>
        <w:gridCol w:w="1701"/>
      </w:tblGrid>
      <w:tr>
        <w:tc>
          <w:tcPr>
            <w:tcW w:type="dxa" w:w="8504"/>
          </w:tcPr>
          <w:p>
            <w:r>
              <w:rPr>
                <w:b/>
                <w:i w:val="0"/>
              </w:rPr>
              <w:t>Arquivo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</w:rPr>
              <w:t>Código</w:t>
            </w:r>
          </w:p>
        </w:tc>
      </w:tr>
      <w:tr>
        <w:tc>
          <w:tcPr>
            <w:tcW w:type="dxa" w:w="8504"/>
          </w:tcPr>
          <w:p>
            <w:r>
              <w:rPr>
                <w:b w:val="0"/>
                <w:i w:val="0"/>
                <w:color w:val="444444"/>
              </w:rPr>
              <w:t>Anexo 1 - Regulamento da campanha de arrecadação e da rifa solidária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color w:val="444444"/>
              </w:rPr>
              <w:t>—</w:t>
            </w:r>
          </w:p>
        </w:tc>
      </w:tr>
      <w:tr>
        <w:tc>
          <w:tcPr>
            <w:tcW w:type="dxa" w:w="8504"/>
          </w:tcPr>
          <w:p>
            <w:r>
              <w:rPr>
                <w:b w:val="0"/>
                <w:i w:val="0"/>
                <w:color w:val="444444"/>
              </w:rPr>
              <w:t>Anexo 2 - Texto para apresentação do projeto Efeito Rebote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color w:val="444444"/>
              </w:rPr>
              <w:t>—</w:t>
            </w:r>
          </w:p>
        </w:tc>
      </w:tr>
      <w:tr>
        <w:tc>
          <w:tcPr>
            <w:tcW w:type="dxa" w:w="8504"/>
          </w:tcPr>
          <w:p>
            <w:r>
              <w:rPr>
                <w:b w:val="0"/>
                <w:i w:val="0"/>
                <w:color w:val="444444"/>
              </w:rPr>
              <w:t>Anexo 3 - Pré-projeto aprovado (Trabalho Escrito - Projeto de Extensão Efeito Rebote)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color w:val="444444"/>
              </w:rPr>
              <w:t>—</w:t>
            </w:r>
          </w:p>
        </w:tc>
      </w:tr>
    </w:tbl>
    <w:p>
      <w:pPr>
        <w:spacing w:before="80"/>
      </w:pPr>
      <w:r>
        <w:rPr>
          <w:b w:val="0"/>
          <w:i w:val="0"/>
          <w:color w:val="666666"/>
          <w:sz w:val="16"/>
        </w:rPr>
        <w:t>Obs.: por padrão, este relatório lista os anexos.</w:t>
      </w:r>
    </w:p>
    <w:sectPr w:rsidR="00FC693F" w:rsidRPr="0006063C" w:rsidSect="00034616">
      <w:pgSz w:w="11906" w:h="16838"/>
      <w:pgMar w:top="794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