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Pr>
      <w:tblGrid>
        <w:gridCol w:w="5103"/>
        <w:gridCol w:w="5103"/>
      </w:tblGrid>
      <w:tr>
        <w:tc>
          <w:tcPr>
            <w:tcW w:type="dxa" w:w="5102"/>
            <w:vAlign w:val="center"/>
          </w:tcPr>
          <w:p>
            <w:r>
              <w:drawing>
                <wp:inline xmlns:a="http://schemas.openxmlformats.org/drawingml/2006/main" xmlns:pic="http://schemas.openxmlformats.org/drawingml/2006/picture">
                  <wp:extent cx="2117971" cy="377999"/>
                  <wp:docPr id="1" name="Picture 1"/>
                  <wp:cNvGraphicFramePr>
                    <a:graphicFrameLocks noChangeAspect="1"/>
                  </wp:cNvGraphicFramePr>
                  <a:graphic>
                    <a:graphicData uri="http://schemas.openxmlformats.org/drawingml/2006/picture">
                      <pic:pic>
                        <pic:nvPicPr>
                          <pic:cNvPr id="0" name="logo-unicesumar.png"/>
                          <pic:cNvPicPr/>
                        </pic:nvPicPr>
                        <pic:blipFill>
                          <a:blip r:embed="rId9"/>
                          <a:stretch>
                            <a:fillRect/>
                          </a:stretch>
                        </pic:blipFill>
                        <pic:spPr>
                          <a:xfrm>
                            <a:off x="0" y="0"/>
                            <a:ext cx="2117971" cy="377999"/>
                          </a:xfrm>
                          <a:prstGeom prst="rect"/>
                        </pic:spPr>
                      </pic:pic>
                    </a:graphicData>
                  </a:graphic>
                </wp:inline>
              </w:drawing>
            </w:r>
          </w:p>
        </w:tc>
        <w:tc>
          <w:tcPr>
            <w:tcW w:type="dxa" w:w="5102"/>
          </w:tcPr>
          <w:p>
            <w:pPr>
              <w:jc w:val="right"/>
            </w:pPr>
            <w:r>
              <w:drawing>
                <wp:inline xmlns:a="http://schemas.openxmlformats.org/drawingml/2006/main" xmlns:pic="http://schemas.openxmlformats.org/drawingml/2006/picture">
                  <wp:extent cx="705599" cy="705599"/>
                  <wp:docPr id="2" name="Picture 2"/>
                  <wp:cNvGraphicFramePr>
                    <a:graphicFrameLocks noChangeAspect="1"/>
                  </wp:cNvGraphicFramePr>
                  <a:graphic>
                    <a:graphicData uri="http://schemas.openxmlformats.org/drawingml/2006/picture">
                      <pic:pic>
                        <pic:nvPicPr>
                          <pic:cNvPr id="0" name="selo-efeito-rebote.jpg"/>
                          <pic:cNvPicPr/>
                        </pic:nvPicPr>
                        <pic:blipFill>
                          <a:blip r:embed="rId10"/>
                          <a:stretch>
                            <a:fillRect/>
                          </a:stretch>
                        </pic:blipFill>
                        <pic:spPr>
                          <a:xfrm>
                            <a:off x="0" y="0"/>
                            <a:ext cx="705599" cy="705599"/>
                          </a:xfrm>
                          <a:prstGeom prst="rect"/>
                        </pic:spPr>
                      </pic:pic>
                    </a:graphicData>
                  </a:graphic>
                </wp:inline>
              </w:drawing>
            </w:r>
          </w:p>
        </w:tc>
      </w:tr>
    </w:tbl>
    <w:p>
      <w:pPr>
        <w:spacing w:before="160" w:after="200"/>
        <w:jc w:val="center"/>
      </w:pPr>
      <w:r>
        <w:rPr>
          <w:b/>
          <w:i w:val="0"/>
          <w:sz w:val="26"/>
        </w:rPr>
        <w:t>ANEXO 1 — REGULAMENTO DA CAMPANHA DE ARRECADAÇÃO E DA RIFA SOLIDÁRIA</w:t>
        <w:br/>
        <w:t>Projeto de Extensão Efeito Rebote: o custo da reincidência</w:t>
      </w:r>
    </w:p>
    <w:p>
      <w:pPr>
        <w:spacing w:before="200"/>
      </w:pPr>
      <w:r>
        <w:rPr>
          <w:b/>
          <w:i w:val="0"/>
        </w:rPr>
        <w:t>1. Finalidade</w:t>
      </w:r>
    </w:p>
    <w:p>
      <w:pPr>
        <w:spacing w:after="120"/>
        <w:jc w:val="both"/>
      </w:pPr>
      <w:r>
        <w:rPr>
          <w:b w:val="0"/>
          <w:i w:val="0"/>
        </w:rPr>
        <w:t>A campanha tem por finalidade arrecadar itens de higiene pessoal destinados às pessoas privadas de liberdade da Penitenciária Estadual de Maringá (PEM), da Casa de Custódia de Maringá (CCM) e da Colônia Penal Industrial de Maringá (CPIM), por meio de doações diretas e de rifa solidária cujo valor será integralmente convertido na compra desses itens.</w:t>
      </w:r>
    </w:p>
    <w:p>
      <w:pPr>
        <w:spacing w:before="200"/>
      </w:pPr>
      <w:r>
        <w:rPr>
          <w:b/>
          <w:i w:val="0"/>
        </w:rPr>
        <w:t>2. Itens aceitos</w:t>
      </w:r>
    </w:p>
    <w:p>
      <w:pPr>
        <w:pStyle w:val="ListBullet"/>
      </w:pPr>
      <w:r>
        <w:rPr>
          <w:b w:val="0"/>
          <w:i w:val="0"/>
        </w:rPr>
        <w:t>Escova dental simples.</w:t>
      </w:r>
    </w:p>
    <w:p>
      <w:pPr>
        <w:pStyle w:val="ListBullet"/>
      </w:pPr>
      <w:r>
        <w:rPr>
          <w:b w:val="0"/>
          <w:i w:val="0"/>
        </w:rPr>
        <w:t>Creme dental de até 100 g.</w:t>
      </w:r>
    </w:p>
    <w:p>
      <w:pPr>
        <w:pStyle w:val="ListBullet"/>
      </w:pPr>
      <w:r>
        <w:rPr>
          <w:b w:val="0"/>
          <w:i w:val="0"/>
        </w:rPr>
        <w:t>Aparelho de barbear descartável de duas lâminas.</w:t>
      </w:r>
    </w:p>
    <w:p>
      <w:pPr>
        <w:pStyle w:val="ListBullet"/>
      </w:pPr>
      <w:r>
        <w:rPr>
          <w:b w:val="0"/>
          <w:i w:val="0"/>
        </w:rPr>
        <w:t>Sabão em pó em pacote de até 500 g.</w:t>
      </w:r>
    </w:p>
    <w:p>
      <w:pPr>
        <w:pStyle w:val="ListBullet"/>
      </w:pPr>
      <w:r>
        <w:rPr>
          <w:b w:val="0"/>
          <w:i w:val="0"/>
        </w:rPr>
        <w:t>Detergente em embalagem transparente de até 500 ml.</w:t>
      </w:r>
    </w:p>
    <w:p>
      <w:pPr>
        <w:spacing w:after="120"/>
        <w:jc w:val="both"/>
      </w:pPr>
      <w:r>
        <w:rPr>
          <w:b w:val="0"/>
          <w:i w:val="0"/>
        </w:rPr>
        <w:t>Itens fora dessas especificações não serão entregues às unidades prisionais e serão destinados a outras instituições de caridade do município.</w:t>
      </w:r>
    </w:p>
    <w:p>
      <w:pPr>
        <w:spacing w:before="200"/>
      </w:pPr>
      <w:r>
        <w:rPr>
          <w:b/>
          <w:i w:val="0"/>
        </w:rPr>
        <w:t>3. Doações diretas</w:t>
      </w:r>
    </w:p>
    <w:p>
      <w:pPr>
        <w:spacing w:after="120"/>
        <w:jc w:val="both"/>
      </w:pPr>
      <w:r>
        <w:rPr>
          <w:b w:val="0"/>
          <w:i w:val="0"/>
        </w:rPr>
        <w:t>As doações serão recebidas nas caixas de coleta identificadas do projeto, instaladas no campus da UniCesumar, instituição parceira, em locais autorizados, e, mediante aprovação da professora responsável, em outras instituições da comunidade (igrejas, delegacias e estabelecimentos comerciais), com autorização do responsável por cada local. A equipe de Logística e Arrecadação fará o recolhimento e a triagem semanal, com registro em planilha de controle.</w:t>
      </w:r>
    </w:p>
    <w:p>
      <w:pPr>
        <w:spacing w:before="200"/>
      </w:pPr>
      <w:r>
        <w:rPr>
          <w:b/>
          <w:i w:val="0"/>
        </w:rPr>
        <w:t>4. Rifa solidária</w:t>
      </w:r>
    </w:p>
    <w:p>
      <w:pPr>
        <w:pStyle w:val="ListBullet"/>
      </w:pPr>
      <w:r>
        <w:rPr>
          <w:b w:val="0"/>
          <w:i w:val="0"/>
        </w:rPr>
        <w:t>Bilhetes numerados de 0001 a 2400, ao valor unitário de R$ 5,00.</w:t>
      </w:r>
    </w:p>
    <w:p>
      <w:pPr>
        <w:pStyle w:val="ListBullet"/>
      </w:pPr>
      <w:r>
        <w:rPr>
          <w:b w:val="0"/>
          <w:i w:val="0"/>
        </w:rPr>
        <w:t>Cada acadêmico participante recebe um bloco de 30 bilhetes em sequência, registrado em planilha de distribuição.</w:t>
      </w:r>
    </w:p>
    <w:p>
      <w:pPr>
        <w:pStyle w:val="ListBullet"/>
      </w:pPr>
      <w:r>
        <w:rPr>
          <w:b w:val="0"/>
          <w:i w:val="0"/>
        </w:rPr>
        <w:t>Cada bilhete traz o perfil do projeto no Instagram (@efeitorebote.oficial) e um QR Code de acesso a ele, para que o comprador conheça o projeto.</w:t>
      </w:r>
    </w:p>
    <w:p>
      <w:pPr>
        <w:pStyle w:val="ListBullet"/>
      </w:pPr>
      <w:r>
        <w:rPr>
          <w:b w:val="0"/>
          <w:i w:val="0"/>
        </w:rPr>
        <w:t>Cada venda deve ser registrada no canhoto, com nome e telefone do comprador e a confirmação de pagamento.</w:t>
      </w:r>
    </w:p>
    <w:p>
      <w:pPr>
        <w:pStyle w:val="ListBullet"/>
      </w:pPr>
      <w:r>
        <w:rPr>
          <w:b w:val="0"/>
          <w:i w:val="0"/>
        </w:rPr>
        <w:t>Os valores e os canhotos são entregues à comissão financeira em acertos periódicos; os bilhetes não vendidos devem ser devolvidos até [PENDENTE: data-limite de devolução].</w:t>
      </w:r>
    </w:p>
    <w:p>
      <w:pPr>
        <w:pStyle w:val="ListBullet"/>
      </w:pPr>
      <w:r>
        <w:rPr>
          <w:b w:val="0"/>
          <w:i w:val="0"/>
        </w:rPr>
        <w:t>Prêmio: 01 (um) tablet Samsung Galaxy Tab A11 (64 GB, Wi-Fi) ou modelo equivalente, novo e com nota fiscal.</w:t>
      </w:r>
    </w:p>
    <w:p>
      <w:pPr>
        <w:pStyle w:val="ListBullet"/>
      </w:pPr>
      <w:r>
        <w:rPr>
          <w:b w:val="0"/>
          <w:i w:val="0"/>
        </w:rPr>
        <w:t>Sorteio: público e registrado em vídeo, em 02/11/2026, [PENDENTE: horário e local], pelo método [PENDENTE: método do sorteio]. Concorrem apenas os bilhetes pagos e registrados.</w:t>
      </w:r>
    </w:p>
    <w:p>
      <w:pPr>
        <w:pStyle w:val="ListBullet"/>
      </w:pPr>
      <w:r>
        <w:rPr>
          <w:b w:val="0"/>
          <w:i w:val="0"/>
        </w:rPr>
        <w:t>O resultado será divulgado nos canais do projeto e o ganhador será contatado pelo telefone informado no canhoto, tendo [PENDENTE: prazo] para retirar o prêmio.</w:t>
      </w:r>
    </w:p>
    <w:p>
      <w:pPr>
        <w:pStyle w:val="ListBullet"/>
      </w:pPr>
      <w:r>
        <w:rPr>
          <w:b w:val="0"/>
          <w:i w:val="0"/>
        </w:rPr>
        <w:t>A realização da rifa está condicionada à autorização da instituição, observadas as normas institucionais e a legislação aplicável.</w:t>
      </w:r>
    </w:p>
    <w:p>
      <w:pPr>
        <w:spacing w:before="200"/>
      </w:pPr>
      <w:r>
        <w:rPr>
          <w:b/>
          <w:i w:val="0"/>
        </w:rPr>
        <w:t>5. Destinação dos recursos e prestação de contas</w:t>
      </w:r>
    </w:p>
    <w:p>
      <w:pPr>
        <w:spacing w:after="120"/>
        <w:jc w:val="both"/>
      </w:pPr>
      <w:r>
        <w:rPr>
          <w:b w:val="0"/>
          <w:i w:val="0"/>
        </w:rPr>
        <w:t>Os valores arrecadados com a rifa, deduzido o custo de aquisição do prêmio, serão utilizados exclusivamente na compra dos itens listados no item 2, mediante nota fiscal. A comissão financeira, composta por [PENDENTE: integrantes da comissão financeira], manterá o controle de entradas e saídas. Ao final, será apresentado relatório de transparência à professora responsável e à turma, com o valor arrecadado, os comprovantes de compra e o quantitativo entregue por unidade.</w:t>
      </w:r>
    </w:p>
    <w:p>
      <w:pPr>
        <w:spacing w:before="200"/>
      </w:pPr>
      <w:r>
        <w:rPr>
          <w:b/>
          <w:i w:val="0"/>
        </w:rPr>
        <w:t>6. Entrega</w:t>
      </w:r>
    </w:p>
    <w:p>
      <w:pPr>
        <w:spacing w:after="120"/>
        <w:jc w:val="both"/>
      </w:pPr>
      <w:r>
        <w:rPr>
          <w:b w:val="0"/>
          <w:i w:val="0"/>
        </w:rPr>
        <w:t>Os itens serão entregues aos gestores das unidades durante as visitas técnicas previstas para 04 e 05 de novembro, com assinatura de termo de entrega.</w:t>
      </w:r>
    </w:p>
    <w:p>
      <w:pPr>
        <w:spacing w:before="200"/>
      </w:pPr>
      <w:r>
        <w:rPr>
          <w:b/>
          <w:i w:val="0"/>
        </w:rPr>
        <w:t>7. Disposições finais</w:t>
      </w:r>
    </w:p>
    <w:p>
      <w:pPr>
        <w:spacing w:after="120"/>
        <w:jc w:val="both"/>
      </w:pPr>
      <w:r>
        <w:rPr>
          <w:b w:val="0"/>
          <w:i w:val="0"/>
        </w:rPr>
        <w:t>Os casos omissos serão resolvidos pela professora responsável pelo projeto.</w:t>
      </w:r>
    </w:p>
    <w:sectPr w:rsidR="00FC693F" w:rsidRPr="0006063C" w:rsidSect="00034616">
      <w:pgSz w:w="11906" w:h="16838"/>
      <w:pgMar w:top="794"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