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Pr>
      <w:tblGrid>
        <w:gridCol w:w="5103"/>
        <w:gridCol w:w="5103"/>
      </w:tblGrid>
      <w:tr>
        <w:tc>
          <w:tcPr>
            <w:tcW w:type="dxa" w:w="5102"/>
            <w:vAlign w:val="center"/>
          </w:tcPr>
          <w:p>
            <w:r>
              <w:drawing>
                <wp:inline xmlns:a="http://schemas.openxmlformats.org/drawingml/2006/main" xmlns:pic="http://schemas.openxmlformats.org/drawingml/2006/picture">
                  <wp:extent cx="2117971" cy="377999"/>
                  <wp:docPr id="1" name="Picture 1"/>
                  <wp:cNvGraphicFramePr>
                    <a:graphicFrameLocks noChangeAspect="1"/>
                  </wp:cNvGraphicFramePr>
                  <a:graphic>
                    <a:graphicData uri="http://schemas.openxmlformats.org/drawingml/2006/picture">
                      <pic:pic>
                        <pic:nvPicPr>
                          <pic:cNvPr id="0" name="logo-unicesumar.png"/>
                          <pic:cNvPicPr/>
                        </pic:nvPicPr>
                        <pic:blipFill>
                          <a:blip r:embed="rId9"/>
                          <a:stretch>
                            <a:fillRect/>
                          </a:stretch>
                        </pic:blipFill>
                        <pic:spPr>
                          <a:xfrm>
                            <a:off x="0" y="0"/>
                            <a:ext cx="2117971" cy="377999"/>
                          </a:xfrm>
                          <a:prstGeom prst="rect"/>
                        </pic:spPr>
                      </pic:pic>
                    </a:graphicData>
                  </a:graphic>
                </wp:inline>
              </w:drawing>
            </w:r>
          </w:p>
        </w:tc>
        <w:tc>
          <w:tcPr>
            <w:tcW w:type="dxa" w:w="5102"/>
          </w:tcPr>
          <w:p>
            <w:pPr>
              <w:jc w:val="right"/>
            </w:pPr>
            <w:r>
              <w:drawing>
                <wp:inline xmlns:a="http://schemas.openxmlformats.org/drawingml/2006/main" xmlns:pic="http://schemas.openxmlformats.org/drawingml/2006/picture">
                  <wp:extent cx="705599" cy="705599"/>
                  <wp:docPr id="2" name="Picture 2"/>
                  <wp:cNvGraphicFramePr>
                    <a:graphicFrameLocks noChangeAspect="1"/>
                  </wp:cNvGraphicFramePr>
                  <a:graphic>
                    <a:graphicData uri="http://schemas.openxmlformats.org/drawingml/2006/picture">
                      <pic:pic>
                        <pic:nvPicPr>
                          <pic:cNvPr id="0" name="selo-efeito-rebote.jpg"/>
                          <pic:cNvPicPr/>
                        </pic:nvPicPr>
                        <pic:blipFill>
                          <a:blip r:embed="rId10"/>
                          <a:stretch>
                            <a:fillRect/>
                          </a:stretch>
                        </pic:blipFill>
                        <pic:spPr>
                          <a:xfrm>
                            <a:off x="0" y="0"/>
                            <a:ext cx="705599" cy="705599"/>
                          </a:xfrm>
                          <a:prstGeom prst="rect"/>
                        </pic:spPr>
                      </pic:pic>
                    </a:graphicData>
                  </a:graphic>
                </wp:inline>
              </w:drawing>
            </w:r>
          </w:p>
        </w:tc>
      </w:tr>
    </w:tbl>
    <w:p>
      <w:pPr>
        <w:spacing w:before="160" w:after="200"/>
        <w:jc w:val="center"/>
      </w:pPr>
      <w:r>
        <w:rPr>
          <w:b/>
          <w:i w:val="0"/>
          <w:sz w:val="26"/>
        </w:rPr>
        <w:t>ANEXO 1 — REGULAMENTO DA CAMPANHA DE DOAÇÃO DE ITENS E DA AÇÃO DE ARRECADAÇÃO SOLIDÁRIA</w:t>
        <w:br/>
        <w:t>Projeto de Extensão Efeito Rebote: o custo da reincidência</w:t>
      </w:r>
    </w:p>
    <w:p>
      <w:pPr>
        <w:spacing w:before="200"/>
      </w:pPr>
      <w:r>
        <w:rPr>
          <w:b/>
          <w:i w:val="0"/>
        </w:rPr>
        <w:t>1. Finalidade</w:t>
      </w:r>
    </w:p>
    <w:p>
      <w:pPr>
        <w:spacing w:after="120"/>
        <w:jc w:val="both"/>
      </w:pPr>
      <w:r>
        <w:rPr>
          <w:b w:val="0"/>
          <w:i w:val="0"/>
        </w:rPr>
        <w:t>A campanha tem por finalidade arrecadar itens de higiene pessoal destinados às pessoas privadas de liberdade da Penitenciária Estadual de Maringá (PEM), da Casa de Custódia de Maringá (CCM) e da Colônia Penal Industrial de Maringá (CPIM), por meio de doações diretas e da ação de arrecadação solidária cujo valor será integralmente convertido na compra desses itens.</w:t>
      </w:r>
    </w:p>
    <w:p>
      <w:pPr>
        <w:spacing w:before="200"/>
      </w:pPr>
      <w:r>
        <w:rPr>
          <w:b/>
          <w:i w:val="0"/>
        </w:rPr>
        <w:t>2. Itens aceitos</w:t>
      </w:r>
    </w:p>
    <w:p>
      <w:pPr>
        <w:pStyle w:val="ListBullet"/>
      </w:pPr>
      <w:r>
        <w:rPr>
          <w:b w:val="0"/>
          <w:i w:val="0"/>
        </w:rPr>
        <w:t>Escova dental simples.</w:t>
      </w:r>
    </w:p>
    <w:p>
      <w:pPr>
        <w:pStyle w:val="ListBullet"/>
      </w:pPr>
      <w:r>
        <w:rPr>
          <w:b w:val="0"/>
          <w:i w:val="0"/>
        </w:rPr>
        <w:t>Creme dental de até 100 g.</w:t>
      </w:r>
    </w:p>
    <w:p>
      <w:pPr>
        <w:pStyle w:val="ListBullet"/>
      </w:pPr>
      <w:r>
        <w:rPr>
          <w:b w:val="0"/>
          <w:i w:val="0"/>
        </w:rPr>
        <w:t>Aparelho de barbear descartável de duas lâminas.</w:t>
      </w:r>
    </w:p>
    <w:p>
      <w:pPr>
        <w:pStyle w:val="ListBullet"/>
      </w:pPr>
      <w:r>
        <w:rPr>
          <w:b w:val="0"/>
          <w:i w:val="0"/>
        </w:rPr>
        <w:t>Sabão em pó em pacote de até 500 g.</w:t>
      </w:r>
    </w:p>
    <w:p>
      <w:pPr>
        <w:pStyle w:val="ListBullet"/>
      </w:pPr>
      <w:r>
        <w:rPr>
          <w:b w:val="0"/>
          <w:i w:val="0"/>
        </w:rPr>
        <w:t>Detergente em embalagem transparente de até 500 ml.</w:t>
      </w:r>
    </w:p>
    <w:p>
      <w:pPr>
        <w:spacing w:after="120"/>
        <w:jc w:val="both"/>
      </w:pPr>
      <w:r>
        <w:rPr>
          <w:b w:val="0"/>
          <w:i w:val="0"/>
        </w:rPr>
        <w:t>Itens fora dessas especificações não serão entregues às unidades prisionais e serão destinados a outras instituições de caridade do município.</w:t>
      </w:r>
    </w:p>
    <w:p>
      <w:pPr>
        <w:spacing w:before="200"/>
      </w:pPr>
      <w:r>
        <w:rPr>
          <w:b/>
          <w:i w:val="0"/>
        </w:rPr>
        <w:t>3. Doações diretas</w:t>
      </w:r>
    </w:p>
    <w:p>
      <w:pPr>
        <w:spacing w:after="120"/>
        <w:jc w:val="both"/>
      </w:pPr>
      <w:r>
        <w:rPr>
          <w:b w:val="0"/>
          <w:i w:val="0"/>
        </w:rPr>
        <w:t>As doações serão recebidas nas caixas de coleta identificadas do projeto, instaladas no campus da UniCesumar, instituição parceira, em locais autorizados, e, mediante aprovação da professora responsável, em outras instituições da comunidade (igrejas, delegacias e estabelecimentos comerciais), com autorização do responsável por cada local. A equipe de Logística e Arrecadação fará o recolhimento e a triagem semanal, com registro em planilha de controle.</w:t>
      </w:r>
    </w:p>
    <w:p>
      <w:pPr>
        <w:spacing w:before="200"/>
      </w:pPr>
      <w:r>
        <w:rPr>
          <w:b/>
          <w:i w:val="0"/>
        </w:rPr>
        <w:t>4. Ação de arrecadação solidária</w:t>
      </w:r>
    </w:p>
    <w:p>
      <w:pPr>
        <w:pStyle w:val="ListBullet"/>
      </w:pPr>
      <w:r>
        <w:rPr>
          <w:b w:val="0"/>
          <w:i w:val="0"/>
        </w:rPr>
        <w:t>Bilhetes numerados de 0001 a 2400, ao valor unitário de R$ 5,00.</w:t>
      </w:r>
    </w:p>
    <w:p>
      <w:pPr>
        <w:pStyle w:val="ListBullet"/>
      </w:pPr>
      <w:r>
        <w:rPr>
          <w:b w:val="0"/>
          <w:i w:val="0"/>
        </w:rPr>
        <w:t>Cada acadêmico participante recebe um bloco de 30 bilhetes em sequência, registrado em planilha de distribuição.</w:t>
      </w:r>
    </w:p>
    <w:p>
      <w:pPr>
        <w:pStyle w:val="ListBullet"/>
      </w:pPr>
      <w:r>
        <w:rPr>
          <w:b w:val="0"/>
          <w:i w:val="0"/>
        </w:rPr>
        <w:t>Cada bilhete traz o perfil do projeto no Instagram (@efeitorebote.oficial) e um QR Code de acesso a ele, para que o comprador conheça o projeto.</w:t>
      </w:r>
    </w:p>
    <w:p>
      <w:pPr>
        <w:pStyle w:val="ListBullet"/>
      </w:pPr>
      <w:r>
        <w:rPr>
          <w:b w:val="0"/>
          <w:i w:val="0"/>
        </w:rPr>
        <w:t>Cada acadêmico vende seus bilhetes de forma independente, preenche o canhoto de cada bilhete vendido (nome e telefone do comprador) e recebe o valor diretamente do comprador.</w:t>
      </w:r>
    </w:p>
    <w:p>
      <w:pPr>
        <w:pStyle w:val="ListBullet"/>
      </w:pPr>
      <w:r>
        <w:rPr>
          <w:b w:val="0"/>
          <w:i w:val="0"/>
        </w:rPr>
        <w:t>Até 30/10/2026, às 23h59, cada acadêmico repassa o valor integral do bloco, R$ 150,00, por PIX, à conta de recebimento de uso exclusivo da ação de arrecadação (chave aleatória fe5450d9-8b9e-470e-8b46-0d07e4a86d0d), sob a responsabilidade de Edgar Gabriel Castro Rocha, titular da conta, aprovada pela professora responsável. O repasse deve partir de conta do próprio acadêmico ou trazer seu nome na mensagem do PIX.</w:t>
      </w:r>
    </w:p>
    <w:p>
      <w:pPr>
        <w:pStyle w:val="ListBullet"/>
      </w:pPr>
      <w:r>
        <w:rPr>
          <w:b w:val="0"/>
          <w:i w:val="0"/>
        </w:rPr>
        <w:t>Junto com o repasse, o acadêmico entrega à comissão financeira os 30 canhotos preenchidos. Os bilhetes não vendidos são completados pelo próprio acadêmico, com recursos próprios, e concorrem em seu nome.</w:t>
      </w:r>
    </w:p>
    <w:p>
      <w:pPr>
        <w:pStyle w:val="ListBullet"/>
      </w:pPr>
      <w:r>
        <w:rPr>
          <w:b w:val="0"/>
          <w:i w:val="0"/>
        </w:rPr>
        <w:t>O bloco é considerado quitado quando o repasse de R$ 150,00 é identificado no extrato e os canhotos são conferidos. Somente concorrem os bilhetes de blocos quitados até 30/10/2026, às 23h59. O acadêmico responde, perante os compradores, pelos bilhetes que vendeu.</w:t>
      </w:r>
    </w:p>
    <w:p>
      <w:pPr>
        <w:pStyle w:val="ListBullet"/>
      </w:pPr>
      <w:r>
        <w:rPr>
          <w:b w:val="0"/>
          <w:i w:val="0"/>
        </w:rPr>
        <w:t>Em 01/11/2026, a lista dos números participantes (sem dados pessoais) é publicada no @efeitorebote.oficial.</w:t>
      </w:r>
    </w:p>
    <w:p>
      <w:pPr>
        <w:pStyle w:val="ListBullet"/>
      </w:pPr>
      <w:r>
        <w:rPr>
          <w:b w:val="0"/>
          <w:i w:val="0"/>
        </w:rPr>
        <w:t>Prêmio: 01 (um) tablet Samsung Galaxy Tab A11+ (11 polegadas, Wi-Fi) ou modelo equivalente, novo e com nota fiscal.</w:t>
      </w:r>
    </w:p>
    <w:p>
      <w:pPr>
        <w:pStyle w:val="ListBullet"/>
      </w:pPr>
      <w:r>
        <w:rPr>
          <w:b w:val="0"/>
          <w:i w:val="0"/>
        </w:rPr>
        <w:t>Sorteio: 02/11/2026, às [PENDENTE: horário], com transmissão ao vivo no @efeitorebote.oficial. Os números da lista oficial são impressos, dobrados e depositados em urna; um número é retirado na presença da professora responsável e de duas testemunhas, com lavratura de ata e gravação do vídeo.</w:t>
      </w:r>
    </w:p>
    <w:p>
      <w:pPr>
        <w:pStyle w:val="ListBullet"/>
      </w:pPr>
      <w:r>
        <w:rPr>
          <w:b w:val="0"/>
          <w:i w:val="0"/>
        </w:rPr>
        <w:t>O resultado será divulgado nos canais do projeto e o ganhador será contatado pelo telefone informado no canhoto, em até 24 horas após o sorteio, tendo 30 dias para retirar o prêmio. Se o prêmio não for retirado nesse prazo, será realizado novo sorteio entre os demais números participantes, divulgado nos mesmos canais.</w:t>
      </w:r>
    </w:p>
    <w:p>
      <w:pPr>
        <w:pStyle w:val="ListBullet"/>
      </w:pPr>
      <w:r>
        <w:rPr>
          <w:b w:val="0"/>
          <w:i w:val="0"/>
        </w:rPr>
        <w:t>A realização da ação de arrecadação está condicionada à autorização da instituição e da professora responsável, observadas as normas institucionais e a legislação federal sobre distribuição de prêmios mediante sorteio (Decreto-Lei nº 6.259/1944 e Lei nº 5.768/1971). Sem essa autorização, a ação de arrecadação não será iniciada.</w:t>
      </w:r>
    </w:p>
    <w:p>
      <w:pPr>
        <w:pStyle w:val="ListBullet"/>
      </w:pPr>
      <w:r>
        <w:rPr>
          <w:b w:val="0"/>
          <w:i w:val="0"/>
        </w:rPr>
        <w:t>Se o sorteio precisar ser adiado, a nova data será divulgada com antecedência nos canais do projeto. Se a ação de arrecadação for cancelada, a comissão financeira devolverá o valor integral de cada bloco ao respectivo acadêmico, que o restituirá aos compradores.</w:t>
      </w:r>
    </w:p>
    <w:p>
      <w:pPr>
        <w:pStyle w:val="ListBullet"/>
      </w:pPr>
      <w:r>
        <w:rPr>
          <w:b w:val="0"/>
          <w:i w:val="0"/>
        </w:rPr>
        <w:t>Dados pessoais: nome e telefone do comprador servem apenas para identificar o bilhete e contatar o ganhador; não são divulgados e serão eliminados após a entrega do prêmio (Lei nº 13.709/2018).</w:t>
      </w:r>
    </w:p>
    <w:p>
      <w:pPr>
        <w:spacing w:before="200"/>
      </w:pPr>
      <w:r>
        <w:rPr>
          <w:b/>
          <w:i w:val="0"/>
        </w:rPr>
        <w:t>5. Destinação dos recursos e prestação de contas</w:t>
      </w:r>
    </w:p>
    <w:p>
      <w:pPr>
        <w:spacing w:after="120"/>
        <w:jc w:val="both"/>
      </w:pPr>
      <w:r>
        <w:rPr>
          <w:b w:val="0"/>
          <w:i w:val="0"/>
        </w:rPr>
        <w:t>Os valores arrecadados com a ação de arrecadação, deduzido o custo de aquisição do prêmio, e as doações em dinheiro recebidas por PIX na mesma conta serão utilizados exclusivamente na compra dos itens listados no item 2, mediante nota fiscal. A comissão financeira, composta por [PENDENTE: integrantes da comissão financeira], manterá a planilha de controle dos repasses por bloco, das doações em dinheiro e das saídas, conferida com o extrato da conta de uso exclusivo. Ao final, será apresentado relatório de transparência à professora responsável e à turma, com o valor arrecadado na ação de arrecadação, o total das doações em dinheiro, os comprovantes de compra e o quantitativo de itens arrecadados e entregue por unidade.</w:t>
      </w:r>
    </w:p>
    <w:p>
      <w:pPr>
        <w:spacing w:before="200"/>
      </w:pPr>
      <w:r>
        <w:rPr>
          <w:b/>
          <w:i w:val="0"/>
        </w:rPr>
        <w:t>6. Entrega</w:t>
      </w:r>
    </w:p>
    <w:p>
      <w:pPr>
        <w:spacing w:after="120"/>
        <w:jc w:val="both"/>
      </w:pPr>
      <w:r>
        <w:rPr>
          <w:b w:val="0"/>
          <w:i w:val="0"/>
        </w:rPr>
        <w:t>Os itens serão entregues aos gestores das unidades durante as visitas técnicas previstas para 04 e 05 de novembro, com assinatura de termo de entrega.</w:t>
      </w:r>
    </w:p>
    <w:p>
      <w:pPr>
        <w:spacing w:before="200"/>
      </w:pPr>
      <w:r>
        <w:rPr>
          <w:b/>
          <w:i w:val="0"/>
        </w:rPr>
        <w:t>7. Disposições finais</w:t>
      </w:r>
    </w:p>
    <w:p>
      <w:pPr>
        <w:spacing w:after="120"/>
        <w:jc w:val="both"/>
      </w:pPr>
      <w:r>
        <w:rPr>
          <w:b w:val="0"/>
          <w:i w:val="0"/>
        </w:rPr>
        <w:t>Os casos omissos serão resolvidos pela professora responsável pelo projeto.</w:t>
      </w:r>
    </w:p>
    <w:sectPr w:rsidR="00FC693F" w:rsidRPr="0006063C" w:rsidSect="00034616">
      <w:pgSz w:w="11906" w:h="16838"/>
      <w:pgMar w:top="794"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Extensão Efeito Rebote</dc:title>
  <dc:subject/>
  <dc:creator>Acadêmicos do 3º semestre noturno – Turma B</dc:creator>
  <cp:keywords/>
  <dc:description/>
  <cp:lastModifiedBy>Acadêmicos do 3º semestre noturno – Turma B</cp:lastModifiedBy>
  <cp:revision>1</cp:revision>
  <dcterms:created xsi:type="dcterms:W3CDTF">2013-12-23T23:15:00Z</dcterms:created>
  <dcterms:modified xsi:type="dcterms:W3CDTF">2013-12-23T23:15:00Z</dcterms:modified>
  <cp:category/>
</cp:coreProperties>
</file>