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inconstitucional". A Lei de Execução Penal (Lei nº 7.210/1984) assegura à pessoa presa assistência material e assistência à saúde de caráter preventivo e curativo (arts.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o preso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roda de conversa;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realizada uma roda de conversa com familiares de pessoas privadas de liberdade, conduzida pelos acadêmicos sob mediação da professora responsável, em [PENDENTE: data e local; sugestão: dependências da UniCesumar], com divulgação feita em parceria com [PENDENTE: instituição que fará a ponte com as famílias, como o Conselho da Comunidade ou a Defensoria Pública] e mediante autorização das instâncias envolvidas. O encontro terá caráter de escuta e acolhimento e abordará, em linguagem acessível, os direitos da pessoa presa e de seus familiares (assistência material e à saúde, regras de visita) e os canais públicos de apoio. Regras: participação voluntária; sigilo sobre os relatos; nenhum registro de imagem ou dado que identifique os participantes, sendo a presença registrada apenas em número;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sociedade, incluindo a roda de conversa com familiares;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elaboração do roteiro da roda de conversa com familiares e contato com a instituição parceira para a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Roda de Conversa com Familiares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Acolher familiares de pessoas privadas de liberdade e compartilhar informações sobre direitos e canais públicos de apoio.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Recepção e escuta dos familiares; apresentação, em linguagem acessível, dos direitos relativos à assistência material, à saúde e às visitas; indicação dos canais de apoio (Defensoria Pública, Conselho da Comunidade); registro apenas do número de participantes, sem identificação.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a escuta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