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51 h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correlacionar a omissão no fornecimento de itens básicos com a elevação dos custos sociais, institucionais e de saúde pública;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Regras: cada venda é registrada no canhoto (nome, telefone e confirmação de pagamento); os valores e os canhotos são entregues à comissão financeira em acertos periódicos, e os bilhetes não vendidos são devolvidos antes do sorteio; o prêmio será [PENDENTE: prêmio]; o sorteio será público e registrado em vídeo, em [PENDENTE: data e local do sorteio], pelo método [PENDENTE: método do sorteio]. Os valores arrecadados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3.00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Instalação dos Pontos de Coleta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autorizados; divulgação da lista de itens aceitos e de suas especificações.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Acompanhamento da Arrecadação e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Monitorar o andamento da campanha e garantir a transparência no controle de itens e valores.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Recolhimento e triagem semanal dos itens; atualização da planilha de controle; acerto parcial de valores e canhotos da rifa com a comissão financeira; ajuste das estratégias de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das tarefas assumidas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Sorteio da Rifa e Aquisição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Concluir a rifa com transparência e converter os valores arrecadados em itens de higiene.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e devolução dos bilhetes não vendidos; sorteio público e registrado em vídeo; pesquisa de preços e compra dos itens; arquivamento das notas fiscais para a prestação de contas.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aquisição dos itens.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3.00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transparência às ações realizadas junto à comunidade acadêmica.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Produção de conteúdo, previamente aprovado, sobre o andamento do projeto e o quantitativo arrecadado; agradecimento aos apoiadores.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comunicação ou relato da participação na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8.00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3.00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