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correlacionar a omissão no fornecimento de itens básicos com a elevação dos custos sociais, institucionais e de saúde pública;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 cede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 —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rifa. Para pagamentos por PIX, o sistema gera o código com o valor exato e a identificação do pedido, e o pagamento cai diretamente na conta de recebimento da comissão financeira — conta de uso exclusivo da rifa, indicada pela comissão e aprovada pela professora responsável —,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(Lei nº 13.709/2018).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— tipo, cor, embalagem e forma de entrega — será validada com a PEM, a CCM e a CPIM antes de qualquer aquisição; (2) a rifa solidária como fonte complementar de recursos: a divulgação permanece de custo zero, e a receita da rifa, deduzido o prêmio, destina-se exclusivamente à compra de itens; (3) as ações de mobilização e junto à sociedade; e (4) o sistema on-line de controle de vendas e prestação de contas. O quantitativo arrecadado será acompanhado semanalmente em relação à meta.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arrecadação e da rifa.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rifa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