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C1491" w:rsidRPr="00BC1491" w:rsidRDefault="00BC1491" w:rsidP="00BC1491">
      <w:pPr>
        <w:shd w:val="clear" w:color="auto" w:fill="F7F7F7"/>
        <w:spacing w:after="0" w:line="240" w:lineRule="auto"/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</w:pPr>
      <w:r w:rsidRPr="00BC1491"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  <w:t>Processo: </w:t>
      </w:r>
      <w:r w:rsidRPr="00BC1491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>0000610-03.2021.5.09.0245</w:t>
      </w:r>
    </w:p>
    <w:p w:rsidR="00BC1491" w:rsidRPr="00BC1491" w:rsidRDefault="00BC1491" w:rsidP="00BC1491">
      <w:pPr>
        <w:shd w:val="clear" w:color="auto" w:fill="F7F7F7"/>
        <w:spacing w:after="0" w:line="240" w:lineRule="auto"/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</w:pPr>
      <w:r w:rsidRPr="00BC1491">
        <w:rPr>
          <w:rFonts w:ascii="Roboto" w:eastAsia="Times New Roman" w:hAnsi="Roboto" w:cs="Times New Roman"/>
          <w:b/>
          <w:bCs/>
          <w:i/>
          <w:iCs/>
          <w:color w:val="73879C"/>
          <w:sz w:val="20"/>
          <w:szCs w:val="20"/>
          <w:lang w:eastAsia="pt-BR"/>
        </w:rPr>
        <w:t>ROQUE GUERREIRO TEIXEIRA </w:t>
      </w:r>
      <w:r w:rsidRPr="00BC1491">
        <w:rPr>
          <w:rFonts w:ascii="Roboto" w:eastAsia="Times New Roman" w:hAnsi="Roboto" w:cs="Times New Roman"/>
          <w:b/>
          <w:bCs/>
          <w:i/>
          <w:iCs/>
          <w:color w:val="A94442"/>
          <w:sz w:val="20"/>
          <w:szCs w:val="20"/>
          <w:lang w:eastAsia="pt-BR"/>
        </w:rPr>
        <w:t>X </w:t>
      </w:r>
      <w:r w:rsidRPr="00BC1491">
        <w:rPr>
          <w:rFonts w:ascii="Roboto" w:eastAsia="Times New Roman" w:hAnsi="Roboto" w:cs="Times New Roman"/>
          <w:b/>
          <w:bCs/>
          <w:i/>
          <w:iCs/>
          <w:color w:val="73879C"/>
          <w:sz w:val="20"/>
          <w:szCs w:val="20"/>
          <w:lang w:eastAsia="pt-BR"/>
        </w:rPr>
        <w:t>GRUPO CASAS BAHIA S.A</w:t>
      </w:r>
    </w:p>
    <w:p w:rsidR="00B50EEB" w:rsidRPr="00FC65D0" w:rsidRDefault="00847222" w:rsidP="00B50EEB">
      <w:pPr>
        <w:shd w:val="clear" w:color="auto" w:fill="F7F7F7"/>
        <w:spacing w:after="360" w:line="240" w:lineRule="auto"/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</w:pPr>
      <w:r w:rsidRPr="00016F86">
        <w:rPr>
          <w:rFonts w:ascii="Roboto" w:eastAsia="Times New Roman" w:hAnsi="Roboto" w:cs="Times New Roman"/>
          <w:noProof/>
          <w:color w:val="73879C"/>
          <w:sz w:val="20"/>
          <w:szCs w:val="20"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C40EBF" wp14:editId="07767CA6">
                <wp:simplePos x="0" y="0"/>
                <wp:positionH relativeFrom="column">
                  <wp:posOffset>3491865</wp:posOffset>
                </wp:positionH>
                <wp:positionV relativeFrom="paragraph">
                  <wp:posOffset>-243840</wp:posOffset>
                </wp:positionV>
                <wp:extent cx="2160270" cy="45656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0EEB" w:rsidRPr="00016F86" w:rsidRDefault="00B50EEB" w:rsidP="00B50EEB">
                            <w:pPr>
                              <w:contextualSpacing/>
                              <w:jc w:val="center"/>
                              <w:rPr>
                                <w:rFonts w:ascii="Roboto" w:hAnsi="Roboto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Prescrição</w:t>
                            </w:r>
                          </w:p>
                          <w:p w:rsidR="00B50EEB" w:rsidRPr="00016F86" w:rsidRDefault="00A641A5" w:rsidP="00B50EEB">
                            <w:pPr>
                              <w:contextualSpacing/>
                              <w:jc w:val="center"/>
                              <w:rPr>
                                <w:rFonts w:ascii="Roboto" w:hAnsi="Roboto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21/06/2016</w:t>
                            </w:r>
                            <w:r w:rsidR="00B50EE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 xml:space="preserve"> até </w:t>
                            </w:r>
                            <w:r w:rsidR="00BC1491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09/03/2021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40EB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74.95pt;margin-top:-19.2pt;width:170.1pt;height:35.9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" filled="f" stroked="f">
                <v:textbox>
                  <w:txbxContent>
                    <w:p w:rsidR="00B50EEB" w:rsidRPr="00016F86" w:rsidRDefault="00B50EEB" w:rsidP="00B50EEB">
                      <w:pPr>
                        <w:contextualSpacing/>
                        <w:jc w:val="center"/>
                        <w:rPr>
                          <w:rFonts w:ascii="Roboto" w:hAnsi="Roboto" w:cs="Times New Roman"/>
                          <w:b/>
                          <w:bCs/>
                        </w:rPr>
                      </w:pPr>
                      <w:r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Prescrição</w:t>
                      </w:r>
                    </w:p>
                    <w:p w:rsidR="00B50EEB" w:rsidRPr="00016F86" w:rsidRDefault="00A641A5" w:rsidP="00B50EEB">
                      <w:pPr>
                        <w:contextualSpacing/>
                        <w:jc w:val="center"/>
                        <w:rPr>
                          <w:rFonts w:ascii="Roboto" w:hAnsi="Roboto" w:cs="Times New Roman"/>
                          <w:b/>
                          <w:bCs/>
                        </w:rPr>
                      </w:pPr>
                      <w:r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21/06/2016</w:t>
                      </w:r>
                      <w:r w:rsidR="00B50EEB"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 xml:space="preserve"> até </w:t>
                      </w:r>
                      <w:r w:rsidR="00BC1491"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09/03/2021</w:t>
                      </w:r>
                    </w:p>
                  </w:txbxContent>
                </v:textbox>
              </v:shape>
            </w:pict>
          </mc:Fallback>
        </mc:AlternateContent>
      </w:r>
      <w:r w:rsidR="00B50EEB"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  <w:t>Execução Provisória:</w:t>
      </w:r>
      <w:r w:rsidR="00B50EEB" w:rsidRPr="00A27893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 xml:space="preserve"> </w:t>
      </w:r>
      <w:r w:rsidR="00BC1491" w:rsidRPr="00BC1491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>0001138-95.2025.5.09.0245</w:t>
      </w:r>
    </w:p>
    <w:p w:rsidR="00663DB0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DSR</w:t>
      </w:r>
    </w:p>
    <w:p w:rsidR="00663DB0" w:rsidRPr="00EE2126" w:rsidRDefault="00663DB0" w:rsidP="00B50EEB">
      <w:pPr>
        <w:jc w:val="both"/>
        <w:rPr>
          <w:rFonts w:ascii="Times New Roman" w:hAnsi="Times New Roman" w:cs="Times New Roman"/>
          <w:color w:val="FF0000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(Sentença) </w:t>
      </w:r>
      <w:r w:rsidRPr="00663DB0">
        <w:rPr>
          <w:rFonts w:ascii="Times New Roman" w:hAnsi="Times New Roman" w:cs="Times New Roman"/>
          <w:sz w:val="20"/>
          <w:szCs w:val="20"/>
          <w:lang w:eastAsia="pt-BR"/>
        </w:rPr>
        <w:t xml:space="preserve">Os reflexos são igualmente deferidos para os </w:t>
      </w:r>
      <w:r w:rsidRPr="00663DB0">
        <w:rPr>
          <w:rFonts w:ascii="Times New Roman" w:hAnsi="Times New Roman" w:cs="Times New Roman"/>
          <w:sz w:val="20"/>
          <w:szCs w:val="20"/>
          <w:u w:val="single"/>
          <w:lang w:eastAsia="pt-BR"/>
        </w:rPr>
        <w:t>valores quitados a título de prêmios</w:t>
      </w:r>
      <w:r w:rsidRPr="00663DB0">
        <w:rPr>
          <w:rFonts w:ascii="Times New Roman" w:hAnsi="Times New Roman" w:cs="Times New Roman"/>
          <w:sz w:val="20"/>
          <w:szCs w:val="20"/>
          <w:lang w:eastAsia="pt-BR"/>
        </w:rPr>
        <w:t>, observada a limitação d</w:t>
      </w:r>
      <w:r w:rsidR="00EE2126">
        <w:rPr>
          <w:rFonts w:ascii="Times New Roman" w:hAnsi="Times New Roman" w:cs="Times New Roman"/>
          <w:sz w:val="20"/>
          <w:szCs w:val="20"/>
          <w:lang w:eastAsia="pt-BR"/>
        </w:rPr>
        <w:t>e</w:t>
      </w:r>
      <w:r w:rsidRPr="00663DB0">
        <w:rPr>
          <w:rFonts w:ascii="Times New Roman" w:hAnsi="Times New Roman" w:cs="Times New Roman"/>
          <w:sz w:val="20"/>
          <w:szCs w:val="20"/>
          <w:lang w:eastAsia="pt-BR"/>
        </w:rPr>
        <w:t xml:space="preserve"> 10.11.2017, em função da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663DB0">
        <w:rPr>
          <w:rFonts w:ascii="Times New Roman" w:hAnsi="Times New Roman" w:cs="Times New Roman"/>
          <w:sz w:val="20"/>
          <w:szCs w:val="20"/>
          <w:lang w:eastAsia="pt-BR"/>
        </w:rPr>
        <w:t>vigência da Lei nº 13.467/2017</w:t>
      </w:r>
      <w:r>
        <w:rPr>
          <w:rFonts w:ascii="Times New Roman" w:hAnsi="Times New Roman" w:cs="Times New Roman"/>
          <w:sz w:val="20"/>
          <w:szCs w:val="20"/>
          <w:lang w:eastAsia="pt-BR"/>
        </w:rPr>
        <w:t>.</w:t>
      </w:r>
      <w:r w:rsidR="00EE2126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EE2126" w:rsidRPr="00EE2126">
        <w:rPr>
          <w:rFonts w:ascii="Times New Roman" w:hAnsi="Times New Roman" w:cs="Times New Roman"/>
          <w:color w:val="FF0000"/>
          <w:sz w:val="16"/>
          <w:szCs w:val="16"/>
          <w:lang w:eastAsia="pt-BR"/>
        </w:rPr>
        <w:t>(apenas um m</w:t>
      </w:r>
      <w:r w:rsidR="00EE2126">
        <w:rPr>
          <w:rFonts w:ascii="Times New Roman" w:hAnsi="Times New Roman" w:cs="Times New Roman"/>
          <w:color w:val="FF0000"/>
          <w:sz w:val="16"/>
          <w:szCs w:val="16"/>
          <w:lang w:eastAsia="pt-BR"/>
        </w:rPr>
        <w:t>ê</w:t>
      </w:r>
      <w:r w:rsidR="00EE2126" w:rsidRPr="00EE2126">
        <w:rPr>
          <w:rFonts w:ascii="Times New Roman" w:hAnsi="Times New Roman" w:cs="Times New Roman"/>
          <w:color w:val="FF0000"/>
          <w:sz w:val="16"/>
          <w:szCs w:val="16"/>
          <w:lang w:eastAsia="pt-BR"/>
        </w:rPr>
        <w:t xml:space="preserve">s </w:t>
      </w:r>
      <w:r w:rsidR="00664F86">
        <w:rPr>
          <w:rFonts w:ascii="Times New Roman" w:hAnsi="Times New Roman" w:cs="Times New Roman"/>
          <w:color w:val="FF0000"/>
          <w:sz w:val="16"/>
          <w:szCs w:val="16"/>
          <w:lang w:eastAsia="pt-BR"/>
        </w:rPr>
        <w:t>com</w:t>
      </w:r>
      <w:r w:rsidR="00EE2126" w:rsidRPr="00EE2126">
        <w:rPr>
          <w:rFonts w:ascii="Times New Roman" w:hAnsi="Times New Roman" w:cs="Times New Roman"/>
          <w:color w:val="FF0000"/>
          <w:sz w:val="16"/>
          <w:szCs w:val="16"/>
          <w:lang w:eastAsia="pt-BR"/>
        </w:rPr>
        <w:t xml:space="preserve"> prêmio antes </w:t>
      </w:r>
      <w:r w:rsidR="00EE2126">
        <w:rPr>
          <w:rFonts w:ascii="Times New Roman" w:hAnsi="Times New Roman" w:cs="Times New Roman"/>
          <w:color w:val="FF0000"/>
          <w:sz w:val="16"/>
          <w:szCs w:val="16"/>
          <w:lang w:eastAsia="pt-BR"/>
        </w:rPr>
        <w:t>da</w:t>
      </w:r>
      <w:r w:rsidR="00EE2126" w:rsidRPr="00EE2126">
        <w:rPr>
          <w:rFonts w:ascii="Times New Roman" w:hAnsi="Times New Roman" w:cs="Times New Roman"/>
          <w:color w:val="FF0000"/>
          <w:sz w:val="16"/>
          <w:szCs w:val="16"/>
          <w:lang w:eastAsia="pt-BR"/>
        </w:rPr>
        <w:t xml:space="preserve"> Lei)</w:t>
      </w:r>
    </w:p>
    <w:p w:rsidR="00F4346D" w:rsidRPr="0051505E" w:rsidRDefault="0051505E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(Acórdão) </w:t>
      </w:r>
      <w:r w:rsidRPr="0051505E">
        <w:rPr>
          <w:rFonts w:ascii="Times New Roman" w:hAnsi="Times New Roman" w:cs="Times New Roman"/>
          <w:sz w:val="20"/>
          <w:szCs w:val="20"/>
        </w:rPr>
        <w:t xml:space="preserve">Determinar que as diferenças de DSRs </w:t>
      </w:r>
      <w:r w:rsidRPr="009A36B1">
        <w:rPr>
          <w:rFonts w:ascii="Times New Roman" w:hAnsi="Times New Roman" w:cs="Times New Roman"/>
          <w:sz w:val="20"/>
          <w:szCs w:val="20"/>
          <w:u w:val="single"/>
        </w:rPr>
        <w:t>sobre comissões</w:t>
      </w:r>
      <w:r w:rsidRPr="0051505E">
        <w:rPr>
          <w:rFonts w:ascii="Times New Roman" w:hAnsi="Times New Roman" w:cs="Times New Roman"/>
          <w:sz w:val="20"/>
          <w:szCs w:val="20"/>
        </w:rPr>
        <w:t xml:space="preserve"> sejam apuradas pelos cartões ponto (em valores correspondentes à divisão do valor das comissões auferidas em cada mês pelo número de dias úteis nos respectivos períodos de apuração, multiplicada pelo número de domingos e feriados em cada um desses interregnos), abatendo-se valores pagos ao mesmo título.</w:t>
      </w:r>
    </w:p>
    <w:p w:rsidR="00B50EEB" w:rsidRPr="00D8299E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VENDAS NÃO FATURADAS</w:t>
      </w:r>
    </w:p>
    <w:p w:rsidR="00F4346D" w:rsidRPr="000F76AA" w:rsidRDefault="006161CD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(Acórdão) </w:t>
      </w:r>
      <w:r w:rsidRPr="006161CD">
        <w:rPr>
          <w:rFonts w:ascii="Times New Roman" w:hAnsi="Times New Roman" w:cs="Times New Roman"/>
          <w:sz w:val="20"/>
          <w:szCs w:val="20"/>
          <w:lang w:eastAsia="pt-BR"/>
        </w:rPr>
        <w:t>Reformo para deferir o pagamento de diferenças de comissões por vendas canceladas, não faturadas (com ou sem nota fiscal) e por motivo de troca, apurados pelos extratos mercantis anexados aos autos por todo o período imprescrito.</w:t>
      </w:r>
    </w:p>
    <w:p w:rsidR="00B50EEB" w:rsidRPr="00D8299E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PRÊMIO ESTÍMULO</w:t>
      </w:r>
    </w:p>
    <w:p w:rsidR="00F4346D" w:rsidRPr="000F76AA" w:rsidRDefault="000433D4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(Acórdão) </w:t>
      </w:r>
      <w:r w:rsidRPr="000433D4">
        <w:rPr>
          <w:rFonts w:ascii="Times New Roman" w:hAnsi="Times New Roman" w:cs="Times New Roman"/>
          <w:sz w:val="20"/>
          <w:szCs w:val="20"/>
          <w:lang w:eastAsia="pt-BR"/>
        </w:rPr>
        <w:t>Reformo para deferir as diferenças de premiações apuradas pelos recibos de pagamento, nas ocasiões em que houver o registro desta parcela no percentual de 0,4% sobre o total das vendas realizadas no período imprescrito. São devidos reflexos</w:t>
      </w:r>
      <w:r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B50EEB" w:rsidRPr="00D8299E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HORAS EXTRAS</w:t>
      </w:r>
    </w:p>
    <w:p w:rsidR="00F4346D" w:rsidRDefault="00147A8F" w:rsidP="008D0932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 w:rsidRPr="00147A8F">
        <w:rPr>
          <w:rFonts w:ascii="Times New Roman" w:hAnsi="Times New Roman" w:cs="Times New Roman"/>
          <w:sz w:val="20"/>
          <w:szCs w:val="20"/>
        </w:rPr>
        <w:t xml:space="preserve">Considero que os </w:t>
      </w:r>
      <w:r w:rsidRPr="002F5533">
        <w:rPr>
          <w:rFonts w:ascii="Times New Roman" w:hAnsi="Times New Roman" w:cs="Times New Roman"/>
          <w:b/>
          <w:bCs/>
          <w:sz w:val="20"/>
          <w:szCs w:val="20"/>
        </w:rPr>
        <w:t>controles de jornadas</w:t>
      </w:r>
      <w:r w:rsidRPr="00147A8F">
        <w:rPr>
          <w:rFonts w:ascii="Times New Roman" w:hAnsi="Times New Roman" w:cs="Times New Roman"/>
          <w:sz w:val="20"/>
          <w:szCs w:val="20"/>
        </w:rPr>
        <w:t xml:space="preserve"> registram corretamente os </w:t>
      </w:r>
      <w:r w:rsidRPr="002F5533">
        <w:rPr>
          <w:rFonts w:ascii="Times New Roman" w:hAnsi="Times New Roman" w:cs="Times New Roman"/>
          <w:sz w:val="20"/>
          <w:szCs w:val="20"/>
          <w:u w:val="single"/>
        </w:rPr>
        <w:t>horários de entrada, saída, intervalos</w:t>
      </w:r>
      <w:r w:rsidRPr="00147A8F">
        <w:rPr>
          <w:rFonts w:ascii="Times New Roman" w:hAnsi="Times New Roman" w:cs="Times New Roman"/>
          <w:sz w:val="20"/>
          <w:szCs w:val="20"/>
        </w:rPr>
        <w:t xml:space="preserve"> e frequência</w:t>
      </w:r>
      <w:r w:rsidR="002F5533">
        <w:rPr>
          <w:rFonts w:ascii="Times New Roman" w:hAnsi="Times New Roman" w:cs="Times New Roman"/>
          <w:sz w:val="20"/>
          <w:szCs w:val="20"/>
        </w:rPr>
        <w:t xml:space="preserve">. Quanto à compensação, </w:t>
      </w:r>
      <w:r w:rsidR="002F5533" w:rsidRPr="002F5533">
        <w:rPr>
          <w:rFonts w:ascii="Times New Roman" w:hAnsi="Times New Roman" w:cs="Times New Roman"/>
          <w:sz w:val="20"/>
          <w:szCs w:val="20"/>
        </w:rPr>
        <w:t xml:space="preserve">o </w:t>
      </w:r>
      <w:r w:rsidR="002F5533" w:rsidRPr="002F5533">
        <w:rPr>
          <w:rFonts w:ascii="Times New Roman" w:hAnsi="Times New Roman" w:cs="Times New Roman"/>
          <w:b/>
          <w:bCs/>
          <w:sz w:val="20"/>
          <w:szCs w:val="20"/>
        </w:rPr>
        <w:t>banco de horas</w:t>
      </w:r>
      <w:r w:rsidR="002F5533" w:rsidRPr="002F5533">
        <w:rPr>
          <w:rFonts w:ascii="Times New Roman" w:hAnsi="Times New Roman" w:cs="Times New Roman"/>
          <w:sz w:val="20"/>
          <w:szCs w:val="20"/>
        </w:rPr>
        <w:t xml:space="preserve"> é formalmente </w:t>
      </w:r>
      <w:r w:rsidR="002F5533" w:rsidRPr="002F5533">
        <w:rPr>
          <w:rFonts w:ascii="Times New Roman" w:hAnsi="Times New Roman" w:cs="Times New Roman"/>
          <w:sz w:val="20"/>
          <w:szCs w:val="20"/>
          <w:u w:val="single"/>
        </w:rPr>
        <w:t>inválido</w:t>
      </w:r>
      <w:r w:rsidR="002F5533" w:rsidRPr="002F5533">
        <w:rPr>
          <w:rFonts w:ascii="Times New Roman" w:hAnsi="Times New Roman" w:cs="Times New Roman"/>
          <w:sz w:val="20"/>
          <w:szCs w:val="20"/>
        </w:rPr>
        <w:t xml:space="preserve"> durante todo o período.</w:t>
      </w:r>
    </w:p>
    <w:p w:rsidR="002F5533" w:rsidRPr="008D0932" w:rsidRDefault="008D0932" w:rsidP="00B50EEB">
      <w:pPr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8D0932">
        <w:rPr>
          <w:rFonts w:ascii="Times New Roman" w:hAnsi="Times New Roman" w:cs="Times New Roman"/>
          <w:sz w:val="20"/>
          <w:szCs w:val="20"/>
        </w:rPr>
        <w:t>Dou provimento</w:t>
      </w:r>
      <w:r w:rsidRPr="008D093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D0932">
        <w:rPr>
          <w:rFonts w:ascii="Times New Roman" w:hAnsi="Times New Roman" w:cs="Times New Roman"/>
          <w:sz w:val="20"/>
          <w:szCs w:val="20"/>
        </w:rPr>
        <w:t>ao recurso do réu, para limitar a condenação ao pagamento do adicional de trabalho extraordinário para as excedentes da 8ª hora diária, até o limite de 44h semanais, e de horas extras (hora + adicional) para as excedentes da 44ª semanal (</w:t>
      </w:r>
      <w:r w:rsidRPr="008D0932">
        <w:rPr>
          <w:rFonts w:ascii="Times New Roman" w:hAnsi="Times New Roman" w:cs="Times New Roman"/>
          <w:b/>
          <w:bCs/>
          <w:sz w:val="20"/>
          <w:szCs w:val="20"/>
        </w:rPr>
        <w:t>artigo 59-B, caput, da CLT</w:t>
      </w:r>
      <w:r w:rsidRPr="008D0932">
        <w:rPr>
          <w:rFonts w:ascii="Times New Roman" w:hAnsi="Times New Roman" w:cs="Times New Roman"/>
          <w:sz w:val="20"/>
          <w:szCs w:val="20"/>
        </w:rPr>
        <w:t xml:space="preserve">), </w:t>
      </w:r>
      <w:r w:rsidRPr="008D0932">
        <w:rPr>
          <w:rFonts w:ascii="Times New Roman" w:hAnsi="Times New Roman" w:cs="Times New Roman"/>
          <w:strike/>
          <w:sz w:val="20"/>
          <w:szCs w:val="20"/>
        </w:rPr>
        <w:t>relativamente ao período de 11/11/2017 em diante</w:t>
      </w:r>
      <w:r w:rsidRPr="008D0932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D0932">
        <w:rPr>
          <w:rFonts w:ascii="Times New Roman" w:hAnsi="Times New Roman" w:cs="Times New Roman"/>
          <w:color w:val="FF0000"/>
          <w:sz w:val="16"/>
          <w:szCs w:val="16"/>
        </w:rPr>
        <w:t>(juiz incorreu em contradição, pois em linhas anteriores consta expressamente que o acordo de compensação é formalmente inválido</w:t>
      </w:r>
      <w:r>
        <w:rPr>
          <w:rFonts w:ascii="Times New Roman" w:hAnsi="Times New Roman" w:cs="Times New Roman"/>
          <w:color w:val="FF0000"/>
          <w:sz w:val="16"/>
          <w:szCs w:val="16"/>
        </w:rPr>
        <w:t xml:space="preserve"> para o período anterior à 11/2017, em razão das CCT’s</w:t>
      </w:r>
      <w:r w:rsidRPr="008D0932">
        <w:rPr>
          <w:rFonts w:ascii="Times New Roman" w:hAnsi="Times New Roman" w:cs="Times New Roman"/>
          <w:color w:val="FF0000"/>
          <w:sz w:val="16"/>
          <w:szCs w:val="16"/>
        </w:rPr>
        <w:t>)</w:t>
      </w:r>
    </w:p>
    <w:p w:rsidR="00F4346D" w:rsidRPr="00F4346D" w:rsidRDefault="00F4346D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</w:rPr>
        <w:t>INTRAJORNADA</w:t>
      </w:r>
    </w:p>
    <w:p w:rsidR="008E5C51" w:rsidRPr="003709A1" w:rsidRDefault="008E5C51" w:rsidP="00B50EEB">
      <w:pPr>
        <w:jc w:val="both"/>
        <w:rPr>
          <w:rFonts w:ascii="Times New Roman" w:hAnsi="Times New Roman" w:cs="Times New Roman"/>
          <w:sz w:val="20"/>
          <w:szCs w:val="20"/>
        </w:rPr>
      </w:pPr>
      <w:r w:rsidRPr="008E5C51">
        <w:rPr>
          <w:rFonts w:ascii="Times New Roman" w:hAnsi="Times New Roman" w:cs="Times New Roman"/>
          <w:sz w:val="20"/>
          <w:szCs w:val="20"/>
        </w:rPr>
        <w:t>Em relação ao período anterior a 11/11/2017, prevalece a aplicação da Súmula 437, itens I e III, do TST</w:t>
      </w:r>
      <w:r w:rsidR="003709A1">
        <w:rPr>
          <w:rFonts w:ascii="Times New Roman" w:hAnsi="Times New Roman" w:cs="Times New Roman"/>
          <w:sz w:val="20"/>
          <w:szCs w:val="20"/>
        </w:rPr>
        <w:t xml:space="preserve">, pelo que é </w:t>
      </w:r>
      <w:r w:rsidR="003709A1" w:rsidRPr="003709A1">
        <w:rPr>
          <w:rFonts w:ascii="Times New Roman" w:hAnsi="Times New Roman" w:cs="Times New Roman"/>
          <w:sz w:val="20"/>
          <w:szCs w:val="20"/>
        </w:rPr>
        <w:t>devido o pagamento total do período correspondente ao intervalo intrajornada não concedido (01 hora),</w:t>
      </w:r>
      <w:r w:rsidR="003709A1">
        <w:rPr>
          <w:rFonts w:ascii="Times New Roman" w:hAnsi="Times New Roman" w:cs="Times New Roman"/>
          <w:sz w:val="20"/>
          <w:szCs w:val="20"/>
        </w:rPr>
        <w:t xml:space="preserve"> com reflexos. A partir de então, </w:t>
      </w:r>
      <w:r w:rsidR="003709A1" w:rsidRPr="003709A1">
        <w:rPr>
          <w:rFonts w:ascii="Times New Roman" w:hAnsi="Times New Roman" w:cs="Times New Roman"/>
          <w:sz w:val="20"/>
          <w:szCs w:val="20"/>
        </w:rPr>
        <w:t>implica o pagamento, de natureza indenizatória, apenas do período suprimido, com acréscimo de 50%</w:t>
      </w:r>
      <w:r w:rsidR="003709A1">
        <w:rPr>
          <w:rFonts w:ascii="Times New Roman" w:hAnsi="Times New Roman" w:cs="Times New Roman"/>
          <w:sz w:val="20"/>
          <w:szCs w:val="20"/>
        </w:rPr>
        <w:t xml:space="preserve"> e sem reflexos.</w:t>
      </w:r>
    </w:p>
    <w:p w:rsidR="00F4346D" w:rsidRPr="000F76AA" w:rsidRDefault="00F4346D" w:rsidP="0023658C">
      <w:pPr>
        <w:rPr>
          <w:rFonts w:ascii="Times New Roman" w:hAnsi="Times New Roman" w:cs="Times New Roman"/>
          <w:sz w:val="20"/>
          <w:szCs w:val="20"/>
        </w:rPr>
      </w:pPr>
    </w:p>
    <w:p w:rsidR="00852C2F" w:rsidRDefault="00852C2F" w:rsidP="00B50EE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3D4DD9" w:rsidRDefault="00A641A5" w:rsidP="003D4DD9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 w:rsidRPr="00A641A5">
        <w:rPr>
          <w:rFonts w:ascii="Times New Roman" w:hAnsi="Times New Roman" w:cs="Times New Roman"/>
          <w:sz w:val="20"/>
          <w:szCs w:val="20"/>
        </w:rPr>
        <w:t xml:space="preserve">Deferidos os benefícios da </w:t>
      </w:r>
      <w:r w:rsidRPr="00A641A5">
        <w:rPr>
          <w:rFonts w:ascii="Times New Roman" w:hAnsi="Times New Roman" w:cs="Times New Roman"/>
          <w:sz w:val="20"/>
          <w:szCs w:val="20"/>
          <w:u w:val="single"/>
        </w:rPr>
        <w:t>Justiça gratuita</w:t>
      </w:r>
      <w:r w:rsidRPr="00A641A5">
        <w:rPr>
          <w:rFonts w:ascii="Times New Roman" w:hAnsi="Times New Roman" w:cs="Times New Roman"/>
          <w:sz w:val="20"/>
          <w:szCs w:val="20"/>
        </w:rPr>
        <w:t>.</w:t>
      </w:r>
    </w:p>
    <w:p w:rsidR="00AE1C29" w:rsidRDefault="00AE1C29" w:rsidP="003D4DD9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 w:rsidRPr="00AE1C29">
        <w:rPr>
          <w:rFonts w:ascii="Times New Roman" w:hAnsi="Times New Roman" w:cs="Times New Roman"/>
          <w:sz w:val="20"/>
          <w:szCs w:val="20"/>
        </w:rPr>
        <w:t xml:space="preserve">Os honorários devidos pela parte autora deverão permanecer sob </w:t>
      </w:r>
      <w:r w:rsidRPr="00AE1C29">
        <w:rPr>
          <w:rFonts w:ascii="Times New Roman" w:hAnsi="Times New Roman" w:cs="Times New Roman"/>
          <w:sz w:val="20"/>
          <w:szCs w:val="20"/>
          <w:u w:val="single"/>
        </w:rPr>
        <w:t>condição suspensiva de exigibilidade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655EEB" w:rsidRPr="00655EEB" w:rsidRDefault="00655EEB" w:rsidP="004B59F6">
      <w:pPr>
        <w:spacing w:after="3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Fase</w:t>
      </w:r>
      <w:r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BC4ACC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BC1491" w:rsidRPr="00BC1491">
        <w:rPr>
          <w:rFonts w:ascii="Times New Roman" w:hAnsi="Times New Roman" w:cs="Times New Roman"/>
          <w:b/>
          <w:bCs/>
          <w:color w:val="FF0000"/>
          <w:sz w:val="20"/>
          <w:szCs w:val="20"/>
          <w:lang w:eastAsia="pt-BR"/>
        </w:rPr>
        <w:t>ED Acórdão</w:t>
      </w:r>
      <w:r w:rsidR="00BC1491" w:rsidRPr="00BC1491">
        <w:rPr>
          <w:rFonts w:ascii="Times New Roman" w:hAnsi="Times New Roman" w:cs="Times New Roman"/>
          <w:color w:val="FF0000"/>
          <w:sz w:val="20"/>
          <w:szCs w:val="20"/>
          <w:lang w:eastAsia="pt-BR"/>
        </w:rPr>
        <w:t xml:space="preserve"> </w:t>
      </w:r>
      <w:r w:rsidR="00BC1491">
        <w:rPr>
          <w:rFonts w:ascii="Times New Roman" w:hAnsi="Times New Roman" w:cs="Times New Roman"/>
          <w:sz w:val="20"/>
          <w:szCs w:val="20"/>
          <w:lang w:eastAsia="pt-BR"/>
        </w:rPr>
        <w:t>da parte reclamante pendente de julgamento.</w:t>
      </w:r>
    </w:p>
    <w:p w:rsidR="00B50EEB" w:rsidRPr="00F4346D" w:rsidRDefault="00B50EEB" w:rsidP="00B50EEB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Honorários sucumbenciais</w:t>
      </w:r>
      <w:r w:rsidRPr="00F4346D"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9D71B1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FA4623">
        <w:rPr>
          <w:rFonts w:ascii="Times New Roman" w:hAnsi="Times New Roman" w:cs="Times New Roman"/>
          <w:sz w:val="20"/>
          <w:szCs w:val="20"/>
          <w:lang w:eastAsia="pt-BR"/>
        </w:rPr>
        <w:t>10%.</w:t>
      </w:r>
    </w:p>
    <w:p w:rsidR="00B50EEB" w:rsidRPr="00F4346D" w:rsidRDefault="00B50EEB" w:rsidP="00B50EEB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Custas processuais</w:t>
      </w:r>
      <w:r w:rsidRPr="00F4346D"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9D71B1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C066ED" w:rsidRPr="00C066ED">
        <w:rPr>
          <w:rFonts w:ascii="Times New Roman" w:hAnsi="Times New Roman" w:cs="Times New Roman"/>
          <w:sz w:val="20"/>
          <w:szCs w:val="20"/>
          <w:lang w:eastAsia="pt-BR"/>
        </w:rPr>
        <w:t>R$ 400,00</w:t>
      </w:r>
      <w:r w:rsidR="00C066ED"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2D595D" w:rsidRPr="00F4346D" w:rsidRDefault="00B50EEB" w:rsidP="004C3BE8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Juros e correção</w:t>
      </w:r>
      <w:r w:rsidRPr="00F4346D"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9D71B1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3709A1" w:rsidRPr="003709A1">
        <w:rPr>
          <w:rFonts w:ascii="Times New Roman" w:hAnsi="Times New Roman" w:cs="Times New Roman"/>
          <w:sz w:val="20"/>
          <w:szCs w:val="20"/>
          <w:lang w:eastAsia="pt-BR"/>
        </w:rPr>
        <w:t>IPCA-E acrescido dos "juros legais" (art. 39, caput, da Lei 8.177, de 1991), na fase pré-judicial e, a partir do ajuizamento da ação, a incidência da taxa SELIC</w:t>
      </w:r>
      <w:r w:rsidR="003709A1"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sectPr w:rsidR="002D595D" w:rsidRPr="00F4346D" w:rsidSect="004B4E5B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EB"/>
    <w:rsid w:val="000433D4"/>
    <w:rsid w:val="00053D6D"/>
    <w:rsid w:val="0007345A"/>
    <w:rsid w:val="000775C7"/>
    <w:rsid w:val="000A15D1"/>
    <w:rsid w:val="000F76AA"/>
    <w:rsid w:val="00147A8F"/>
    <w:rsid w:val="0023658C"/>
    <w:rsid w:val="002B55E9"/>
    <w:rsid w:val="002D595D"/>
    <w:rsid w:val="002F5533"/>
    <w:rsid w:val="00337470"/>
    <w:rsid w:val="003709A1"/>
    <w:rsid w:val="00377E0D"/>
    <w:rsid w:val="003D4DD9"/>
    <w:rsid w:val="004B4E5B"/>
    <w:rsid w:val="004B59F6"/>
    <w:rsid w:val="004C3BE8"/>
    <w:rsid w:val="0051505E"/>
    <w:rsid w:val="0053384A"/>
    <w:rsid w:val="005D7ECA"/>
    <w:rsid w:val="006161CD"/>
    <w:rsid w:val="00655EEB"/>
    <w:rsid w:val="00663DB0"/>
    <w:rsid w:val="00664F86"/>
    <w:rsid w:val="00696430"/>
    <w:rsid w:val="006A31F8"/>
    <w:rsid w:val="00702300"/>
    <w:rsid w:val="00711560"/>
    <w:rsid w:val="00746C0B"/>
    <w:rsid w:val="007D2EE5"/>
    <w:rsid w:val="008150CD"/>
    <w:rsid w:val="00847222"/>
    <w:rsid w:val="00852C2F"/>
    <w:rsid w:val="008D0932"/>
    <w:rsid w:val="008E5C51"/>
    <w:rsid w:val="00905C04"/>
    <w:rsid w:val="009A36B1"/>
    <w:rsid w:val="009D71B1"/>
    <w:rsid w:val="00A30818"/>
    <w:rsid w:val="00A641A5"/>
    <w:rsid w:val="00AA0ABC"/>
    <w:rsid w:val="00AC25A4"/>
    <w:rsid w:val="00AE1C29"/>
    <w:rsid w:val="00B50EEB"/>
    <w:rsid w:val="00B51A61"/>
    <w:rsid w:val="00BC1491"/>
    <w:rsid w:val="00BC4ACC"/>
    <w:rsid w:val="00C066ED"/>
    <w:rsid w:val="00C16186"/>
    <w:rsid w:val="00D66073"/>
    <w:rsid w:val="00E17BC0"/>
    <w:rsid w:val="00E72C91"/>
    <w:rsid w:val="00EE2126"/>
    <w:rsid w:val="00F052B7"/>
    <w:rsid w:val="00F4346D"/>
    <w:rsid w:val="00F9723C"/>
    <w:rsid w:val="00FA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3C3B1"/>
  <w15:chartTrackingRefBased/>
  <w15:docId w15:val="{A57A8572-5A24-4F89-BFF0-A8CE2088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EB"/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0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</Pages>
  <Words>439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68</cp:revision>
  <dcterms:created xsi:type="dcterms:W3CDTF">2025-03-20T11:22:00Z</dcterms:created>
  <dcterms:modified xsi:type="dcterms:W3CDTF">2025-06-23T17:53:00Z</dcterms:modified>
</cp:coreProperties>
</file>