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DT – Descritivo da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DESCRITIVO DA TAREFA, BACKUP DE ARQUIVOS LOCAIS NO SERVIDOR.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Nº de Linhas: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Departamento de T.I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Vinícius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E">
      <w:pPr>
        <w:spacing w:after="0" w:line="288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8" w:lineRule="auto"/>
        <w:ind w:firstLine="70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Documentar o procedimento de execução da tarefa de backup dos arquivos de um computador.</w:t>
      </w:r>
    </w:p>
    <w:p w:rsidR="00000000" w:rsidDel="00000000" w:rsidP="00000000" w:rsidRDefault="00000000" w:rsidRPr="00000000" w14:paraId="00000010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Descritivo:</w:t>
      </w:r>
    </w:p>
    <w:p w:rsidR="00000000" w:rsidDel="00000000" w:rsidP="00000000" w:rsidRDefault="00000000" w:rsidRPr="00000000" w14:paraId="00000012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6"/>
        <w:tblGridChange w:id="0">
          <w:tblGrid>
            <w:gridCol w:w="10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Retira-se o computador do usuário da mesa e leva ao setor de T.I;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o computador em uma mesa;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Apertar o botão de power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ligar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Digitar a senha do usuário;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windows ser iniciado, clicar em (Windows + R);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executer,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comando (\\mclaren\ti);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(OK);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a pasta do ano requerente (2022);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com o botão direito na pasta;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(Novo);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(Pasta);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Nomear a pasta como (BKP-“Nome do </w:t>
            </w:r>
            <w:r w:rsidDel="00000000" w:rsidR="00000000" w:rsidRPr="00000000">
              <w:rPr>
                <w:rtl w:val="0"/>
              </w:rPr>
              <w:t xml:space="preserve">usuário");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duas vezes para abrir a pasta;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com o botão direito na pasta;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(Novo);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(Pasta);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Nomear a pasta como (Área de Trabalho);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com o botão direito na pasta;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(Novo);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(Pasta);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Nomear a pasta como (Documentos);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com o botão direito na pasta;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(Novo);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(Pasta);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Nomear a pasta como (Downloads);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com o botão direito na pasta;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(Novo);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(Pasta);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Nomear a pasta como (Imagens);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com o botão direito na pasta;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(Novo);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opção (Pasta);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Nomear a pasta como (Usuários);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teclado digitar o comando (Windows + E);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</w:t>
            </w:r>
            <w:r w:rsidDel="00000000" w:rsidR="00000000" w:rsidRPr="00000000">
              <w:rPr>
                <w:rtl w:val="0"/>
              </w:rPr>
              <w:t xml:space="preserve">nova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aba do explorador de arquivos, copiar os arquivo da pasta (Área de trabalho);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Colar na Pasta (Área de trabalho) que foi criada;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Copiar os arquivo da pasta (Documentos);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Colar na Pasta (Documentos) que foi criada;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Copiar os arquivo da pasta (Downloads);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Colar na Pasta (Downloads) que foi criada;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Copiar os arquivo da pasta (Imagens);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Colar na Pasta (Imagens) que foi criada;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Copiar os arquivo da pasta (Usuários);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Colar na Pasta (Usuários) que foi criada;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Fim.</w:t>
            </w:r>
          </w:p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das Revisões:</w:t>
      </w:r>
    </w:p>
    <w:p w:rsidR="00000000" w:rsidDel="00000000" w:rsidP="00000000" w:rsidRDefault="00000000" w:rsidRPr="00000000" w14:paraId="0000005A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893"/>
        <w:gridCol w:w="8256"/>
        <w:tblGridChange w:id="0">
          <w:tblGrid>
            <w:gridCol w:w="1387"/>
            <w:gridCol w:w="893"/>
            <w:gridCol w:w="8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88" w:lineRule="auto"/>
              <w:jc w:val="center"/>
              <w:rPr>
                <w:rFonts w:ascii="Calibri" w:cs="Calibri" w:eastAsia="Calibri" w:hAnsi="Calibri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2</w:t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Adilson B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DES046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DEP. DE T.I.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F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DT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DESCRITIVO DA TAREFA, BACKUP DE ARQUIVOS LOCAIS NO SERVIDOR.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2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3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05/07/2022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5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86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A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C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D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E">
          <w:pPr>
            <w:spacing w:after="0" w:line="240" w:lineRule="auto"/>
            <w:rPr>
              <w:smallCaps w:val="1"/>
              <w:color w:val="000000"/>
              <w:sz w:val="14"/>
              <w:szCs w:val="14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.:  DES046-Modelo Descritivo da Tarefa, backup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6C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 w:line="259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 w:line="259" w:lineRule="auto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 w:line="259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E2CC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82p5XoHTzfXQBVSQx67V6zNy6w==">AMUW2mUQ67Z1E9KpKPdlbULMFjNbWXlJ1PLoroub5uvhh6r86h7q46qNKoWYecYiJG732Sa8IlTjoAn4JdxaNSXbbwVjDz8i4USZb1d7pQwVZbQimO8mWKo=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2022-02-25T13:24:00Z</dcterms:created>
  <dc:creator>Adilson Bailoni Gouvea</dc:creator>
</cp:coreProperties>
</file>