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5"/>
        <w:gridCol w:w="5271"/>
        <w:tblGridChange w:id="0">
          <w:tblGrid>
            <w:gridCol w:w="5265"/>
            <w:gridCol w:w="52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CONFIGURAÇÃO DO COMPUTADORES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configuramos o equipamento (computador) para os </w:t>
      </w:r>
      <w:r w:rsidDel="00000000" w:rsidR="00000000" w:rsidRPr="00000000">
        <w:rPr>
          <w:rtl w:val="0"/>
        </w:rPr>
        <w:t xml:space="preserve">funcionários.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Caso seja uma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já usada que deve ser reconfigurada;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Faz o backup dos arquivos locais no servidor de arquivos e segue o processo;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Se for uma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nova ou que já foi feita o backup;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Realiza a formatação do HD;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Colocar a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em IP fixo;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Ingressar a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 </w:t>
            </w:r>
            <w:r w:rsidDel="00000000" w:rsidR="00000000" w:rsidRPr="00000000">
              <w:rPr>
                <w:rtl w:val="0"/>
              </w:rPr>
              <w:t xml:space="preserve">domínio;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Adiciona 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AD de quem </w:t>
            </w:r>
            <w:r w:rsidDel="00000000" w:rsidR="00000000" w:rsidRPr="00000000">
              <w:rPr>
                <w:rtl w:val="0"/>
              </w:rPr>
              <w:t xml:space="preserve">utiliza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</w:t>
            </w:r>
            <w:r w:rsidDel="00000000" w:rsidR="00000000" w:rsidRPr="00000000">
              <w:rPr>
                <w:rtl w:val="0"/>
              </w:rPr>
              <w:t xml:space="preserve">máquina;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Adiciona o e-mail e as plataformas que 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utiliza;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Inicia-se a instalação dos aplicativos;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Mapea-se as pastas do </w:t>
            </w:r>
            <w:r w:rsidDel="00000000" w:rsidR="00000000" w:rsidRPr="00000000">
              <w:rPr>
                <w:rtl w:val="0"/>
              </w:rPr>
              <w:t xml:space="preserve">setor;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Configurar o telefone(bina);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13) Configurar o telefone(voip);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Fim.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CONFIGURAÇÃO DE COMPUTADORES.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21/05/20022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C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configuracão de computadores.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5mbop+DZ4GwI+LndfCY1ICYATg==">AMUW2mVaGWkKHcHi63KT+g4jMtAE7Gb+9/j2ZE0fXwiknQeamEASecH5KVTqV4IPdc0ZzZ4vRWOVxczgSIGSTN4RGPObKNaP7A9VvXeUArZPfFscCfzrkRcQMK1MsJnifCvFIRXmFrra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