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1"/>
        <w:gridCol w:w="5265"/>
        <w:tblGridChange w:id="0">
          <w:tblGrid>
            <w:gridCol w:w="5271"/>
            <w:gridCol w:w="5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INSTALAÇÃO DE PROGRAMAS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feita a instalação dos programas nos computadores.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Conectar o computador no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</w:t>
            </w:r>
            <w:r w:rsidDel="00000000" w:rsidR="00000000" w:rsidRPr="00000000">
              <w:rPr>
                <w:rtl w:val="0"/>
              </w:rPr>
              <w:t xml:space="preserve">Entrar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pasta compartilhada de programas do setor de TI;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Copiar o </w:t>
            </w:r>
            <w:r w:rsidDel="00000000" w:rsidR="00000000" w:rsidRPr="00000000">
              <w:rPr>
                <w:rtl w:val="0"/>
              </w:rPr>
              <w:t xml:space="preserve">Instalador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programa para o computador a ser instalado;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Executar o instalador;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Permitir a instalação;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Informar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 de administrador;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Aceitar os termos dos programas;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Modificar o tipo de instalação de acordo com a </w:t>
            </w:r>
            <w:r w:rsidDel="00000000" w:rsidR="00000000" w:rsidRPr="00000000">
              <w:rPr>
                <w:rtl w:val="0"/>
              </w:rPr>
              <w:t xml:space="preserve">necessidade;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Instalar o programa;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Abrir o programa;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Testar o funcionamento;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Fim.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INSTALAÇÃO DE PROGRAMAS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25/05/2022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instalação de programas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lwOW2lkwp9Xjk5LeYOsGUAgCg==">AMUW2mVDksmbJ00pRR4uo2K9caY3bNjDzfyQcSiexFLRy+4NZjAai11KG1N2cZje1OmNcNZSZtshw0yiAMkPUIlbOTSNNawJAeqdzAqHA01Mvc/hTHxeNOoWCiKDd6pelF5HB529YX88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