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AAB7A" w14:textId="77777777" w:rsidR="00296302" w:rsidRPr="00296302" w:rsidRDefault="00296302">
      <w:pPr>
        <w:rPr>
          <w:rFonts w:ascii="Times New Roman" w:hAnsi="Times New Roman" w:cs="Times New Roman"/>
          <w:lang w:val="pt-BR"/>
        </w:rPr>
      </w:pPr>
      <w:proofErr w:type="spellStart"/>
      <w:r w:rsidRPr="00296302">
        <w:rPr>
          <w:rFonts w:ascii="Times New Roman" w:hAnsi="Times New Roman" w:cs="Times New Roman"/>
          <w:lang w:val="pt-BR"/>
        </w:rPr>
        <w:t>Appendix</w:t>
      </w:r>
      <w:proofErr w:type="spellEnd"/>
      <w:r w:rsidRPr="00296302">
        <w:rPr>
          <w:rFonts w:ascii="Times New Roman" w:hAnsi="Times New Roman" w:cs="Times New Roman"/>
          <w:lang w:val="pt-BR"/>
        </w:rPr>
        <w:t xml:space="preserve"> 1</w:t>
      </w:r>
    </w:p>
    <w:p w14:paraId="138127C3" w14:textId="77777777" w:rsidR="00296302" w:rsidRPr="00296302" w:rsidRDefault="00296302">
      <w:pPr>
        <w:rPr>
          <w:rFonts w:ascii="Times New Roman" w:hAnsi="Times New Roman" w:cs="Times New Roman"/>
          <w:lang w:val="pt-BR"/>
        </w:rPr>
      </w:pPr>
    </w:p>
    <w:p w14:paraId="5CDF1F68" w14:textId="77777777" w:rsidR="00296302" w:rsidRPr="00296302" w:rsidRDefault="00296302" w:rsidP="00296302">
      <w:pPr>
        <w:autoSpaceDE w:val="0"/>
        <w:autoSpaceDN w:val="0"/>
        <w:adjustRightInd w:val="0"/>
        <w:spacing w:line="480" w:lineRule="auto"/>
        <w:jc w:val="both"/>
        <w:rPr>
          <w:rFonts w:ascii="Times New Roman" w:hAnsi="Times New Roman" w:cs="Times New Roman"/>
          <w:lang w:val="en-US"/>
        </w:rPr>
      </w:pPr>
      <w:r w:rsidRPr="00296302">
        <w:rPr>
          <w:rFonts w:ascii="Times New Roman" w:hAnsi="Times New Roman" w:cs="Times New Roman"/>
          <w:lang w:val="en"/>
        </w:rPr>
        <w:t xml:space="preserve">Table 1: Differences between </w:t>
      </w:r>
      <w:r>
        <w:rPr>
          <w:rFonts w:ascii="Times New Roman" w:hAnsi="Times New Roman" w:cs="Times New Roman"/>
          <w:lang w:val="en"/>
        </w:rPr>
        <w:t>OTT and TNC regarding process and predicted patterns of NRI</w:t>
      </w:r>
      <w:r w:rsidRPr="00296302">
        <w:rPr>
          <w:rFonts w:ascii="Times New Roman" w:hAnsi="Times New Roman" w:cs="Times New Roman"/>
          <w:lang w:val="en"/>
        </w:rPr>
        <w:t>.</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651"/>
        <w:gridCol w:w="1701"/>
        <w:gridCol w:w="1732"/>
      </w:tblGrid>
      <w:tr w:rsidR="00296302" w:rsidRPr="00296302" w14:paraId="107F8AA7" w14:textId="77777777" w:rsidTr="00A82525">
        <w:tc>
          <w:tcPr>
            <w:tcW w:w="1560" w:type="dxa"/>
            <w:tcBorders>
              <w:top w:val="single" w:sz="4" w:space="0" w:color="auto"/>
              <w:bottom w:val="single" w:sz="4" w:space="0" w:color="auto"/>
            </w:tcBorders>
          </w:tcPr>
          <w:p w14:paraId="76C4C221" w14:textId="77777777" w:rsidR="00296302" w:rsidRPr="00296302" w:rsidRDefault="00296302" w:rsidP="00183358">
            <w:pPr>
              <w:pStyle w:val="SemEspaamento"/>
              <w:spacing w:line="480" w:lineRule="auto"/>
              <w:jc w:val="center"/>
              <w:rPr>
                <w:rFonts w:ascii="Times New Roman" w:hAnsi="Times New Roman" w:cs="Times New Roman"/>
                <w:b/>
                <w:bCs/>
                <w:lang w:val="en-US"/>
              </w:rPr>
            </w:pPr>
            <w:r w:rsidRPr="00296302">
              <w:rPr>
                <w:rFonts w:ascii="Times New Roman" w:hAnsi="Times New Roman" w:cs="Times New Roman"/>
                <w:b/>
                <w:bCs/>
                <w:lang w:val="en-US"/>
              </w:rPr>
              <w:t>Hypothesis</w:t>
            </w:r>
          </w:p>
        </w:tc>
        <w:tc>
          <w:tcPr>
            <w:tcW w:w="3651" w:type="dxa"/>
            <w:tcBorders>
              <w:top w:val="single" w:sz="4" w:space="0" w:color="auto"/>
              <w:bottom w:val="single" w:sz="4" w:space="0" w:color="auto"/>
            </w:tcBorders>
          </w:tcPr>
          <w:p w14:paraId="755854A9" w14:textId="77777777" w:rsidR="00296302" w:rsidRPr="00296302" w:rsidRDefault="00296302" w:rsidP="00183358">
            <w:pPr>
              <w:pStyle w:val="SemEspaamento"/>
              <w:spacing w:line="480" w:lineRule="auto"/>
              <w:jc w:val="center"/>
              <w:rPr>
                <w:rFonts w:ascii="Times New Roman" w:hAnsi="Times New Roman" w:cs="Times New Roman"/>
                <w:b/>
                <w:bCs/>
                <w:lang w:val="en-US"/>
              </w:rPr>
            </w:pPr>
            <w:r w:rsidRPr="00296302">
              <w:rPr>
                <w:rFonts w:ascii="Times New Roman" w:hAnsi="Times New Roman" w:cs="Times New Roman"/>
                <w:b/>
                <w:bCs/>
                <w:lang w:val="en-US"/>
              </w:rPr>
              <w:t>Proposed patterns</w:t>
            </w:r>
          </w:p>
        </w:tc>
        <w:tc>
          <w:tcPr>
            <w:tcW w:w="1701" w:type="dxa"/>
            <w:tcBorders>
              <w:top w:val="single" w:sz="4" w:space="0" w:color="auto"/>
              <w:bottom w:val="single" w:sz="4" w:space="0" w:color="auto"/>
            </w:tcBorders>
          </w:tcPr>
          <w:p w14:paraId="58B4CE28" w14:textId="77777777" w:rsidR="00296302" w:rsidRPr="00296302" w:rsidRDefault="00296302" w:rsidP="00183358">
            <w:pPr>
              <w:pStyle w:val="SemEspaamento"/>
              <w:spacing w:line="480" w:lineRule="auto"/>
              <w:jc w:val="center"/>
              <w:rPr>
                <w:rFonts w:ascii="Times New Roman" w:hAnsi="Times New Roman" w:cs="Times New Roman"/>
                <w:b/>
                <w:bCs/>
                <w:lang w:val="en-US"/>
              </w:rPr>
            </w:pPr>
            <w:r w:rsidRPr="00296302">
              <w:rPr>
                <w:rFonts w:ascii="Times New Roman" w:hAnsi="Times New Roman" w:cs="Times New Roman"/>
                <w:b/>
                <w:bCs/>
                <w:lang w:val="en-US"/>
              </w:rPr>
              <w:t>Predictions</w:t>
            </w:r>
          </w:p>
        </w:tc>
        <w:tc>
          <w:tcPr>
            <w:tcW w:w="1732" w:type="dxa"/>
            <w:tcBorders>
              <w:top w:val="single" w:sz="4" w:space="0" w:color="auto"/>
              <w:bottom w:val="single" w:sz="4" w:space="0" w:color="auto"/>
            </w:tcBorders>
          </w:tcPr>
          <w:p w14:paraId="2B55AAA0" w14:textId="77777777" w:rsidR="00296302" w:rsidRPr="00296302" w:rsidRDefault="00296302" w:rsidP="00183358">
            <w:pPr>
              <w:pStyle w:val="SemEspaamento"/>
              <w:spacing w:line="480" w:lineRule="auto"/>
              <w:jc w:val="center"/>
              <w:rPr>
                <w:rFonts w:ascii="Times New Roman" w:hAnsi="Times New Roman" w:cs="Times New Roman"/>
                <w:b/>
                <w:bCs/>
                <w:lang w:val="en-US"/>
              </w:rPr>
            </w:pPr>
            <w:r w:rsidRPr="00296302">
              <w:rPr>
                <w:rFonts w:ascii="Times New Roman" w:hAnsi="Times New Roman" w:cs="Times New Roman"/>
                <w:b/>
                <w:bCs/>
                <w:lang w:val="en-US"/>
              </w:rPr>
              <w:t>References</w:t>
            </w:r>
          </w:p>
        </w:tc>
      </w:tr>
      <w:tr w:rsidR="00296302" w:rsidRPr="00296302" w14:paraId="1637060C" w14:textId="77777777" w:rsidTr="00A82525">
        <w:trPr>
          <w:trHeight w:val="1408"/>
        </w:trPr>
        <w:tc>
          <w:tcPr>
            <w:tcW w:w="1560" w:type="dxa"/>
            <w:vMerge w:val="restart"/>
            <w:tcBorders>
              <w:top w:val="single" w:sz="4" w:space="0" w:color="auto"/>
            </w:tcBorders>
            <w:vAlign w:val="center"/>
          </w:tcPr>
          <w:p w14:paraId="07F6E9EF" w14:textId="77777777" w:rsidR="00296302" w:rsidRPr="00296302" w:rsidRDefault="00296302" w:rsidP="00296302">
            <w:pPr>
              <w:pStyle w:val="SemEspaamento"/>
              <w:spacing w:line="480" w:lineRule="auto"/>
              <w:jc w:val="center"/>
              <w:rPr>
                <w:rFonts w:ascii="Times New Roman" w:hAnsi="Times New Roman" w:cs="Times New Roman"/>
                <w:lang w:val="en-US"/>
              </w:rPr>
            </w:pPr>
            <w:r w:rsidRPr="00296302">
              <w:rPr>
                <w:rFonts w:ascii="Times New Roman" w:hAnsi="Times New Roman" w:cs="Times New Roman"/>
                <w:lang w:val="en-US"/>
              </w:rPr>
              <w:t>Tropical Niche Conservatism (TNC)</w:t>
            </w:r>
          </w:p>
        </w:tc>
        <w:tc>
          <w:tcPr>
            <w:tcW w:w="3651" w:type="dxa"/>
            <w:tcBorders>
              <w:top w:val="single" w:sz="4" w:space="0" w:color="auto"/>
            </w:tcBorders>
            <w:vAlign w:val="center"/>
          </w:tcPr>
          <w:p w14:paraId="26793152" w14:textId="77777777" w:rsidR="00296302" w:rsidRDefault="00296302" w:rsidP="00A82525">
            <w:pPr>
              <w:pStyle w:val="SemEspaamento"/>
              <w:numPr>
                <w:ilvl w:val="0"/>
                <w:numId w:val="3"/>
              </w:numPr>
              <w:spacing w:line="480" w:lineRule="auto"/>
              <w:jc w:val="center"/>
              <w:rPr>
                <w:rFonts w:ascii="Times New Roman" w:hAnsi="Times New Roman" w:cs="Times New Roman"/>
                <w:lang w:val="en-US"/>
              </w:rPr>
            </w:pPr>
            <w:r w:rsidRPr="00296302">
              <w:rPr>
                <w:rFonts w:ascii="Times New Roman" w:hAnsi="Times New Roman" w:cs="Times New Roman"/>
                <w:lang w:val="en-US"/>
              </w:rPr>
              <w:t xml:space="preserve">Tropical origins of major groups of organisms; only few species could evolve adaptations to invade and persist in freezing temperatures, implying that species are endemic and clustered </w:t>
            </w:r>
            <w:proofErr w:type="spellStart"/>
            <w:r w:rsidRPr="00296302">
              <w:rPr>
                <w:rFonts w:ascii="Times New Roman" w:hAnsi="Times New Roman" w:cs="Times New Roman"/>
                <w:lang w:val="en-US"/>
              </w:rPr>
              <w:t>phylogeneticallyin</w:t>
            </w:r>
            <w:proofErr w:type="spellEnd"/>
            <w:r w:rsidRPr="00296302">
              <w:rPr>
                <w:rFonts w:ascii="Times New Roman" w:hAnsi="Times New Roman" w:cs="Times New Roman"/>
                <w:lang w:val="en-US"/>
              </w:rPr>
              <w:t xml:space="preserve"> temperate biomes</w:t>
            </w:r>
          </w:p>
          <w:p w14:paraId="1265D2CF" w14:textId="77777777" w:rsidR="00A82525" w:rsidRPr="00296302" w:rsidRDefault="00A82525" w:rsidP="00A82525">
            <w:pPr>
              <w:pStyle w:val="SemEspaamento"/>
              <w:spacing w:line="480" w:lineRule="auto"/>
              <w:ind w:left="720"/>
              <w:rPr>
                <w:rFonts w:ascii="Times New Roman" w:hAnsi="Times New Roman" w:cs="Times New Roman"/>
                <w:lang w:val="en-US"/>
              </w:rPr>
            </w:pPr>
          </w:p>
        </w:tc>
        <w:tc>
          <w:tcPr>
            <w:tcW w:w="1701" w:type="dxa"/>
            <w:tcBorders>
              <w:top w:val="single" w:sz="4" w:space="0" w:color="auto"/>
            </w:tcBorders>
            <w:vAlign w:val="center"/>
          </w:tcPr>
          <w:p w14:paraId="675515A1" w14:textId="77777777" w:rsidR="00296302" w:rsidRPr="00296302" w:rsidRDefault="00296302" w:rsidP="00296302">
            <w:pPr>
              <w:pStyle w:val="SemEspaamento"/>
              <w:spacing w:line="480" w:lineRule="auto"/>
              <w:jc w:val="center"/>
              <w:rPr>
                <w:rFonts w:ascii="Times New Roman" w:hAnsi="Times New Roman" w:cs="Times New Roman"/>
                <w:lang w:val="en-US"/>
              </w:rPr>
            </w:pPr>
            <w:r w:rsidRPr="00296302">
              <w:rPr>
                <w:rFonts w:ascii="Times New Roman" w:hAnsi="Times New Roman" w:cs="Times New Roman"/>
                <w:lang w:val="en-US"/>
              </w:rPr>
              <w:t>Values of NRI</w:t>
            </w:r>
            <w:r>
              <w:rPr>
                <w:rFonts w:ascii="Times New Roman" w:hAnsi="Times New Roman" w:cs="Times New Roman"/>
                <w:lang w:val="en-US"/>
              </w:rPr>
              <w:t xml:space="preserve"> </w:t>
            </w:r>
            <w:r w:rsidRPr="00296302">
              <w:rPr>
                <w:rFonts w:ascii="Times New Roman" w:hAnsi="Times New Roman" w:cs="Times New Roman"/>
                <w:lang w:val="en-US"/>
              </w:rPr>
              <w:t>are positive in temperate zones because only few ancestors arrived</w:t>
            </w:r>
          </w:p>
        </w:tc>
        <w:tc>
          <w:tcPr>
            <w:tcW w:w="1732" w:type="dxa"/>
            <w:tcBorders>
              <w:top w:val="single" w:sz="4" w:space="0" w:color="auto"/>
            </w:tcBorders>
            <w:vAlign w:val="center"/>
          </w:tcPr>
          <w:p w14:paraId="462BB7CD" w14:textId="77777777" w:rsidR="00296302" w:rsidRPr="00296302" w:rsidRDefault="00296302" w:rsidP="00296302">
            <w:pPr>
              <w:pStyle w:val="SemEspaamento"/>
              <w:spacing w:line="480" w:lineRule="auto"/>
              <w:jc w:val="center"/>
              <w:rPr>
                <w:rFonts w:ascii="Times New Roman" w:hAnsi="Times New Roman" w:cs="Times New Roman"/>
                <w:lang w:val="en-US"/>
              </w:rPr>
            </w:pPr>
            <w:r w:rsidRPr="00296302">
              <w:rPr>
                <w:rFonts w:ascii="Times New Roman" w:hAnsi="Times New Roman" w:cs="Times New Roman"/>
                <w:noProof/>
                <w:lang w:val="en-US"/>
              </w:rPr>
              <w:t>(Wiens and Donoghue 2004, Jansson et al. 2013, Duchêne and Cardillo 2015</w:t>
            </w:r>
            <w:r>
              <w:rPr>
                <w:rFonts w:ascii="Times New Roman" w:hAnsi="Times New Roman" w:cs="Times New Roman"/>
                <w:noProof/>
                <w:lang w:val="en-US"/>
              </w:rPr>
              <w:t>)</w:t>
            </w:r>
          </w:p>
        </w:tc>
      </w:tr>
      <w:tr w:rsidR="00296302" w:rsidRPr="00296302" w14:paraId="19B78614" w14:textId="77777777" w:rsidTr="00A82525">
        <w:trPr>
          <w:trHeight w:val="1408"/>
        </w:trPr>
        <w:tc>
          <w:tcPr>
            <w:tcW w:w="1560" w:type="dxa"/>
            <w:vMerge/>
          </w:tcPr>
          <w:p w14:paraId="57EFB447" w14:textId="77777777" w:rsidR="00296302" w:rsidRPr="00296302" w:rsidRDefault="00296302" w:rsidP="00183358">
            <w:pPr>
              <w:pStyle w:val="SemEspaamento"/>
              <w:spacing w:line="480" w:lineRule="auto"/>
              <w:jc w:val="center"/>
              <w:rPr>
                <w:rFonts w:ascii="Times New Roman" w:hAnsi="Times New Roman" w:cs="Times New Roman"/>
                <w:lang w:val="en-US"/>
              </w:rPr>
            </w:pPr>
          </w:p>
        </w:tc>
        <w:tc>
          <w:tcPr>
            <w:tcW w:w="3651" w:type="dxa"/>
            <w:vAlign w:val="center"/>
          </w:tcPr>
          <w:p w14:paraId="21E3F14B" w14:textId="77777777" w:rsidR="00296302" w:rsidRDefault="00296302" w:rsidP="00A82525">
            <w:pPr>
              <w:pStyle w:val="SemEspaamento"/>
              <w:numPr>
                <w:ilvl w:val="0"/>
                <w:numId w:val="3"/>
              </w:numPr>
              <w:spacing w:line="480" w:lineRule="auto"/>
              <w:jc w:val="center"/>
              <w:rPr>
                <w:rFonts w:ascii="Times New Roman" w:hAnsi="Times New Roman" w:cs="Times New Roman"/>
                <w:lang w:val="en-US"/>
              </w:rPr>
            </w:pPr>
            <w:r w:rsidRPr="00296302">
              <w:rPr>
                <w:rFonts w:ascii="Times New Roman" w:hAnsi="Times New Roman" w:cs="Times New Roman"/>
                <w:lang w:val="en-US"/>
              </w:rPr>
              <w:t xml:space="preserve">The dispersal event to temperate biomes is recent because during the Eocene-Oligocene Climate Transition (around 34 Ma) the average temperatures in high latitudes dropped by around 5º C </w:t>
            </w:r>
            <w:r w:rsidRPr="00296302">
              <w:rPr>
                <w:rFonts w:ascii="Times New Roman" w:hAnsi="Times New Roman" w:cs="Times New Roman"/>
                <w:lang w:val="en-US"/>
              </w:rPr>
              <w:fldChar w:fldCharType="begin" w:fldLock="1"/>
            </w:r>
            <w:r w:rsidRPr="00296302">
              <w:rPr>
                <w:rFonts w:ascii="Times New Roman" w:hAnsi="Times New Roman" w:cs="Times New Roman"/>
                <w:lang w:val="en-US"/>
              </w:rPr>
              <w:instrText>ADDIN CSL_CITATION {"citationItems":[{"id":"ITEM-1","itemData":{"ISSN":"0944-1174","PMID":"8012512","abstract":"A 58-year-old Japanese man was admitted to our hospital with appendicitis and marked unconjugated hyperbilirubinemia (11.6 mg/dl). The jaundice worsened following appendectomy, and the direct-reacting bilirubin increased, probably due to the ceftizoxime administered postoperatively. Bilirubin diglucuronide was the main component of the serum direct-reacting bilirubin (51%) in serum measured by liquid chromatography. Because the discontinuation of ceftizoxime did not markedly improve the jaundice, epomediol, 200 mg tid, was administered orally. There was a marked decrease of serum bilirubin with an increase in the delta bilirubin/(conjugated bilirubin + delta bilirubin) ratio. After improvement of jaundice to below the pre-surgical level (4.4 mg/dl), we analyzed the duodenal bile for bilirubin fractions; those showed a marked reduction in bilirubin diglucuronide and a marked increase in bilirubin monoglucuronide, which was consistent with type II Crigler-Najjar syndrome. A marked increase of bilirubin diglucuronide in serum of this patient during cholestasis suggests that bilirubin conjugation proceeds in this syndrome when excretion of conjugated bilirubin decreases.","author":[{"dropping-particle":"","family":"Liu","given":"Zhonghui","non-dropping-particle":"","parse-names":false,"suffix":""},{"dropping-particle":"","family":"Pagani","given":"Mark","non-dropping-particle":"","parse-names":false,"suffix":""},{"dropping-particle":"","family":"Zinniker","given":"David","non-dropping-particle":"","parse-names":false,"suffix":""},{"dropping-particle":"","family":"Deconto","given":"Robert M","non-dropping-particle":"","parse-names":false,"suffix":""},{"dropping-particle":"","family":"Huber","given":"Matthew","non-dropping-particle":"","parse-names":false,"suffix":""},{"dropping-particle":"","family":"Brinkhuis","given":"Henk","non-dropping-particle":"","parse-names":false,"suffix":""},{"dropping-particle":"","family":"Shah","given":"Sunita R","non-dropping-particle":"","parse-names":false,"suffix":""},{"dropping-particle":"","family":"Leckie","given":"R Mark","non-dropping-particle":"","parse-names":false,"suffix":""},{"dropping-particle":"","family":"Pearson","given":"Ann","non-dropping-particle":"","parse-names":false,"suffix":""}],"container-title":"Science (New York, N.Y.)","id":"ITEM-1","issue":"February","issued":{"date-parts":[["2009"]]},"page":"1187-1190","title":"Eocene-Oligocene Climate Transition","type":"article-journal","volume":"323"},"uris":["http://www.mendeley.com/documents/?uuid=98f76d11-114a-47f7-a713-d837ba0ada71","http://www.mendeley.com/documents/?uuid=5ec613df-9bc1-402a-9c30-9b4bc19c0cf8"]}],"mendeley":{"formattedCitation":"(Liu et al. 2009)","plainTextFormattedCitation":"(Liu et al. 2009)","previouslyFormattedCitation":"(Liu et al. 2009)"},"properties":{"noteIndex":0},"schema":"https://github.com/citation-style-language/schema/raw/master/csl-citation.json"}</w:instrText>
            </w:r>
            <w:r w:rsidRPr="00296302">
              <w:rPr>
                <w:rFonts w:ascii="Times New Roman" w:hAnsi="Times New Roman" w:cs="Times New Roman"/>
                <w:lang w:val="en-US"/>
              </w:rPr>
              <w:fldChar w:fldCharType="separate"/>
            </w:r>
            <w:r w:rsidRPr="00296302">
              <w:rPr>
                <w:rFonts w:ascii="Times New Roman" w:hAnsi="Times New Roman" w:cs="Times New Roman"/>
                <w:noProof/>
                <w:lang w:val="en-US"/>
              </w:rPr>
              <w:t>(Liu et al. 2009)</w:t>
            </w:r>
            <w:r w:rsidRPr="00296302">
              <w:rPr>
                <w:rFonts w:ascii="Times New Roman" w:hAnsi="Times New Roman" w:cs="Times New Roman"/>
                <w:lang w:val="en-US"/>
              </w:rPr>
              <w:fldChar w:fldCharType="end"/>
            </w:r>
            <w:r w:rsidRPr="00296302">
              <w:rPr>
                <w:rFonts w:ascii="Times New Roman" w:hAnsi="Times New Roman" w:cs="Times New Roman"/>
                <w:lang w:val="en-US"/>
              </w:rPr>
              <w:t xml:space="preserve">, as a consequence of that permitted the emergence of new large areas with a temperate climate and then the dispersal of tropical lineages to temperate </w:t>
            </w:r>
            <w:commentRangeStart w:id="0"/>
            <w:r w:rsidRPr="00296302">
              <w:rPr>
                <w:rFonts w:ascii="Times New Roman" w:hAnsi="Times New Roman" w:cs="Times New Roman"/>
                <w:lang w:val="en-US"/>
              </w:rPr>
              <w:t>biomes</w:t>
            </w:r>
            <w:commentRangeEnd w:id="0"/>
            <w:r w:rsidRPr="00296302">
              <w:rPr>
                <w:rStyle w:val="Refdecomentrio"/>
                <w:rFonts w:ascii="Times New Roman" w:eastAsiaTheme="minorHAnsi" w:hAnsi="Times New Roman" w:cs="Times New Roman"/>
                <w:sz w:val="20"/>
                <w:szCs w:val="20"/>
                <w:lang w:val="pt-BR" w:eastAsia="en-US"/>
              </w:rPr>
              <w:commentReference w:id="0"/>
            </w:r>
          </w:p>
          <w:p w14:paraId="40AC9A7F" w14:textId="77777777" w:rsidR="00A82525" w:rsidRPr="00296302" w:rsidRDefault="00A82525" w:rsidP="00296302">
            <w:pPr>
              <w:pStyle w:val="SemEspaamento"/>
              <w:spacing w:line="480" w:lineRule="auto"/>
              <w:jc w:val="center"/>
              <w:rPr>
                <w:rFonts w:ascii="Times New Roman" w:hAnsi="Times New Roman" w:cs="Times New Roman"/>
                <w:lang w:val="en-US"/>
              </w:rPr>
            </w:pPr>
          </w:p>
        </w:tc>
        <w:tc>
          <w:tcPr>
            <w:tcW w:w="1701" w:type="dxa"/>
            <w:vAlign w:val="center"/>
          </w:tcPr>
          <w:p w14:paraId="38AFC238" w14:textId="77777777" w:rsidR="00296302" w:rsidRPr="00296302" w:rsidRDefault="00296302" w:rsidP="00296302">
            <w:pPr>
              <w:pStyle w:val="SemEspaamento"/>
              <w:spacing w:line="480" w:lineRule="auto"/>
              <w:jc w:val="center"/>
              <w:rPr>
                <w:rFonts w:ascii="Times New Roman" w:hAnsi="Times New Roman" w:cs="Times New Roman"/>
                <w:lang w:val="en-US"/>
              </w:rPr>
            </w:pPr>
            <w:r w:rsidRPr="00296302">
              <w:rPr>
                <w:rFonts w:ascii="Times New Roman" w:hAnsi="Times New Roman" w:cs="Times New Roman"/>
                <w:lang w:val="en-US"/>
              </w:rPr>
              <w:t>Values of age of assemblage will be younger in temperate assemblages</w:t>
            </w:r>
          </w:p>
        </w:tc>
        <w:tc>
          <w:tcPr>
            <w:tcW w:w="1732" w:type="dxa"/>
            <w:vAlign w:val="center"/>
          </w:tcPr>
          <w:p w14:paraId="49BAAE24" w14:textId="77777777" w:rsidR="00296302" w:rsidRPr="00296302" w:rsidRDefault="00296302" w:rsidP="00296302">
            <w:pPr>
              <w:pStyle w:val="SemEspaamento"/>
              <w:spacing w:line="480" w:lineRule="auto"/>
              <w:jc w:val="center"/>
              <w:rPr>
                <w:rFonts w:ascii="Times New Roman" w:hAnsi="Times New Roman" w:cs="Times New Roman"/>
                <w:lang w:val="en-US"/>
              </w:rPr>
            </w:pPr>
            <w:r w:rsidRPr="00296302">
              <w:rPr>
                <w:rFonts w:ascii="Times New Roman" w:hAnsi="Times New Roman" w:cs="Times New Roman"/>
                <w:lang w:val="en-US"/>
              </w:rPr>
              <w:fldChar w:fldCharType="begin" w:fldLock="1"/>
            </w:r>
            <w:r w:rsidRPr="00296302">
              <w:rPr>
                <w:rFonts w:ascii="Times New Roman" w:hAnsi="Times New Roman" w:cs="Times New Roman"/>
                <w:lang w:val="en-US"/>
              </w:rPr>
              <w:instrText>ADDIN CSL_CITATION {"citationItems":[{"id":"ITEM-1","itemData":{"DOI":"10.1111/geb.12370","ISBN":"1466-822X","ISSN":"14668238","abstract":"Aim\\n\\nRecent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Biogeography","id":"ITEM-1","issued":{"date-parts":[["2015"]]},"title":"Phylogenetic patterns in the geographic distributions of birds support the tropical conservatism hypothesis","type":"article-journal"},"uris":["http://www.mendeley.com/documents/?uuid=e2f58a67-33b5-49ec-91dc-71214dee62ac","http://www.mendeley.com/documents/?uuid=7d1cd333-cd5a-3772-9e2b-07dad4618737"]},{"id":"ITEM-2","itemData":{"DOI":"10.1016/j.tree.2004.09.011","ISBN":"0169-5347","ISSN":"01695347","PMID":"16701326","abstract":"Ecology and historical (phylogeny-based) biogeography have much to offer one another, but exchanges between these fields have been limited. Historical biogeography has become narrowly focused on using phylogenies to discover the history of geological connections among regions. Conversely, ecologists often ignore historical biogeography, even when its input can be crucial. Both historical biogeographers and ecologists have more-or-less abandoned attempts to understand the processes that determine the large-scale distribution of clades. Here, we describe the chasm that has developed between ecology and historical biogeography, some of the important questions that have fallen into it and how it might be bridged. To illustrate the benefits of an integrated approach, we expand on a model that can help explain the latitudinal gradient of species richness.","author":[{"dropping-particle":"","family":"Wiens","given":"John J.","non-dropping-particle":"","parse-names":false,"suffix":""},{"dropping-particle":"","family":"Donoghue","given":"Michael J.","non-dropping-particle":"","parse-names":false,"suffix":""}],"container-title":"Trends in Ecology and Evolution","id":"ITEM-2","issue":"12","issued":{"date-parts":[["2004"]]},"page":"639-644","title":"Historical biogeography, ecology and species richness","type":"article-journal","volume":"19"},"uris":["http://www.mendeley.com/documents/?uuid=7896fc06-4d9f-445e-9b4b-ca69e625de31"]},{"id":"ITEM-3","itemData":{"DOI":"10.1111/evo.12089","ISSN":"00143820","abstract":"We reviewed published phylogenies and selected 111 phylogenetic studies representing mammals, birds, insects, and flowering plants. We then mapped the latitudinal range of all taxa to test the relative importance of the tropical conservatism, out of the tropics, and diversification rate hypotheses in generating latitudinal diversity gradients. Most clades originated in the tropics, with diversity peaking in the zone of origin. Transitions of lineages between latitudinal zones occurred at 16-22% of the tree nodes. The most common type of transition was range expansions of tropical lineages to encompass also temperate latitudes. Thus, adaptation to new climatic conditions may not represent a major obstacle for many clades. These results contradict predictions of the tropical conservatism hypothesis (i.e., few clades colonizing extratropical latitudes), but support the out-of-the-tropics model (i.e., tropical originations and subsequent latitudinal range expansions). Our results suggest no difference in diversification between tropical and temperate sister lineages; thus, diversity of tropical clades was not explained by higher diversification rates in this zone. Moreover, lineages with latitudinal stasis diversified more compared to sister lineages entering a new latitudinal zone. This preserved preexisting diversity differences between latitudinal zones and can be considered a new mechanism for why diversity tends to peak in the zone of origin.","author":[{"dropping-particle":"","family":"Jansson","given":"Roland","non-dropping-particle":"","parse-names":false,"suffix":""},{"dropping-particle":"","family":"Rodríguez-Castañeda","given":"Genoveva","non-dropping-particle":"","parse-names":false,"suffix":""},{"dropping-particle":"","family":"Harding","given":"Larisa E.","non-dropping-particle":"","parse-names":false,"suffix":""}],"container-title":"Evolution","id":"ITEM-3","issue":"6","issued":{"date-parts":[["2013"]]},"page":"1741-1755","title":"What can multiple phylogenies say about the latitudinal diversity gradient? A new look at the tropical conservatism, out of the tropics, and diversification rate hypotheses","type":"article-journal","volume":"67"},"uris":["http://www.mendeley.com/documents/?uuid=99e33224-d528-4ead-af7a-2e8b179286a4","http://www.mendeley.com/documents/?uuid=36fc42ba-e9d5-433f-a091-2a173261b599","http://www.mendeley.com/documents/?uuid=77f15bad-c058-4f67-97c2-bb21f27999e4"]}],"mendeley":{"formattedCitation":"(Wiens and Donoghue 2004, Jansson et al. 2013, Duchêne and Cardillo 2015)","plainTextFormattedCitation":"(Wiens and Donoghue 2004, Jansson et al. 2013, Duchêne and Cardillo 2015)","previouslyFormattedCitation":"(Wiens and Donoghue 2004, Jansson et al. 2013, Duchêne and Cardillo 2015)"},"properties":{"noteIndex":0},"schema":"https://github.com/citation-style-language/schema/raw/master/csl-citation.json"}</w:instrText>
            </w:r>
            <w:r w:rsidRPr="00296302">
              <w:rPr>
                <w:rFonts w:ascii="Times New Roman" w:hAnsi="Times New Roman" w:cs="Times New Roman"/>
                <w:lang w:val="en-US"/>
              </w:rPr>
              <w:fldChar w:fldCharType="separate"/>
            </w:r>
            <w:r w:rsidRPr="00296302">
              <w:rPr>
                <w:rFonts w:ascii="Times New Roman" w:hAnsi="Times New Roman" w:cs="Times New Roman"/>
                <w:noProof/>
                <w:lang w:val="en-US"/>
              </w:rPr>
              <w:t>(Wiens and Donoghue 2004, Jansson et al. 2013, Duchêne and Cardillo 2015)</w:t>
            </w:r>
            <w:r w:rsidRPr="00296302">
              <w:rPr>
                <w:rFonts w:ascii="Times New Roman" w:hAnsi="Times New Roman" w:cs="Times New Roman"/>
                <w:lang w:val="en-US"/>
              </w:rPr>
              <w:fldChar w:fldCharType="end"/>
            </w:r>
          </w:p>
        </w:tc>
      </w:tr>
      <w:tr w:rsidR="00296302" w:rsidRPr="00296302" w14:paraId="4C468015" w14:textId="77777777" w:rsidTr="00A82525">
        <w:tc>
          <w:tcPr>
            <w:tcW w:w="1560" w:type="dxa"/>
            <w:vAlign w:val="center"/>
          </w:tcPr>
          <w:p w14:paraId="309F6F6E" w14:textId="77777777" w:rsidR="00296302" w:rsidRPr="00296302" w:rsidRDefault="00296302" w:rsidP="00A82525">
            <w:pPr>
              <w:pStyle w:val="SemEspaamento"/>
              <w:spacing w:line="480" w:lineRule="auto"/>
              <w:jc w:val="center"/>
              <w:rPr>
                <w:rFonts w:ascii="Times New Roman" w:hAnsi="Times New Roman" w:cs="Times New Roman"/>
                <w:lang w:val="en-US"/>
              </w:rPr>
            </w:pPr>
            <w:r w:rsidRPr="00296302">
              <w:rPr>
                <w:rFonts w:ascii="Times New Roman" w:hAnsi="Times New Roman" w:cs="Times New Roman"/>
                <w:lang w:val="en-US"/>
              </w:rPr>
              <w:t>Out of the Tropics (OTT)</w:t>
            </w:r>
          </w:p>
        </w:tc>
        <w:tc>
          <w:tcPr>
            <w:tcW w:w="3651" w:type="dxa"/>
            <w:vAlign w:val="center"/>
          </w:tcPr>
          <w:p w14:paraId="6F829158" w14:textId="77777777" w:rsidR="00296302" w:rsidRPr="00296302" w:rsidRDefault="00296302" w:rsidP="00296302">
            <w:pPr>
              <w:pStyle w:val="SemEspaamento"/>
              <w:spacing w:line="480" w:lineRule="auto"/>
              <w:jc w:val="center"/>
              <w:rPr>
                <w:rFonts w:ascii="Times New Roman" w:hAnsi="Times New Roman" w:cs="Times New Roman"/>
                <w:lang w:val="en-US"/>
              </w:rPr>
            </w:pPr>
            <w:r w:rsidRPr="00296302">
              <w:rPr>
                <w:rFonts w:ascii="Times New Roman" w:hAnsi="Times New Roman" w:cs="Times New Roman"/>
                <w:lang w:val="en-US"/>
              </w:rPr>
              <w:t xml:space="preserve">Tropical biomes continually produce lineages and have a frequent net movement of species from tropical to temperate biomes and because that species </w:t>
            </w:r>
            <w:r w:rsidRPr="00296302">
              <w:rPr>
                <w:rFonts w:ascii="Times New Roman" w:hAnsi="Times New Roman" w:cs="Times New Roman"/>
                <w:lang w:val="en-US"/>
              </w:rPr>
              <w:lastRenderedPageBreak/>
              <w:t xml:space="preserve">would be less closely related and/or phylogenetically </w:t>
            </w:r>
            <w:proofErr w:type="spellStart"/>
            <w:r w:rsidRPr="00296302">
              <w:rPr>
                <w:rFonts w:ascii="Times New Roman" w:hAnsi="Times New Roman" w:cs="Times New Roman"/>
                <w:lang w:val="en-US"/>
              </w:rPr>
              <w:t>overdispersed</w:t>
            </w:r>
            <w:proofErr w:type="spellEnd"/>
            <w:r w:rsidRPr="00296302">
              <w:rPr>
                <w:rFonts w:ascii="Times New Roman" w:hAnsi="Times New Roman" w:cs="Times New Roman"/>
                <w:lang w:val="en-US"/>
              </w:rPr>
              <w:t xml:space="preserve"> in temperate biomes</w:t>
            </w:r>
          </w:p>
        </w:tc>
        <w:tc>
          <w:tcPr>
            <w:tcW w:w="1701" w:type="dxa"/>
            <w:vAlign w:val="center"/>
          </w:tcPr>
          <w:p w14:paraId="7F0EDA9F" w14:textId="77777777" w:rsidR="00296302" w:rsidRPr="00296302" w:rsidRDefault="00296302" w:rsidP="00296302">
            <w:pPr>
              <w:pStyle w:val="SemEspaamento"/>
              <w:spacing w:line="480" w:lineRule="auto"/>
              <w:jc w:val="center"/>
              <w:rPr>
                <w:rFonts w:ascii="Times New Roman" w:hAnsi="Times New Roman" w:cs="Times New Roman"/>
                <w:lang w:val="en-US"/>
              </w:rPr>
            </w:pPr>
            <w:r w:rsidRPr="00296302">
              <w:rPr>
                <w:rFonts w:ascii="Times New Roman" w:hAnsi="Times New Roman" w:cs="Times New Roman"/>
                <w:lang w:val="en-US"/>
              </w:rPr>
              <w:lastRenderedPageBreak/>
              <w:t>Low value of NRI in biomes of temperate region</w:t>
            </w:r>
          </w:p>
        </w:tc>
        <w:tc>
          <w:tcPr>
            <w:tcW w:w="1732" w:type="dxa"/>
            <w:vAlign w:val="center"/>
          </w:tcPr>
          <w:p w14:paraId="77E5F720" w14:textId="77777777" w:rsidR="00296302" w:rsidRPr="00296302" w:rsidRDefault="00296302" w:rsidP="00296302">
            <w:pPr>
              <w:pStyle w:val="SemEspaamento"/>
              <w:spacing w:line="480" w:lineRule="auto"/>
              <w:jc w:val="center"/>
              <w:rPr>
                <w:rFonts w:ascii="Times New Roman" w:hAnsi="Times New Roman" w:cs="Times New Roman"/>
                <w:lang w:val="en-US"/>
              </w:rPr>
            </w:pPr>
            <w:r w:rsidRPr="00296302">
              <w:rPr>
                <w:rFonts w:ascii="Times New Roman" w:hAnsi="Times New Roman" w:cs="Times New Roman"/>
                <w:lang w:val="en-US"/>
              </w:rPr>
              <w:fldChar w:fldCharType="begin" w:fldLock="1"/>
            </w:r>
            <w:r w:rsidRPr="00296302">
              <w:rPr>
                <w:rFonts w:ascii="Times New Roman" w:hAnsi="Times New Roman" w:cs="Times New Roman"/>
                <w:lang w:val="en-US"/>
              </w:rPr>
              <w:instrText>ADDIN CSL_CITATION {"citationItems":[{"id":"ITEM-1","itemData":{"DOI":"10.1111/geb.12370","ISBN":"1466-822X","ISSN":"14668238","abstract":"Aim\\n\\nRecent research suggests that the latitudinal diversity gradient (LDG) in birds is unlikely to result from faster diversification in the tropics. This puts the focus on other mechanisms, such as dispersal, as the primary drivers for the LDG. We aim to distinguish two prominent models, tropical conservatism (TCH) and out of the tropics (OTM), which make distinct predictions about dispersal across latitudes and the phylogenetic clustering of assemblages in temperate regions.\\n\\n\\nLocation\\n\\nGlobal.\\n\\n\\nMethods\\n\\nWe used geographic and phylogenetic data for more than 9000 bird species to reconstruct the ancestral latitudinal zone for each node in each of 100 bird phylogenetic estimates. We used methods that consider discrete latitudinal zones, as well as those that consider latitudinal position as a continuous variable. We then estimated the frequency of ancestor–descendant dispersal within and across latitudinal zones. We also quantified phylogenetic clustering in latitudinal zones separately for bird assemblages within the Old World and the New World.\\n\\n\\nResults\\n\\nLatitudinal distributions are relatively conserved: 60–96% of nodes had the same inferred latitude as their immediate ancestral node. We find that dispersal events out of the tropics were less frequent (4–5%) than dispersal events into the tropics (15–21%), the opposite of what would be expected under the OTM. Nodes with inferred temperate distributions are generally younger than the Eocene–Oligocene Climate Transition, as expected under the TCH. Phylogenetic clustering shows no regular patterns of association with latitude, and is likely to be largely driven by radiations within a few large forested biomes.\\n\\n\\nMain conclusions\\n\\nOur results provide support for the expectations of the TCH, but are less consistent with those of the OTM. Both the deeper origins of tropical clades and the comparatively recent but infrequent dispersal events into temperate regions appear to play a role in generating the strong disparity in tropical and temperate species richness in birds.","author":[{"dropping-particle":"","family":"Duchêne","given":"David A.","non-dropping-particle":"","parse-names":false,"suffix":""},{"dropping-particle":"","family":"Cardillo","given":"Marcel","non-dropping-particle":"","parse-names":false,"suffix":""}],"container-title":"Global Ecology and Biogeography","id":"ITEM-1","issued":{"date-parts":[["2015"]]},"title":"Phylogenetic patterns in the geographic distributions of birds support the tropical conservatism hypothesis","type":"article-journal"},"uris":["http://www.mendeley.com/documents/?uuid=e2f58a67-33b5-49ec-91dc-71214dee62ac","http://www.mendeley.com/documents/?uuid=7d1cd333-cd5a-3772-9e2b-07dad4618737"]},{"id":"ITEM-2","itemData":{"DOI":"10.1111/evo.12089","ISSN":"00143820","abstract":"We reviewed published phylogenies and selected 111 phylogenetic studies representing mammals, birds, insects, and flowering plants. We then mapped the latitudinal range of all taxa to test the relative importance of the tropical conservatism, out of the tropics, and diversification rate hypotheses in generating latitudinal diversity gradients. Most clades originated in the tropics, with diversity peaking in the zone of origin. Transitions of lineages between latitudinal zones occurred at 16-22% of the tree nodes. The most common type of transition was range expansions of tropical lineages to encompass also temperate latitudes. Thus, adaptation to new climatic conditions may not represent a major obstacle for many clades. These results contradict predictions of the tropical conservatism hypothesis (i.e., few clades colonizing extratropical latitudes), but support the out-of-the-tropics model (i.e., tropical originations and subsequent latitudinal range expansions). Our results suggest no difference in diversification between tropical and temperate sister lineages; thus, diversity of tropical clades was not explained by higher diversification rates in this zone. Moreover, lineages with latitudinal stasis diversified more compared to sister lineages entering a new latitudinal zone. This preserved preexisting diversity differences between latitudinal zones and can be considered a new mechanism for why diversity tends to peak in the zone of origin.","author":[{"dropping-particle":"","family":"Jansson","given":"Roland","non-dropping-particle":"","parse-names":false,"suffix":""},{"dropping-particle":"","family":"Rodríguez-Castañeda","given":"Genoveva","non-dropping-particle":"","parse-names":false,"suffix":""},{"dropping-particle":"","family":"Harding","given":"Larisa E.","non-dropping-particle":"","parse-names":false,"suffix":""}],"container-title":"Evolution","id":"ITEM-2","issue":"6","issued":{"date-parts":[["2013"]]},"page":"1741-1755","title":"What can multiple phylogenies say about the latitudinal diversity gradient? A new look at the tropical conservatism, out of the tropics, and diversification rate hypotheses","type":"article-journal","volume":"67"},"uris":["http://www.mendeley.com/documents/?uuid=99e33224-d528-4ead-af7a-2e8b179286a4","http://www.mendeley.com/documents/?uuid=36fc42ba-e9d5-433f-a091-2a173261b599","http://www.mendeley.com/documents/?uuid=822438a3-24b4-4a8e-8892-450523ae491f"]},{"id":"ITEM-3","itemData":{"DOI":"10.1126/science.1130880","ISBN":"0036-8075","ISSN":"00368075","PMID":"17023653","abstract":"The evolutionary dynamics underlying the latitudinal gradient in biodiversity have been controversial for over a century. Using a spatially explicit approach that incorporates not only origination and extinction but immigration, a global analysis of genera and subgenera of marine bivalves over the past 11 million years supports an \"out of the tropics\" model, in which taxa preferentially originate in the tropics and expand toward the poles without losing their tropical presence. The tropics are thus both a cradle and a museum of biodiversity, contrary to the conceptual dichotomy dominant since 1974; a tropical diversity crisis would thus have profound evolutionary effects at all latitudes.","author":[{"dropping-particle":"","family":"Jablonski","given":"David","non-dropping-particle":"","parse-names":false,"suffix":""},{"dropping-particle":"","family":"Roy","given":"Kaustuv","non-dropping-particle":"","parse-names":false,"suffix":""},{"dropping-particle":"","family":"Valentine","given":"James W.","non-dropping-particle":"","parse-names":false,"suffix":""}],"container-title":"Science","id":"ITEM-3","issued":{"date-parts":[["2006"]]},"title":"Out of the tropics: Evolutionary dynamics of the latitudinal diversity gradient","type":"article-journal"},"uris":["http://www.mendeley.com/documents/?uuid=140d5692-be2a-451d-a668-c484eee3321e","http://www.mendeley.com/documents/?uuid=12602bbc-13dd-3dca-aa00-c090f5ae4638","http://www.mendeley.com/documents/?uuid=72686bf1-1115-4343-a5b5-1422d29c707b"]},{"id":"ITEM-4","itemData":{"DOI":"10.1111/j.1461-0248.2007.01020.x","ISBN":"1461-023X","ISSN":"1461023X","PMID":"17355570","abstract":"A latitudinal gradient in biodiversity has existed since before the time of the dinosaurs, yet how and why this gradient arose remains unresolved. Here we review two major hypotheses for the origin of the latitudinal diversity gradient. The time and area hypothesis holds that tropical climates are older and historically larger, allowing more opportunity for diversification. This hypothesis is supported by observations that temperate taxa are often younger than, and nested within, tropical taxa, and that diversity is positively correlated with the age and area of geographical regions. The diversification rate hypothesis holds that tropical regions diversify faster due to higher rates of speciation (caused by increased opportunities for the evolution of reproductive isolation, or faster molecular evolution, or the increased importance of biotic interactions), or due to lower extinction rates. There is phylogenetic evidence for higher rates of diversification in tropical clades, and palaeontological data demonstrate higher rates of origination for tropical taxa, but mixed evidence for latitudinal differences in extinction rates. Studies of latitudinal variation in incipient speciation also suggest faster speciation in the tropics. Distinguishing the roles of history, speciation and extinction in the origin of the latitudinal gradient represents a major challenge to future research.","author":[{"dropping-particle":"","family":"Mittelbach","given":"Gary G.","non-dropping-particle":"","parse-names":false,"suffix":""},{"dropping-particle":"","family":"Schemske","given":"Douglas W.","non-dropping-particle":"","parse-names":false,"suffix":""},{"dropping-particle":"V.","family":"Cornell","given":"Howard","non-dropping-particle":"","parse-names":false,"suffix":""},{"dropping-particle":"","family":"Allen","given":"Andrew P.","non-dropping-particle":"","parse-names":false,"suffix":""},{"dropping-particle":"","family":"Brown","given":"Jonathan M.","non-dropping-particle":"","parse-names":false,"suffix":""},{"dropping-particle":"","family":"Bush","given":"Mark B.","non-dropping-particle":"","parse-names":false,"suffix":""},{"dropping-particle":"","family":"Harrison","given":"Susan P.","non-dropping-particle":"","parse-names":false,"suffix":""},{"dropping-particle":"","family":"Hurlbert","given":"Allen H.","non-dropping-particle":"","parse-names":false,"suffix":""},{"dropping-particle":"","family":"Knowlton","given":"Nancy","non-dropping-particle":"","parse-names":false,"suffix":""},{"dropping-particle":"","family":"Lessios","given":"Harilaos a.","non-dropping-particle":"","parse-names":false,"suffix":""},{"dropping-particle":"","family":"McCain","given":"Christy M.","non-dropping-particle":"","parse-names":false,"suffix":""},{"dropping-particle":"","family":"McCune","given":"Amy R.","non-dropping-particle":"","parse-names":false,"suffix":""},{"dropping-particle":"","family":"McDade","given":"Lucinda a.","non-dropping-particle":"","parse-names":false,"suffix":""},{"dropping-particle":"","family":"McPeek","given":"Mark a.","non-dropping-particle":"","parse-names":false,"suffix":""},{"dropping-particle":"","family":"Near","given":"Thomas J.","non-dropping-particle":"","parse-names":false,"suffix":""},{"dropping-particle":"","family":"Price","given":"Trevor D.","non-dropping-particle":"","parse-names":false,"suffix":""},{"dropping-particle":"","family":"Ricklefs","given":"Robert E.","non-dropping-particle":"","parse-names":false,"suffix":""},{"dropping-particle":"","family":"Roy","given":"Kaustuv","non-dropping-particle":"","parse-names":false,"suffix":""},{"dropping-particle":"","family":"Sax","given":"Dov F.","non-dropping-particle":"","parse-names":false,"suffix":""},{"dropping-particle":"","family":"Schluter","given":"Dolph","non-dropping-particle":"","parse-names":false,"suffix":""},{"dropping-particle":"","family":"Sobel","given":"James M.","non-dropping-particle":"","parse-names":false,"suffix":""},{"dropping-particle":"","family":"Turelli","given":"Michael","non-dropping-particle":"","parse-names":false,"suffix":""}],"container-title":"Ecology Letters","id":"ITEM-4","issued":{"date-parts":[["2007"]]},"page":"315-331","title":"Evolution and the latitudinal diversity gradient: Speciation, extinction and biogeography","type":"article-journal","volume":"10"},"uris":["http://www.mendeley.com/documents/?uuid=2baf564d-1545-495e-b855-f1628d32fc9b"]}],"mendeley":{"formattedCitation":"(Jablonski et al. 2006, Mittelbach et al. 2007, Jansson et al. 2013, Duchêne and Cardillo 2015)","plainTextFormattedCitation":"(Jablonski et al. 2006, Mittelbach et al. 2007, Jansson et al. 2013, Duchêne and Cardillo 2015)","previouslyFormattedCitation":"(Jablonski et al. 2006, Mittelbach et al. 2007, Jansson et al. 2013, Duchêne and Cardillo 2015)"},"properties":{"noteIndex":0},"schema":"https://github.com/citation-style-language/schema/raw/master/csl-citation.json"}</w:instrText>
            </w:r>
            <w:r w:rsidRPr="00296302">
              <w:rPr>
                <w:rFonts w:ascii="Times New Roman" w:hAnsi="Times New Roman" w:cs="Times New Roman"/>
                <w:lang w:val="en-US"/>
              </w:rPr>
              <w:fldChar w:fldCharType="separate"/>
            </w:r>
            <w:r w:rsidRPr="00296302">
              <w:rPr>
                <w:rFonts w:ascii="Times New Roman" w:hAnsi="Times New Roman" w:cs="Times New Roman"/>
                <w:noProof/>
                <w:lang w:val="en-US"/>
              </w:rPr>
              <w:t xml:space="preserve">(Jablonski et al. 2006, Mittelbach et al. 2007, Jansson et al. </w:t>
            </w:r>
            <w:r w:rsidRPr="00296302">
              <w:rPr>
                <w:rFonts w:ascii="Times New Roman" w:hAnsi="Times New Roman" w:cs="Times New Roman"/>
                <w:noProof/>
                <w:lang w:val="en-US"/>
              </w:rPr>
              <w:lastRenderedPageBreak/>
              <w:t>2013, Duchêne and Cardillo 2015)</w:t>
            </w:r>
            <w:r w:rsidRPr="00296302">
              <w:rPr>
                <w:rFonts w:ascii="Times New Roman" w:hAnsi="Times New Roman" w:cs="Times New Roman"/>
                <w:lang w:val="en-US"/>
              </w:rPr>
              <w:fldChar w:fldCharType="end"/>
            </w:r>
          </w:p>
        </w:tc>
      </w:tr>
    </w:tbl>
    <w:p w14:paraId="47AC9067" w14:textId="23212276" w:rsidR="00296302" w:rsidRDefault="00296302">
      <w:pPr>
        <w:rPr>
          <w:rFonts w:ascii="Times New Roman" w:hAnsi="Times New Roman" w:cs="Times New Roman"/>
          <w:lang w:val="pt-BR"/>
        </w:rPr>
      </w:pPr>
    </w:p>
    <w:p w14:paraId="4933C3FC" w14:textId="7E8CAEC7" w:rsidR="009F06DB" w:rsidRDefault="009F06DB">
      <w:pPr>
        <w:rPr>
          <w:rFonts w:ascii="Times New Roman" w:hAnsi="Times New Roman" w:cs="Times New Roman"/>
          <w:lang w:val="pt-BR"/>
        </w:rPr>
      </w:pPr>
      <w:r>
        <w:rPr>
          <w:rFonts w:ascii="Times New Roman" w:hAnsi="Times New Roman" w:cs="Times New Roman"/>
          <w:lang w:val="pt-BR"/>
        </w:rPr>
        <w:br w:type="page"/>
      </w:r>
    </w:p>
    <w:p w14:paraId="761A0725" w14:textId="20C8DD39" w:rsidR="009F06DB" w:rsidRDefault="009F06DB">
      <w:pPr>
        <w:rPr>
          <w:rFonts w:ascii="Times New Roman" w:hAnsi="Times New Roman" w:cs="Times New Roman"/>
          <w:lang w:val="pt-BR"/>
        </w:rPr>
      </w:pPr>
      <w:proofErr w:type="spellStart"/>
      <w:r>
        <w:rPr>
          <w:rFonts w:ascii="Times New Roman" w:hAnsi="Times New Roman" w:cs="Times New Roman"/>
          <w:lang w:val="pt-BR"/>
        </w:rPr>
        <w:lastRenderedPageBreak/>
        <w:t>Appendix</w:t>
      </w:r>
      <w:proofErr w:type="spellEnd"/>
      <w:r>
        <w:rPr>
          <w:rFonts w:ascii="Times New Roman" w:hAnsi="Times New Roman" w:cs="Times New Roman"/>
          <w:lang w:val="pt-BR"/>
        </w:rPr>
        <w:t xml:space="preserve"> S2</w:t>
      </w:r>
    </w:p>
    <w:p w14:paraId="2F3696D1" w14:textId="40CCAAB5" w:rsidR="009F06DB" w:rsidRDefault="009F06DB">
      <w:pPr>
        <w:rPr>
          <w:rFonts w:ascii="Times New Roman" w:hAnsi="Times New Roman" w:cs="Times New Roman"/>
          <w:lang w:val="pt-BR"/>
        </w:rPr>
      </w:pPr>
    </w:p>
    <w:p w14:paraId="3A116E07" w14:textId="77777777" w:rsidR="00AE704B" w:rsidRPr="00B86404" w:rsidRDefault="00AE704B" w:rsidP="00AE704B">
      <w:pPr>
        <w:spacing w:line="480" w:lineRule="auto"/>
        <w:jc w:val="both"/>
        <w:rPr>
          <w:rFonts w:ascii="Times New Roman" w:hAnsi="Times New Roman" w:cs="Times New Roman"/>
          <w:bCs/>
          <w:lang w:val="en-US"/>
        </w:rPr>
      </w:pPr>
      <w:r w:rsidRPr="00B86404">
        <w:rPr>
          <w:rFonts w:ascii="Times New Roman" w:hAnsi="Times New Roman" w:cs="Times New Roman"/>
          <w:bCs/>
          <w:noProof/>
          <w:lang w:eastAsia="pt-BR"/>
        </w:rPr>
        <w:drawing>
          <wp:inline distT="0" distB="0" distL="0" distR="0" wp14:anchorId="04574E20" wp14:editId="245CDF98">
            <wp:extent cx="5400040" cy="4050030"/>
            <wp:effectExtent l="0" t="0" r="0" b="7620"/>
            <wp:docPr id="6" name="Imagem 6" descr="Uma imagem contendo branco, pessoas, em pé, gru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I_ggplot.jp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49B6C95A" w14:textId="77777777" w:rsidR="00AE704B" w:rsidRPr="00B86404" w:rsidRDefault="00AE704B" w:rsidP="00AE704B">
      <w:pPr>
        <w:spacing w:line="480" w:lineRule="auto"/>
        <w:jc w:val="both"/>
        <w:rPr>
          <w:rFonts w:ascii="Times New Roman" w:hAnsi="Times New Roman" w:cs="Times New Roman"/>
          <w:lang w:val="en-US"/>
        </w:rPr>
      </w:pPr>
      <w:r w:rsidRPr="00B86404">
        <w:rPr>
          <w:rFonts w:ascii="Times New Roman" w:hAnsi="Times New Roman" w:cs="Times New Roman"/>
          <w:bCs/>
          <w:lang w:val="en-US"/>
        </w:rPr>
        <w:t>Figure 3:</w:t>
      </w:r>
      <w:r w:rsidRPr="00B86404">
        <w:rPr>
          <w:rFonts w:ascii="Times New Roman" w:hAnsi="Times New Roman" w:cs="Times New Roman"/>
          <w:lang w:val="en-US"/>
        </w:rPr>
        <w:t xml:space="preserve"> </w:t>
      </w:r>
      <w:commentRangeStart w:id="1"/>
      <w:r w:rsidRPr="00B86404">
        <w:rPr>
          <w:rFonts w:ascii="Times New Roman" w:hAnsi="Times New Roman" w:cs="Times New Roman"/>
          <w:lang w:val="en-US"/>
        </w:rPr>
        <w:t xml:space="preserve">Values of </w:t>
      </w:r>
      <w:r>
        <w:rPr>
          <w:rFonts w:ascii="Times New Roman" w:hAnsi="Times New Roman" w:cs="Times New Roman"/>
          <w:lang w:val="en-US"/>
        </w:rPr>
        <w:t xml:space="preserve">Net Relatedness Index </w:t>
      </w:r>
      <w:commentRangeEnd w:id="1"/>
      <w:r>
        <w:rPr>
          <w:rStyle w:val="Refdecomentrio"/>
        </w:rPr>
        <w:commentReference w:id="1"/>
      </w:r>
      <w:r>
        <w:rPr>
          <w:rFonts w:ascii="Times New Roman" w:hAnsi="Times New Roman" w:cs="Times New Roman"/>
          <w:lang w:val="en-US"/>
        </w:rPr>
        <w:t>(</w:t>
      </w:r>
      <w:r w:rsidRPr="00B86404">
        <w:rPr>
          <w:rFonts w:ascii="Times New Roman" w:hAnsi="Times New Roman" w:cs="Times New Roman"/>
          <w:lang w:val="en-US"/>
        </w:rPr>
        <w:t>NRI</w:t>
      </w:r>
      <w:r>
        <w:rPr>
          <w:rFonts w:ascii="Times New Roman" w:hAnsi="Times New Roman" w:cs="Times New Roman"/>
          <w:lang w:val="en-US"/>
        </w:rPr>
        <w:t>)</w:t>
      </w:r>
      <w:r w:rsidRPr="00B86404">
        <w:rPr>
          <w:rFonts w:ascii="Times New Roman" w:hAnsi="Times New Roman" w:cs="Times New Roman"/>
          <w:lang w:val="en-US"/>
        </w:rPr>
        <w:t xml:space="preserve"> across</w:t>
      </w:r>
      <w:r>
        <w:rPr>
          <w:rFonts w:ascii="Times New Roman" w:hAnsi="Times New Roman" w:cs="Times New Roman"/>
          <w:lang w:val="en-US"/>
        </w:rPr>
        <w:t xml:space="preserve"> assemblages at</w:t>
      </w:r>
      <w:r w:rsidRPr="00B86404">
        <w:rPr>
          <w:rFonts w:ascii="Times New Roman" w:hAnsi="Times New Roman" w:cs="Times New Roman"/>
          <w:lang w:val="en-US"/>
        </w:rPr>
        <w:t xml:space="preserve"> different latitudes. In the equator, we have the lowest value of NRI. After the </w:t>
      </w:r>
      <w:commentRangeStart w:id="2"/>
      <w:r w:rsidRPr="00B86404">
        <w:rPr>
          <w:rFonts w:ascii="Times New Roman" w:hAnsi="Times New Roman" w:cs="Times New Roman"/>
          <w:lang w:val="en-US"/>
        </w:rPr>
        <w:t xml:space="preserve">latitude 23º </w:t>
      </w:r>
      <w:commentRangeEnd w:id="2"/>
      <w:r>
        <w:rPr>
          <w:rStyle w:val="Refdecomentrio"/>
        </w:rPr>
        <w:commentReference w:id="2"/>
      </w:r>
      <w:r w:rsidRPr="00B86404">
        <w:rPr>
          <w:rFonts w:ascii="Times New Roman" w:hAnsi="Times New Roman" w:cs="Times New Roman"/>
          <w:lang w:val="en-US"/>
        </w:rPr>
        <w:t xml:space="preserve">(Red line) we have a predominance of positive values. </w:t>
      </w:r>
    </w:p>
    <w:p w14:paraId="06BDCA95" w14:textId="77777777" w:rsidR="00AE704B" w:rsidRPr="00296302" w:rsidRDefault="00AE704B">
      <w:pPr>
        <w:rPr>
          <w:rFonts w:ascii="Times New Roman" w:hAnsi="Times New Roman" w:cs="Times New Roman"/>
          <w:lang w:val="pt-BR"/>
        </w:rPr>
      </w:pPr>
    </w:p>
    <w:sectPr w:rsidR="00AE704B" w:rsidRPr="002963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n Maestri" w:date="2019-11-05T14:02:00Z" w:initials="RM">
    <w:p w14:paraId="77820D89" w14:textId="77777777" w:rsidR="00296302" w:rsidRDefault="00296302" w:rsidP="00296302">
      <w:pPr>
        <w:pStyle w:val="Textodecomentrio"/>
      </w:pPr>
      <w:r>
        <w:rPr>
          <w:rStyle w:val="Refdecomentrio"/>
        </w:rPr>
        <w:annotationRef/>
      </w:r>
      <w:r>
        <w:t>Muito espaço em branco na tabela</w:t>
      </w:r>
    </w:p>
  </w:comment>
  <w:comment w:id="1" w:author="Renan Maestri" w:date="2019-11-05T14:13:00Z" w:initials="RM">
    <w:p w14:paraId="19FA8604" w14:textId="77777777" w:rsidR="00AE704B" w:rsidRDefault="00AE704B" w:rsidP="00AE704B">
      <w:pPr>
        <w:pStyle w:val="Textodecomentrio"/>
      </w:pPr>
      <w:r>
        <w:rPr>
          <w:rStyle w:val="Refdecomentrio"/>
        </w:rPr>
        <w:annotationRef/>
      </w:r>
      <w:r>
        <w:t>A figura pode ser melhorada. O título pode ser removido, as legendas e valores aumentados.</w:t>
      </w:r>
    </w:p>
  </w:comment>
  <w:comment w:id="2" w:author="Renan Maestri" w:date="2019-11-05T14:12:00Z" w:initials="RM">
    <w:p w14:paraId="3AF3F8FB" w14:textId="77777777" w:rsidR="00AE704B" w:rsidRDefault="00AE704B" w:rsidP="00AE704B">
      <w:pPr>
        <w:pStyle w:val="Textodecomentrio"/>
      </w:pPr>
      <w:r>
        <w:rPr>
          <w:rStyle w:val="Refdecomentrio"/>
        </w:rPr>
        <w:annotationRef/>
      </w:r>
      <w:r>
        <w:t>As latitudes negativas foram tornadas positivas certo?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820D89" w15:done="0"/>
  <w15:commentEx w15:paraId="19FA8604" w15:done="0"/>
  <w15:commentEx w15:paraId="3AF3F8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820D89" w16cid:durableId="216C08D9"/>
  <w16cid:commentId w16cid:paraId="19FA8604" w16cid:durableId="216C08E1"/>
  <w16cid:commentId w16cid:paraId="3AF3F8FB" w16cid:durableId="216C08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0E48"/>
    <w:multiLevelType w:val="hybridMultilevel"/>
    <w:tmpl w:val="CE34311A"/>
    <w:lvl w:ilvl="0" w:tplc="E9D04F26">
      <w:start w:val="4"/>
      <w:numFmt w:val="bullet"/>
      <w:lvlText w:val="-"/>
      <w:lvlJc w:val="left"/>
      <w:pPr>
        <w:ind w:left="720" w:hanging="360"/>
      </w:pPr>
      <w:rPr>
        <w:rFonts w:ascii="Times New Roman" w:eastAsia="Calibr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8993312"/>
    <w:multiLevelType w:val="hybridMultilevel"/>
    <w:tmpl w:val="69D8EA9A"/>
    <w:lvl w:ilvl="0" w:tplc="2540610C">
      <w:start w:val="4"/>
      <w:numFmt w:val="bullet"/>
      <w:lvlText w:val="-"/>
      <w:lvlJc w:val="left"/>
      <w:pPr>
        <w:ind w:left="1080" w:hanging="360"/>
      </w:pPr>
      <w:rPr>
        <w:rFonts w:ascii="Times New Roman" w:eastAsia="Calibri" w:hAnsi="Times New Roman"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40AF39E6"/>
    <w:multiLevelType w:val="hybridMultilevel"/>
    <w:tmpl w:val="9D00792E"/>
    <w:lvl w:ilvl="0" w:tplc="DD280B08">
      <w:start w:val="4"/>
      <w:numFmt w:val="bullet"/>
      <w:lvlText w:val="-"/>
      <w:lvlJc w:val="left"/>
      <w:pPr>
        <w:ind w:left="720" w:hanging="360"/>
      </w:pPr>
      <w:rPr>
        <w:rFonts w:ascii="Times New Roman" w:eastAsia="Calibr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02"/>
    <w:rsid w:val="00296302"/>
    <w:rsid w:val="006463E3"/>
    <w:rsid w:val="009F06DB"/>
    <w:rsid w:val="00A82525"/>
    <w:rsid w:val="00AE704B"/>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76439327"/>
  <w15:chartTrackingRefBased/>
  <w15:docId w15:val="{48EB9EF9-A93A-204F-BB87-3EDB8217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96302"/>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296302"/>
    <w:rPr>
      <w:rFonts w:ascii="Times New Roman" w:hAnsi="Times New Roman" w:cs="Times New Roman"/>
      <w:sz w:val="18"/>
      <w:szCs w:val="18"/>
    </w:rPr>
  </w:style>
  <w:style w:type="character" w:styleId="Refdecomentrio">
    <w:name w:val="annotation reference"/>
    <w:basedOn w:val="Fontepargpadro"/>
    <w:uiPriority w:val="99"/>
    <w:semiHidden/>
    <w:unhideWhenUsed/>
    <w:rsid w:val="00296302"/>
    <w:rPr>
      <w:sz w:val="16"/>
      <w:szCs w:val="16"/>
    </w:rPr>
  </w:style>
  <w:style w:type="paragraph" w:styleId="Textodecomentrio">
    <w:name w:val="annotation text"/>
    <w:basedOn w:val="Normal"/>
    <w:link w:val="TextodecomentrioChar"/>
    <w:uiPriority w:val="99"/>
    <w:unhideWhenUsed/>
    <w:rsid w:val="00296302"/>
    <w:pPr>
      <w:spacing w:after="160"/>
    </w:pPr>
    <w:rPr>
      <w:sz w:val="20"/>
      <w:szCs w:val="20"/>
      <w:lang w:val="pt-BR"/>
    </w:rPr>
  </w:style>
  <w:style w:type="character" w:customStyle="1" w:styleId="TextodecomentrioChar">
    <w:name w:val="Texto de comentário Char"/>
    <w:basedOn w:val="Fontepargpadro"/>
    <w:link w:val="Textodecomentrio"/>
    <w:uiPriority w:val="99"/>
    <w:rsid w:val="00296302"/>
    <w:rPr>
      <w:sz w:val="20"/>
      <w:szCs w:val="20"/>
      <w:lang w:val="pt-BR"/>
    </w:rPr>
  </w:style>
  <w:style w:type="paragraph" w:styleId="SemEspaamento">
    <w:name w:val="No Spacing"/>
    <w:uiPriority w:val="1"/>
    <w:qFormat/>
    <w:rsid w:val="00296302"/>
    <w:rPr>
      <w:rFonts w:ascii="Calibri" w:eastAsia="Calibri" w:hAnsi="Calibri" w:cs="Arial"/>
      <w:sz w:val="20"/>
      <w:szCs w:val="20"/>
      <w:lang w:val="es-ES" w:eastAsia="es-ES"/>
    </w:rPr>
  </w:style>
  <w:style w:type="table" w:styleId="TabeladeGradeClara">
    <w:name w:val="Grid Table Light"/>
    <w:basedOn w:val="Tabelanormal"/>
    <w:uiPriority w:val="40"/>
    <w:rsid w:val="00296302"/>
    <w:rPr>
      <w:sz w:val="22"/>
      <w:szCs w:val="22"/>
      <w:lang w:val="pt-B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comgrade">
    <w:name w:val="Table Grid"/>
    <w:basedOn w:val="Tabelanormal"/>
    <w:uiPriority w:val="39"/>
    <w:rsid w:val="00296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3801</Words>
  <Characters>20529</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Gabriel Nakamura</cp:lastModifiedBy>
  <cp:revision>4</cp:revision>
  <dcterms:created xsi:type="dcterms:W3CDTF">2020-06-12T16:36:00Z</dcterms:created>
  <dcterms:modified xsi:type="dcterms:W3CDTF">2020-06-12T18:51:00Z</dcterms:modified>
</cp:coreProperties>
</file>