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Segoe UI" w:cs="Segoe UI" w:eastAsia="Segoe UI" w:hAnsi="Segoe UI"/>
          <w:b/>
          <w:bCs/>
          <w:i w:val="false"/>
          <w:iCs w:val="false"/>
          <w:color w:val="192854"/>
          <w:sz w:val="22"/>
          <w:szCs w:val="22"/>
        </w:rPr>
        <w:t xml:space="preserve">Secretaría de Planificación y Programación de la Presidencia – SEGEPLAN</w:t>
      </w:r>
    </w:p>
    <w:p>
      <w:pPr>
        <w:spacing w:after="280" w:before="0" w:line="276"/>
        <w:jc w:val="center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4993cc"/>
          <w:sz w:val="20"/>
          <w:szCs w:val="20"/>
        </w:rPr>
        <w:t xml:space="preserve">Dirección de Fortalecimiento de Capacidades del Sistema Nacional de Planificación – DFCSNP</w:t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192854"/>
          <w:sz w:val="32"/>
          <w:szCs w:val="32"/>
        </w:rPr>
        <w:t xml:space="preserve">INFORME DE AVANCE</w:t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sz w:val="24"/>
          <w:szCs w:val="24"/>
        </w:rPr>
        <w:t xml:space="preserve">Taller final del Bootcamp (Sprint 3): herramienta de inteligencia artificial local para la Red Nacional de Planificadores</w:t>
      </w:r>
    </w:p>
    <w:p>
      <w:pPr>
        <w:pBdr>
          <w:bottom w:val="single" w:color="4993cc" w:sz="8" w:space="6"/>
        </w:pBdr>
        <w:spacing w:after="320"/>
        <w:jc w:val="center"/>
      </w:pPr>
      <w:r>
        <w:rPr>
          <w:rFonts w:ascii="Segoe UI" w:cs="Segoe UI" w:eastAsia="Segoe UI" w:hAnsi="Segoe UI"/>
          <w:i/>
          <w:iCs/>
          <w:color w:val="555555"/>
          <w:sz w:val="20"/>
          <w:szCs w:val="20"/>
        </w:rPr>
        <w:t xml:space="preserve">I Encuentro Nacional de Planificación 2026 · 27 y 28 de agosto de 2026 · Guatemala, 12 de junio de 2026</w:t>
      </w:r>
    </w:p>
    <w:p>
      <w:pPr>
        <w:spacing w:after="160" w:before="280"/>
        <w:jc w:val="left"/>
      </w:pPr>
      <w:r>
        <w:rPr>
          <w:rFonts w:ascii="Segoe UI" w:cs="Segoe UI" w:eastAsia="Segoe UI" w:hAnsi="Segoe UI"/>
          <w:b/>
          <w:bCs/>
          <w:color w:val="192854"/>
          <w:sz w:val="24"/>
          <w:szCs w:val="24"/>
        </w:rPr>
        <w:t xml:space="preserve">1. Antecedentes</w:t>
      </w:r>
    </w:p>
    <w:p>
      <w:pPr>
        <w:spacing w:after="160" w:before="0" w:line="276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I Encuentro Nacional de Planificación 2026 contempla, durante su segundo día, un Bootcamp coordinado por la DFCSNP estructurado en tres sprints de trabajo práctico orientados a la consolidación de la Red Nacional de Planificadores. El Sprint 3, objeto del presente informe, corresponde al taller final del Encuentro y consiste en la instalación de una herramienta de inteligencia artificial local en las computadoras portátiles de las personas participantes, como primer producto tangible de pertenencia a la Red.</w:t>
      </w:r>
    </w:p>
    <w:p>
      <w:pPr>
        <w:spacing w:after="160" w:before="0" w:line="276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presente informe da cuenta del avance en el diseño conceptual y técnico de dicha herramienta, así como de la base documental que la sustenta, construida a partir de los mismos documentos oficiales con los que se elaboró la malla curricular del Sistema Nacional de Planificación (SNP).</w:t>
      </w:r>
    </w:p>
    <w:p>
      <w:pPr>
        <w:spacing w:after="160" w:before="280"/>
        <w:jc w:val="left"/>
      </w:pPr>
      <w:r>
        <w:rPr>
          <w:rFonts w:ascii="Segoe UI" w:cs="Segoe UI" w:eastAsia="Segoe UI" w:hAnsi="Segoe UI"/>
          <w:b/>
          <w:bCs/>
          <w:color w:val="192854"/>
          <w:sz w:val="24"/>
          <w:szCs w:val="24"/>
        </w:rPr>
        <w:t xml:space="preserve">2. Idea central del taller final</w:t>
      </w:r>
    </w:p>
    <w:p>
      <w:pPr>
        <w:spacing w:after="160" w:before="0" w:line="276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idea central consiste en dotar a cada participante de una aplicación de inteligencia artificial que opera de manera local en su propio equipo de trabajo, con tres características definitorias: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Procesamiento local y confidencialidad:</w:t>
      </w:r>
      <w:r>
        <w:rPr>
          <w:rFonts w:ascii="Segoe UI" w:cs="Segoe UI" w:eastAsia="Segoe UI" w:hAnsi="Segoe UI"/>
          <w:sz w:val="22"/>
          <w:szCs w:val="22"/>
        </w:rPr>
        <w:t xml:space="preserve"> los modelos de IA se ejecutan directamente en la computadora del usuario, sin requerir conexión a internet ni enviar información a servicios externos, lo que garantiza la confidencialidad de los datos institucionales.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Lectura del entorno documental:</w:t>
      </w:r>
      <w:r>
        <w:rPr>
          <w:rFonts w:ascii="Segoe UI" w:cs="Segoe UI" w:eastAsia="Segoe UI" w:hAnsi="Segoe UI"/>
          <w:sz w:val="22"/>
          <w:szCs w:val="22"/>
        </w:rPr>
        <w:t xml:space="preserve"> mediante la técnica de generación aumentada por recuperación (RAG, por sus siglas en inglés), el modelo lee en el entorno local las fuentes de información sobre planificación previamente cargadas y fundamenta sus respuestas exclusivamente en ellas.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Base documental curada:</w:t>
      </w:r>
      <w:r>
        <w:rPr>
          <w:rFonts w:ascii="Segoe UI" w:cs="Segoe UI" w:eastAsia="Segoe UI" w:hAnsi="Segoe UI"/>
          <w:sz w:val="22"/>
          <w:szCs w:val="22"/>
        </w:rPr>
        <w:t xml:space="preserve"> el corpus de consulta está integrado por los documentos oficiales del SNP que sirvieron de insumo para la construcción de la malla curricular, organizados según los siete ciclos del Sistema.</w:t>
      </w:r>
    </w:p>
    <w:p>
      <w:pPr>
        <w:spacing w:after="160" w:before="0" w:line="276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esta manera, la herramienta convierte el conocimiento normativo y metodológico del SNP en un asistente técnico disponible en el entorno de trabajo de cada planificador, sin comprometer la seguridad de la información.</w:t>
      </w:r>
    </w:p>
    <w:p>
      <w:pPr>
        <w:spacing w:after="160" w:before="280"/>
        <w:jc w:val="left"/>
      </w:pPr>
      <w:r>
        <w:rPr>
          <w:rFonts w:ascii="Segoe UI" w:cs="Segoe UI" w:eastAsia="Segoe UI" w:hAnsi="Segoe UI"/>
          <w:b/>
          <w:bCs/>
          <w:color w:val="192854"/>
          <w:sz w:val="24"/>
          <w:szCs w:val="24"/>
        </w:rPr>
        <w:t xml:space="preserve">3. Base documental del Sistema Nacional de Planificación</w:t>
      </w:r>
    </w:p>
    <w:p>
      <w:pPr>
        <w:spacing w:after="160" w:before="0" w:line="276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corpus de la herramienta se integra por veinte documentos oficiales, organizados por ciclo del SNP, conforme al siguiente detalle: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1928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Ciclo del SNP</w:t>
            </w:r>
          </w:p>
        </w:tc>
        <w:tc>
          <w:tcPr>
            <w:tcW w:type="dxa" w:w="636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1928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Documentos fuente que integran el corpus</w:t>
            </w:r>
          </w:p>
        </w:tc>
      </w:tr>
      <w:tr>
        <w:tc>
          <w:tcPr>
            <w:tcW w:type="dxa" w:w="300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92854"/>
                <w:sz w:val="21"/>
                <w:szCs w:val="21"/>
              </w:rPr>
              <w:t xml:space="preserve">Ciclo de Política Pública</w:t>
            </w:r>
          </w:p>
        </w:tc>
        <w:tc>
          <w:tcPr>
            <w:tcW w:type="dxa" w:w="636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Guía de Formulación de Políticas Públicas; Guía General de Planificación del Desarrollo.</w:t>
            </w:r>
          </w:p>
        </w:tc>
      </w:tr>
      <w:tr>
        <w:tc>
          <w:tcPr>
            <w:tcW w:type="dxa" w:w="300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92854"/>
                <w:sz w:val="21"/>
                <w:szCs w:val="21"/>
              </w:rPr>
              <w:t xml:space="preserve">Ciclo de Planificación</w:t>
            </w:r>
          </w:p>
        </w:tc>
        <w:tc>
          <w:tcPr>
            <w:tcW w:type="dxa" w:w="636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Caja de Herramientas de Planificación 2026–2030; Estrategia de articulación de los ODS al PND; Guía básica para la construcción de indicadores; ODS – Metas priorizadas.</w:t>
            </w:r>
          </w:p>
        </w:tc>
      </w:tr>
      <w:tr>
        <w:tc>
          <w:tcPr>
            <w:tcW w:type="dxa" w:w="300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92854"/>
                <w:sz w:val="21"/>
                <w:szCs w:val="21"/>
              </w:rPr>
              <w:t xml:space="preserve">Ciclo de Programación</w:t>
            </w:r>
          </w:p>
        </w:tc>
        <w:tc>
          <w:tcPr>
            <w:tcW w:type="dxa" w:w="636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Guía POM – POA; Indicadores de las PND 2024; PEI – Consejos de Desarrollo.</w:t>
            </w:r>
          </w:p>
        </w:tc>
      </w:tr>
      <w:tr>
        <w:tc>
          <w:tcPr>
            <w:tcW w:type="dxa" w:w="300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92854"/>
                <w:sz w:val="21"/>
                <w:szCs w:val="21"/>
              </w:rPr>
              <w:t xml:space="preserve">Ciclo de Inversión</w:t>
            </w:r>
          </w:p>
        </w:tc>
        <w:tc>
          <w:tcPr>
            <w:tcW w:type="dxa" w:w="636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Normas SNIP; Guía FEPIP; Marco Conceptual del Sistema Nacional de Inversión Pública (2019); Matriz de Preinversión 2025; Política de Preinversión.</w:t>
            </w:r>
          </w:p>
        </w:tc>
      </w:tr>
      <w:tr>
        <w:tc>
          <w:tcPr>
            <w:tcW w:type="dxa" w:w="300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92854"/>
                <w:sz w:val="21"/>
                <w:szCs w:val="21"/>
              </w:rPr>
              <w:t xml:space="preserve">Ciclo de Cooperación para el Desarrollo</w:t>
            </w:r>
          </w:p>
        </w:tc>
        <w:tc>
          <w:tcPr>
            <w:tcW w:type="dxa" w:w="636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Guía de Gestión de Programas y Proyectos de Inversión Pública con Préstamos (2022); Orientaciones para el seguimiento y evaluación de la CINR en Guatemala; Guía Orientadora.</w:t>
            </w:r>
          </w:p>
        </w:tc>
      </w:tr>
      <w:tr>
        <w:tc>
          <w:tcPr>
            <w:tcW w:type="dxa" w:w="300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92854"/>
                <w:sz w:val="21"/>
                <w:szCs w:val="21"/>
              </w:rPr>
              <w:t xml:space="preserve">Ciclo de Presupuesto</w:t>
            </w:r>
          </w:p>
        </w:tc>
        <w:tc>
          <w:tcPr>
            <w:tcW w:type="dxa" w:w="636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Guía de GpR MINFIN – SEGEPLAN.</w:t>
            </w:r>
          </w:p>
        </w:tc>
      </w:tr>
      <w:tr>
        <w:tc>
          <w:tcPr>
            <w:tcW w:type="dxa" w:w="300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192854"/>
                <w:sz w:val="21"/>
                <w:szCs w:val="21"/>
              </w:rPr>
              <w:t xml:space="preserve">Ciclo de Seguimiento y Evaluación</w:t>
            </w:r>
          </w:p>
        </w:tc>
        <w:tc>
          <w:tcPr>
            <w:tcW w:type="dxa" w:w="6360"/>
            <w:tcBorders>
              <w:top w:val="single" w:color="B9C0D0" w:sz="4"/>
              <w:left w:val="single" w:color="B9C0D0" w:sz="4"/>
              <w:bottom w:val="single" w:color="B9C0D0" w:sz="4"/>
              <w:right w:val="single" w:color="B9C0D0" w:sz="4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Segoe UI" w:cs="Segoe UI" w:eastAsia="Segoe UI" w:hAnsi="Segoe UI"/>
                <w:sz w:val="21"/>
                <w:szCs w:val="21"/>
              </w:rPr>
              <w:t xml:space="preserve">Guía básica para la construcción de indicadores; Desplegable del SNP.</w:t>
            </w:r>
          </w:p>
        </w:tc>
      </w:tr>
    </w:tbl>
    <w:p>
      <w:pPr>
        <w:spacing w:after="80" w:before="0" w:line="276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pacing w:after="160" w:before="280"/>
        <w:jc w:val="left"/>
      </w:pPr>
      <w:r>
        <w:rPr>
          <w:rFonts w:ascii="Segoe UI" w:cs="Segoe UI" w:eastAsia="Segoe UI" w:hAnsi="Segoe UI"/>
          <w:b/>
          <w:bCs/>
          <w:color w:val="192854"/>
          <w:sz w:val="24"/>
          <w:szCs w:val="24"/>
        </w:rPr>
        <w:t xml:space="preserve">4. Grafo de conocimiento: Seguimiento y Evaluación como nodo articulador</w:t>
      </w:r>
    </w:p>
    <w:p>
      <w:pPr>
        <w:spacing w:after="160" w:before="0" w:line="276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Como avance visual del diseño, se elaboró un grafo de conocimiento tipo RAG que representa la base documental de la herramienta como una red de nodos y conexiones. El análisis de la malla curricular evidenció que el Seguimiento y Evaluación constituye un eje transversal presente en los siete ciclos del SNP: cada programa formativo incorpora al menos un módulo o curso vinculado al S&amp;E. Por esta razón, el grafo lo sitúa como nodo central, articulando los demás ciclos y sus documentos fuente.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egoe UI" w:cs="Segoe UI" w:eastAsia="Segoe UI" w:hAnsi="Segoe UI"/>
          <w:i/>
          <w:iCs/>
          <w:color w:val="555555"/>
          <w:sz w:val="18"/>
          <w:szCs w:val="18"/>
        </w:rPr>
        <w:t xml:space="preserve">Figura 1. Grafo de conocimiento RAG de la base documental del SNP, con el Seguimiento y Evaluación como nodo transversal.</w:t>
      </w:r>
    </w:p>
    <w:p>
      <w:pPr>
        <w:spacing w:after="160" w:before="0" w:line="276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 representación cumple además una función narrativa: ofrece una visión gráfica del efecto de red neuronal que se busca generar con la Red Nacional de Planificadores. Así como los documentos y ciclos del SNP se potencian al interconectarse en torno a un nodo articulador, las personas e instituciones que planifican se fortalecen al vincularse en red. El grafo cierra de este modo la narrativa del Encuentro: lo que el Sprint 2 prototipa en lo organizacional (la estructura de la Red), el Sprint 3 lo materializa en lo tecnológico (una herramienta común que conecta el conocimiento del Sistema).</w:t>
      </w:r>
    </w:p>
    <w:p>
      <w:pPr>
        <w:spacing w:after="160" w:before="280"/>
        <w:jc w:val="left"/>
      </w:pPr>
      <w:r>
        <w:rPr>
          <w:rFonts w:ascii="Segoe UI" w:cs="Segoe UI" w:eastAsia="Segoe UI" w:hAnsi="Segoe UI"/>
          <w:b/>
          <w:bCs/>
          <w:color w:val="192854"/>
          <w:sz w:val="24"/>
          <w:szCs w:val="24"/>
        </w:rPr>
        <w:t xml:space="preserve">5. Conclusiones y próximos pasos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El taller final del Encuentro cuenta con un diseño conceptual consolidado: una aplicación de IA local, confidencial y fundamentada en el corpus oficial del SNP.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La identificación del Seguimiento y Evaluación como eje transversal aporta coherencia técnica al grafo de conocimiento y refuerza el mensaje institucional de gestión orientada a resultados.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Segoe UI" w:cs="Segoe UI" w:eastAsia="Segoe UI" w:hAnsi="Segoe UI"/>
          <w:sz w:val="22"/>
          <w:szCs w:val="22"/>
        </w:rPr>
        <w:t xml:space="preserve">Como siguientes pasos se prevé la validación técnica de la herramienta con la DSI, la prueba piloto de instalación y la elaboración de la Guía del Participante correspondiente al Sprint 3.</w:t>
      </w:r>
    </w:p>
    <w:p>
      <w:pPr>
        <w:spacing w:after="600" w:before="0" w:line="276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rFonts w:ascii="Segoe UI" w:cs="Segoe UI" w:eastAsia="Segoe UI" w:hAnsi="Segoe UI"/>
          <w:sz w:val="22"/>
          <w:szCs w:val="22"/>
        </w:rPr>
        <w:t xml:space="preserve">______________________________</w:t>
      </w:r>
    </w:p>
    <w:p>
      <w:pPr>
        <w:spacing w:after="0"/>
        <w:jc w:val="center"/>
      </w:pPr>
      <w:r>
        <w:rPr>
          <w:rFonts w:ascii="Segoe UI" w:cs="Segoe UI" w:eastAsia="Segoe UI" w:hAnsi="Segoe UI"/>
          <w:b/>
          <w:bCs/>
          <w:sz w:val="22"/>
          <w:szCs w:val="22"/>
        </w:rPr>
        <w:t xml:space="preserve">Ing. Wagner Emilio Caal Morales</w:t>
      </w:r>
    </w:p>
    <w:p>
      <w:pPr>
        <w:spacing w:after="0"/>
        <w:jc w:val="center"/>
      </w:pPr>
      <w:r>
        <w:rPr>
          <w:rFonts w:ascii="Segoe UI" w:cs="Segoe UI" w:eastAsia="Segoe UI" w:hAnsi="Segoe UI"/>
          <w:sz w:val="20"/>
          <w:szCs w:val="20"/>
        </w:rPr>
        <w:t xml:space="preserve">Director de Fortalecimiento de Capacidades del Sistema Nacional de Planificación</w:t>
      </w:r>
    </w:p>
    <w:p>
      <w:pPr>
        <w:jc w:val="center"/>
      </w:pPr>
      <w:r>
        <w:rPr>
          <w:rFonts w:ascii="Segoe UI" w:cs="Segoe UI" w:eastAsia="Segoe UI" w:hAnsi="Segoe UI"/>
          <w:sz w:val="20"/>
          <w:szCs w:val="20"/>
        </w:rPr>
        <w:t xml:space="preserve">SEGEPLAN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948deae2a352b36249414efeb6e12b82537a14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2026-06-12T14:25:40.329Z</dcterms:created>
  <dcterms:modified xsi:type="dcterms:W3CDTF">2026-06-12T14:25:40.330Z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