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76"/>
        <w:jc w:val="center"/>
      </w:pPr>
      <w:r>
        <w:rPr>
          <w:rFonts w:ascii="Segoe UI" w:cs="Segoe UI" w:eastAsia="Segoe UI" w:hAnsi="Segoe UI"/>
          <w:b/>
          <w:bCs/>
          <w:i w:val="false"/>
          <w:iCs w:val="false"/>
          <w:color w:val="192854"/>
          <w:sz w:val="22"/>
          <w:szCs w:val="22"/>
        </w:rPr>
        <w:t xml:space="preserve">Secretaría de Planificación y Programación de la Presidencia – SEGEPLAN</w:t>
      </w:r>
    </w:p>
    <w:p>
      <w:pPr>
        <w:spacing w:after="280" w:before="0" w:line="276"/>
        <w:jc w:val="center"/>
      </w:pPr>
      <w:r>
        <w:rPr>
          <w:rFonts w:ascii="Segoe UI" w:cs="Segoe UI" w:eastAsia="Segoe UI" w:hAnsi="Segoe UI"/>
          <w:b w:val="false"/>
          <w:bCs w:val="false"/>
          <w:i w:val="false"/>
          <w:iCs w:val="false"/>
          <w:color w:val="4993cc"/>
          <w:sz w:val="20"/>
          <w:szCs w:val="20"/>
        </w:rPr>
        <w:t xml:space="preserve">Dirección de Fortalecimiento de Capacidades del Sistema Nacional de Planificación – DFCSNP</w:t>
      </w:r>
    </w:p>
    <w:p>
      <w:pPr>
        <w:spacing w:after="60"/>
        <w:jc w:val="center"/>
      </w:pPr>
      <w:r>
        <w:rPr>
          <w:rFonts w:ascii="Segoe UI" w:cs="Segoe UI" w:eastAsia="Segoe UI" w:hAnsi="Segoe UI"/>
          <w:b/>
          <w:bCs/>
          <w:color w:val="192854"/>
          <w:sz w:val="32"/>
          <w:szCs w:val="32"/>
        </w:rPr>
        <w:t xml:space="preserve">METODOLOGÍA Y MANUAL DE INSTALACIÓN</w:t>
      </w:r>
    </w:p>
    <w:p>
      <w:pPr>
        <w:spacing w:after="60"/>
        <w:jc w:val="center"/>
      </w:pPr>
      <w:r>
        <w:rPr>
          <w:rFonts w:ascii="Segoe UI" w:cs="Segoe UI" w:eastAsia="Segoe UI" w:hAnsi="Segoe UI"/>
          <w:b/>
          <w:bCs/>
          <w:sz w:val="24"/>
          <w:szCs w:val="24"/>
        </w:rPr>
        <w:t xml:space="preserve">Creación del entorno de inteligencia artificial local para la Red Nacional de Planificadores</w:t>
      </w:r>
    </w:p>
    <w:p>
      <w:pPr>
        <w:pBdr>
          <w:bottom w:val="single" w:color="4993cc" w:sz="8" w:space="6"/>
        </w:pBdr>
        <w:spacing w:after="320"/>
        <w:jc w:val="center"/>
      </w:pPr>
      <w:r>
        <w:rPr>
          <w:rFonts w:ascii="Segoe UI" w:cs="Segoe UI" w:eastAsia="Segoe UI" w:hAnsi="Segoe UI"/>
          <w:i/>
          <w:iCs/>
          <w:color w:val="555555"/>
          <w:sz w:val="20"/>
          <w:szCs w:val="20"/>
        </w:rPr>
        <w:t xml:space="preserve">Sprint 3 — Bootcamp DFCSNP · I Encuentro Nacional de Planificación 2026 · Guatemala, junio de 2026</w:t>
      </w:r>
    </w:p>
    <w:p>
      <w:pPr>
        <w:spacing w:after="160" w:before="300"/>
      </w:pPr>
      <w:r>
        <w:rPr>
          <w:rFonts w:ascii="Segoe UI" w:cs="Segoe UI" w:eastAsia="Segoe UI" w:hAnsi="Segoe UI"/>
          <w:b/>
          <w:bCs/>
          <w:color w:val="192854"/>
          <w:sz w:val="26"/>
          <w:szCs w:val="26"/>
        </w:rPr>
        <w:t xml:space="preserve">1. Objetivo y alcance</w:t>
      </w:r>
    </w:p>
    <w:p>
      <w:pPr>
        <w:spacing w:after="160" w:before="0" w:line="276"/>
        <w:jc w:val="both"/>
      </w:pPr>
      <w:r>
        <w:rPr>
          <w:rFonts w:ascii="Segoe UI" w:cs="Segoe UI" w:eastAsia="Segoe UI" w:hAnsi="Segoe UI"/>
          <w:b w:val="false"/>
          <w:bCs w:val="false"/>
          <w:i w:val="false"/>
          <w:iCs w:val="false"/>
          <w:color w:val="000000"/>
          <w:sz w:val="22"/>
          <w:szCs w:val="22"/>
        </w:rPr>
        <w:t xml:space="preserve">Este documento presenta la metodología para la creación del entorno de inteligencia artificial local que será instalado en las computadoras portátiles de las personas participantes durante el taller final (Sprint 3) del I Encuentro Nacional de Planificación 2026, y desarrolla el procedimiento de instalación y configuración en formato de manual paso a paso.</w:t>
      </w:r>
    </w:p>
    <w:p>
      <w:pPr>
        <w:spacing w:after="160" w:before="0" w:line="276"/>
        <w:jc w:val="both"/>
      </w:pPr>
      <w:r>
        <w:rPr>
          <w:rFonts w:ascii="Segoe UI" w:cs="Segoe UI" w:eastAsia="Segoe UI" w:hAnsi="Segoe UI"/>
          <w:b w:val="false"/>
          <w:bCs w:val="false"/>
          <w:i w:val="false"/>
          <w:iCs w:val="false"/>
          <w:color w:val="000000"/>
          <w:sz w:val="22"/>
          <w:szCs w:val="22"/>
        </w:rPr>
        <w:t xml:space="preserve">El entorno resultante permite consultar, de manera conversacional y sin conexión a internet, los veinte documentos oficiales del Sistema Nacional de Planificación (SNP), garantizando la confidencialidad de la información institucional, ya que ningún dato sale del equipo del usuario.</w:t>
      </w:r>
    </w:p>
    <w:p>
      <w:pPr>
        <w:spacing w:after="160" w:before="300"/>
      </w:pPr>
      <w:r>
        <w:rPr>
          <w:rFonts w:ascii="Segoe UI" w:cs="Segoe UI" w:eastAsia="Segoe UI" w:hAnsi="Segoe UI"/>
          <w:b/>
          <w:bCs/>
          <w:color w:val="192854"/>
          <w:sz w:val="26"/>
          <w:szCs w:val="26"/>
        </w:rPr>
        <w:t xml:space="preserve">2. Conceptos básicos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B9C0D0" w:sz="4"/>
              <w:left w:val="single" w:color="B9C0D0" w:sz="4"/>
              <w:bottom w:val="single" w:color="B9C0D0" w:sz="4"/>
              <w:right w:val="single" w:color="B9C0D0" w:sz="4"/>
            </w:tcBorders>
            <w:shd w:fill="192854" w:val="clear"/>
            <w:tcMar>
              <w:top w:type="dxa" w:w="80"/>
              <w:left w:type="dxa" w:w="120"/>
              <w:bottom w:type="dxa" w:w="80"/>
              <w:right w:type="dxa" w:w="120"/>
            </w:tcMar>
            <w:vAlign w:val="center"/>
          </w:tcPr>
          <w:p>
            <w:pPr>
              <w:jc w:val="center"/>
            </w:pPr>
            <w:r>
              <w:rPr>
                <w:rFonts w:ascii="Segoe UI" w:cs="Segoe UI" w:eastAsia="Segoe UI" w:hAnsi="Segoe UI"/>
                <w:b/>
                <w:bCs/>
                <w:color w:val="FFFFFF"/>
                <w:sz w:val="21"/>
                <w:szCs w:val="21"/>
              </w:rPr>
              <w:t xml:space="preserve">Concepto</w:t>
            </w:r>
          </w:p>
        </w:tc>
        <w:tc>
          <w:tcPr>
            <w:tcW w:type="dxa" w:w="6460"/>
            <w:tcBorders>
              <w:top w:val="single" w:color="B9C0D0" w:sz="4"/>
              <w:left w:val="single" w:color="B9C0D0" w:sz="4"/>
              <w:bottom w:val="single" w:color="B9C0D0" w:sz="4"/>
              <w:right w:val="single" w:color="B9C0D0" w:sz="4"/>
            </w:tcBorders>
            <w:shd w:fill="192854" w:val="clear"/>
            <w:tcMar>
              <w:top w:type="dxa" w:w="80"/>
              <w:left w:type="dxa" w:w="120"/>
              <w:bottom w:type="dxa" w:w="80"/>
              <w:right w:type="dxa" w:w="120"/>
            </w:tcMar>
            <w:vAlign w:val="center"/>
          </w:tcPr>
          <w:p>
            <w:pPr>
              <w:jc w:val="center"/>
            </w:pPr>
            <w:r>
              <w:rPr>
                <w:rFonts w:ascii="Segoe UI" w:cs="Segoe UI" w:eastAsia="Segoe UI" w:hAnsi="Segoe UI"/>
                <w:b/>
                <w:bCs/>
                <w:color w:val="FFFFFF"/>
                <w:sz w:val="21"/>
                <w:szCs w:val="21"/>
              </w:rPr>
              <w:t xml:space="preserve">Definición operativa</w:t>
            </w:r>
          </w:p>
        </w:tc>
      </w:tr>
      <w:tr>
        <w:tc>
          <w:tcPr>
            <w:tcW w:type="dxa" w:w="2900"/>
            <w:tcBorders>
              <w:top w:val="single" w:color="B9C0D0" w:sz="4"/>
              <w:left w:val="single" w:color="B9C0D0" w:sz="4"/>
              <w:bottom w:val="single" w:color="B9C0D0" w:sz="4"/>
              <w:right w:val="single" w:color="B9C0D0" w:sz="4"/>
            </w:tcBorders>
            <w:shd w:fill="F4F6FA" w:val="clear"/>
            <w:tcMar>
              <w:top w:type="dxa" w:w="80"/>
              <w:left w:type="dxa" w:w="120"/>
              <w:bottom w:type="dxa" w:w="80"/>
              <w:right w:type="dxa" w:w="120"/>
            </w:tcMar>
            <w:vAlign w:val="center"/>
          </w:tcPr>
          <w:p>
            <w:pPr>
              <w:jc w:val="both"/>
            </w:pPr>
            <w:r>
              <w:rPr>
                <w:rFonts w:ascii="Segoe UI" w:cs="Segoe UI" w:eastAsia="Segoe UI" w:hAnsi="Segoe UI"/>
                <w:b/>
                <w:bCs/>
                <w:color w:val="192854"/>
                <w:sz w:val="20"/>
                <w:szCs w:val="20"/>
              </w:rPr>
              <w:t xml:space="preserve">Modelo de IA local (LLM local)</w:t>
            </w:r>
          </w:p>
        </w:tc>
        <w:tc>
          <w:tcPr>
            <w:tcW w:type="dxa" w:w="6460"/>
            <w:tcBorders>
              <w:top w:val="single" w:color="B9C0D0" w:sz="4"/>
              <w:left w:val="single" w:color="B9C0D0" w:sz="4"/>
              <w:bottom w:val="single" w:color="B9C0D0" w:sz="4"/>
              <w:right w:val="single" w:color="B9C0D0" w:sz="4"/>
            </w:tcBorders>
            <w:shd w:fill="F4F6FA" w:val="clear"/>
            <w:tcMar>
              <w:top w:type="dxa" w:w="80"/>
              <w:left w:type="dxa" w:w="120"/>
              <w:bottom w:type="dxa" w:w="80"/>
              <w:right w:type="dxa" w:w="120"/>
            </w:tcMar>
            <w:vAlign w:val="center"/>
          </w:tcPr>
          <w:p>
            <w:pPr>
              <w:jc w:val="both"/>
            </w:pPr>
            <w:r>
              <w:rPr>
                <w:rFonts w:ascii="Segoe UI" w:cs="Segoe UI" w:eastAsia="Segoe UI" w:hAnsi="Segoe UI"/>
                <w:b w:val="false"/>
                <w:bCs w:val="false"/>
                <w:color w:val="000000"/>
                <w:sz w:val="20"/>
                <w:szCs w:val="20"/>
              </w:rPr>
              <w:t xml:space="preserve">Modelo de lenguaje que se ejecuta directamente en la computadora del usuario, sin enviar información a servidores externos. La conversación y los documentos nunca salen del equipo.</w:t>
            </w:r>
          </w:p>
        </w:tc>
      </w:tr>
      <w:tr>
        <w:tc>
          <w:tcPr>
            <w:tcW w:type="dxa" w:w="2900"/>
            <w:tcBorders>
              <w:top w:val="single" w:color="B9C0D0" w:sz="4"/>
              <w:left w:val="single" w:color="B9C0D0" w:sz="4"/>
              <w:bottom w:val="single" w:color="B9C0D0" w:sz="4"/>
              <w:right w:val="single" w:color="B9C0D0" w:sz="4"/>
            </w:tcBorders>
            <w:shd w:fill="FFFFFF" w:val="clear"/>
            <w:tcMar>
              <w:top w:type="dxa" w:w="80"/>
              <w:left w:type="dxa" w:w="120"/>
              <w:bottom w:type="dxa" w:w="80"/>
              <w:right w:type="dxa" w:w="120"/>
            </w:tcMar>
            <w:vAlign w:val="center"/>
          </w:tcPr>
          <w:p>
            <w:pPr>
              <w:jc w:val="both"/>
            </w:pPr>
            <w:r>
              <w:rPr>
                <w:rFonts w:ascii="Segoe UI" w:cs="Segoe UI" w:eastAsia="Segoe UI" w:hAnsi="Segoe UI"/>
                <w:b/>
                <w:bCs/>
                <w:color w:val="192854"/>
                <w:sz w:val="20"/>
                <w:szCs w:val="20"/>
              </w:rPr>
              <w:t xml:space="preserve">RAG (generación aumentada por recuperación)</w:t>
            </w:r>
          </w:p>
        </w:tc>
        <w:tc>
          <w:tcPr>
            <w:tcW w:type="dxa" w:w="6460"/>
            <w:tcBorders>
              <w:top w:val="single" w:color="B9C0D0" w:sz="4"/>
              <w:left w:val="single" w:color="B9C0D0" w:sz="4"/>
              <w:bottom w:val="single" w:color="B9C0D0" w:sz="4"/>
              <w:right w:val="single" w:color="B9C0D0" w:sz="4"/>
            </w:tcBorders>
            <w:shd w:fill="FFFFFF" w:val="clear"/>
            <w:tcMar>
              <w:top w:type="dxa" w:w="80"/>
              <w:left w:type="dxa" w:w="120"/>
              <w:bottom w:type="dxa" w:w="80"/>
              <w:right w:type="dxa" w:w="120"/>
            </w:tcMar>
            <w:vAlign w:val="center"/>
          </w:tcPr>
          <w:p>
            <w:pPr>
              <w:jc w:val="both"/>
            </w:pPr>
            <w:r>
              <w:rPr>
                <w:rFonts w:ascii="Segoe UI" w:cs="Segoe UI" w:eastAsia="Segoe UI" w:hAnsi="Segoe UI"/>
                <w:b w:val="false"/>
                <w:bCs w:val="false"/>
                <w:color w:val="000000"/>
                <w:sz w:val="20"/>
                <w:szCs w:val="20"/>
              </w:rPr>
              <w:t xml:space="preserve">Técnica mediante la cual el modelo recupera primero los fragmentos relevantes de los documentos cargados y luego genera la respuesta fundamentada en ellos, citando las fuentes.</w:t>
            </w:r>
          </w:p>
        </w:tc>
      </w:tr>
      <w:tr>
        <w:tc>
          <w:tcPr>
            <w:tcW w:type="dxa" w:w="2900"/>
            <w:tcBorders>
              <w:top w:val="single" w:color="B9C0D0" w:sz="4"/>
              <w:left w:val="single" w:color="B9C0D0" w:sz="4"/>
              <w:bottom w:val="single" w:color="B9C0D0" w:sz="4"/>
              <w:right w:val="single" w:color="B9C0D0" w:sz="4"/>
            </w:tcBorders>
            <w:shd w:fill="F4F6FA" w:val="clear"/>
            <w:tcMar>
              <w:top w:type="dxa" w:w="80"/>
              <w:left w:type="dxa" w:w="120"/>
              <w:bottom w:type="dxa" w:w="80"/>
              <w:right w:type="dxa" w:w="120"/>
            </w:tcMar>
            <w:vAlign w:val="center"/>
          </w:tcPr>
          <w:p>
            <w:pPr>
              <w:jc w:val="both"/>
            </w:pPr>
            <w:r>
              <w:rPr>
                <w:rFonts w:ascii="Segoe UI" w:cs="Segoe UI" w:eastAsia="Segoe UI" w:hAnsi="Segoe UI"/>
                <w:b/>
                <w:bCs/>
                <w:color w:val="192854"/>
                <w:sz w:val="20"/>
                <w:szCs w:val="20"/>
              </w:rPr>
              <w:t xml:space="preserve">Embeddings (vectorización)</w:t>
            </w:r>
          </w:p>
        </w:tc>
        <w:tc>
          <w:tcPr>
            <w:tcW w:type="dxa" w:w="6460"/>
            <w:tcBorders>
              <w:top w:val="single" w:color="B9C0D0" w:sz="4"/>
              <w:left w:val="single" w:color="B9C0D0" w:sz="4"/>
              <w:bottom w:val="single" w:color="B9C0D0" w:sz="4"/>
              <w:right w:val="single" w:color="B9C0D0" w:sz="4"/>
            </w:tcBorders>
            <w:shd w:fill="F4F6FA" w:val="clear"/>
            <w:tcMar>
              <w:top w:type="dxa" w:w="80"/>
              <w:left w:type="dxa" w:w="120"/>
              <w:bottom w:type="dxa" w:w="80"/>
              <w:right w:type="dxa" w:w="120"/>
            </w:tcMar>
            <w:vAlign w:val="center"/>
          </w:tcPr>
          <w:p>
            <w:pPr>
              <w:jc w:val="both"/>
            </w:pPr>
            <w:r>
              <w:rPr>
                <w:rFonts w:ascii="Segoe UI" w:cs="Segoe UI" w:eastAsia="Segoe UI" w:hAnsi="Segoe UI"/>
                <w:b w:val="false"/>
                <w:bCs w:val="false"/>
                <w:color w:val="000000"/>
                <w:sz w:val="20"/>
                <w:szCs w:val="20"/>
              </w:rPr>
              <w:t xml:space="preserve">Representación numérica del contenido de los documentos que permite al sistema localizar los pasajes pertinentes para cada consulta. Se genera una sola vez, al cargar el corpus.</w:t>
            </w:r>
          </w:p>
        </w:tc>
      </w:tr>
      <w:tr>
        <w:tc>
          <w:tcPr>
            <w:tcW w:type="dxa" w:w="2900"/>
            <w:tcBorders>
              <w:top w:val="single" w:color="B9C0D0" w:sz="4"/>
              <w:left w:val="single" w:color="B9C0D0" w:sz="4"/>
              <w:bottom w:val="single" w:color="B9C0D0" w:sz="4"/>
              <w:right w:val="single" w:color="B9C0D0" w:sz="4"/>
            </w:tcBorders>
            <w:shd w:fill="FFFFFF" w:val="clear"/>
            <w:tcMar>
              <w:top w:type="dxa" w:w="80"/>
              <w:left w:type="dxa" w:w="120"/>
              <w:bottom w:type="dxa" w:w="80"/>
              <w:right w:type="dxa" w:w="120"/>
            </w:tcMar>
            <w:vAlign w:val="center"/>
          </w:tcPr>
          <w:p>
            <w:pPr>
              <w:jc w:val="both"/>
            </w:pPr>
            <w:r>
              <w:rPr>
                <w:rFonts w:ascii="Segoe UI" w:cs="Segoe UI" w:eastAsia="Segoe UI" w:hAnsi="Segoe UI"/>
                <w:b/>
                <w:bCs/>
                <w:color w:val="192854"/>
                <w:sz w:val="20"/>
                <w:szCs w:val="20"/>
              </w:rPr>
              <w:t xml:space="preserve">Espacio de trabajo (workspace)</w:t>
            </w:r>
          </w:p>
        </w:tc>
        <w:tc>
          <w:tcPr>
            <w:tcW w:type="dxa" w:w="6460"/>
            <w:tcBorders>
              <w:top w:val="single" w:color="B9C0D0" w:sz="4"/>
              <w:left w:val="single" w:color="B9C0D0" w:sz="4"/>
              <w:bottom w:val="single" w:color="B9C0D0" w:sz="4"/>
              <w:right w:val="single" w:color="B9C0D0" w:sz="4"/>
            </w:tcBorders>
            <w:shd w:fill="FFFFFF" w:val="clear"/>
            <w:tcMar>
              <w:top w:type="dxa" w:w="80"/>
              <w:left w:type="dxa" w:w="120"/>
              <w:bottom w:type="dxa" w:w="80"/>
              <w:right w:type="dxa" w:w="120"/>
            </w:tcMar>
            <w:vAlign w:val="center"/>
          </w:tcPr>
          <w:p>
            <w:pPr>
              <w:jc w:val="both"/>
            </w:pPr>
            <w:r>
              <w:rPr>
                <w:rFonts w:ascii="Segoe UI" w:cs="Segoe UI" w:eastAsia="Segoe UI" w:hAnsi="Segoe UI"/>
                <w:b w:val="false"/>
                <w:bCs w:val="false"/>
                <w:color w:val="000000"/>
                <w:sz w:val="20"/>
                <w:szCs w:val="20"/>
              </w:rPr>
              <w:t xml:space="preserve">Contenedor dentro de la plataforma que agrupa un conjunto de documentos y conversaciones. Para el taller se crea un único espacio denominado «SNP».</w:t>
            </w:r>
          </w:p>
        </w:tc>
      </w:tr>
    </w:tbl>
    <w:p>
      <w:pPr>
        <w:spacing w:after="60" w:before="0" w:line="276"/>
        <w:jc w:val="both"/>
      </w:pPr>
      <w:r>
        <w:rPr>
          <w:rFonts w:ascii="Segoe UI" w:cs="Segoe UI" w:eastAsia="Segoe UI" w:hAnsi="Segoe UI"/>
          <w:b w:val="false"/>
          <w:bCs w:val="false"/>
          <w:i w:val="false"/>
          <w:iCs w:val="false"/>
          <w:color w:val="000000"/>
          <w:sz w:val="22"/>
          <w:szCs w:val="22"/>
        </w:rPr>
        <w:t xml:space="preserve"/>
      </w:r>
    </w:p>
    <w:p>
      <w:pPr>
        <w:spacing w:after="160" w:before="300"/>
      </w:pPr>
      <w:r>
        <w:rPr>
          <w:rFonts w:ascii="Segoe UI" w:cs="Segoe UI" w:eastAsia="Segoe UI" w:hAnsi="Segoe UI"/>
          <w:b/>
          <w:bCs/>
          <w:color w:val="192854"/>
          <w:sz w:val="26"/>
          <w:szCs w:val="26"/>
        </w:rPr>
        <w:t xml:space="preserve">3. Proceso metodológico</w:t>
      </w:r>
    </w:p>
    <w:p>
      <w:pPr>
        <w:spacing w:after="160" w:before="0" w:line="276"/>
        <w:jc w:val="both"/>
      </w:pPr>
      <w:r>
        <w:rPr>
          <w:rFonts w:ascii="Segoe UI" w:cs="Segoe UI" w:eastAsia="Segoe UI" w:hAnsi="Segoe UI"/>
          <w:b w:val="false"/>
          <w:bCs w:val="false"/>
          <w:i w:val="false"/>
          <w:iCs w:val="false"/>
          <w:color w:val="000000"/>
          <w:sz w:val="22"/>
          <w:szCs w:val="22"/>
        </w:rPr>
        <w:t xml:space="preserve">La creación del entorno se organiza en cinco fases secuenciales. Las fases 1 y, parcialmente, la 5 (preparación del kit y diseño de los prompts de validación) se ejecutan antes del Encuentro por el equipo DFCSNP con apoyo de la DSI; las fases 2 a 5 se desarrollan con los participantes durante el taller, en aproximadamente 45 minutos.</w:t>
      </w:r>
    </w:p>
    <w:p>
      <w:pPr>
        <w:spacing w:after="80" w:before="120"/>
        <w:jc w:val="center"/>
      </w:pPr>
      <w:r>
        <w:drawing>
          <wp:inline distT="0" distB="0" distL="0" distR="0">
            <wp:extent cx="5943600"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1790700"/>
                    </a:xfrm>
                    <a:prstGeom prst="rect">
                      <a:avLst/>
                    </a:prstGeom>
                  </pic:spPr>
                </pic:pic>
              </a:graphicData>
            </a:graphic>
          </wp:inline>
        </w:drawing>
      </w:r>
    </w:p>
    <w:p>
      <w:pPr>
        <w:spacing w:after="240"/>
        <w:jc w:val="center"/>
      </w:pPr>
      <w:r>
        <w:rPr>
          <w:rFonts w:ascii="Segoe UI" w:cs="Segoe UI" w:eastAsia="Segoe UI" w:hAnsi="Segoe UI"/>
          <w:i/>
          <w:iCs/>
          <w:color w:val="555555"/>
          <w:sz w:val="18"/>
          <w:szCs w:val="18"/>
        </w:rPr>
        <w:t xml:space="preserve">Figura 1. Proceso de creación del entorno de IA local en cinco fases.</w:t>
      </w:r>
    </w:p>
    <w:p>
      <w:pPr>
        <w:spacing w:after="160" w:before="300"/>
      </w:pPr>
      <w:r>
        <w:rPr>
          <w:rFonts w:ascii="Segoe UI" w:cs="Segoe UI" w:eastAsia="Segoe UI" w:hAnsi="Segoe UI"/>
          <w:b/>
          <w:bCs/>
          <w:color w:val="192854"/>
          <w:sz w:val="26"/>
          <w:szCs w:val="26"/>
        </w:rPr>
        <w:t xml:space="preserve">4. Requisitos del equipo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B9C0D0" w:sz="4"/>
              <w:left w:val="single" w:color="B9C0D0" w:sz="4"/>
              <w:bottom w:val="single" w:color="B9C0D0" w:sz="4"/>
              <w:right w:val="single" w:color="B9C0D0" w:sz="4"/>
            </w:tcBorders>
            <w:shd w:fill="192854" w:val="clear"/>
            <w:tcMar>
              <w:top w:type="dxa" w:w="80"/>
              <w:left w:type="dxa" w:w="120"/>
              <w:bottom w:type="dxa" w:w="80"/>
              <w:right w:type="dxa" w:w="120"/>
            </w:tcMar>
            <w:vAlign w:val="center"/>
          </w:tcPr>
          <w:p>
            <w:pPr>
              <w:jc w:val="center"/>
            </w:pPr>
            <w:r>
              <w:rPr>
                <w:rFonts w:ascii="Segoe UI" w:cs="Segoe UI" w:eastAsia="Segoe UI" w:hAnsi="Segoe UI"/>
                <w:b/>
                <w:bCs/>
                <w:color w:val="FFFFFF"/>
                <w:sz w:val="21"/>
                <w:szCs w:val="21"/>
              </w:rPr>
              <w:t xml:space="preserve">Componente</w:t>
            </w:r>
          </w:p>
        </w:tc>
        <w:tc>
          <w:tcPr>
            <w:tcW w:type="dxa" w:w="3580"/>
            <w:tcBorders>
              <w:top w:val="single" w:color="B9C0D0" w:sz="4"/>
              <w:left w:val="single" w:color="B9C0D0" w:sz="4"/>
              <w:bottom w:val="single" w:color="B9C0D0" w:sz="4"/>
              <w:right w:val="single" w:color="B9C0D0" w:sz="4"/>
            </w:tcBorders>
            <w:shd w:fill="192854" w:val="clear"/>
            <w:tcMar>
              <w:top w:type="dxa" w:w="80"/>
              <w:left w:type="dxa" w:w="120"/>
              <w:bottom w:type="dxa" w:w="80"/>
              <w:right w:type="dxa" w:w="120"/>
            </w:tcMar>
            <w:vAlign w:val="center"/>
          </w:tcPr>
          <w:p>
            <w:pPr>
              <w:jc w:val="center"/>
            </w:pPr>
            <w:r>
              <w:rPr>
                <w:rFonts w:ascii="Segoe UI" w:cs="Segoe UI" w:eastAsia="Segoe UI" w:hAnsi="Segoe UI"/>
                <w:b/>
                <w:bCs/>
                <w:color w:val="FFFFFF"/>
                <w:sz w:val="21"/>
                <w:szCs w:val="21"/>
              </w:rPr>
              <w:t xml:space="preserve">Requisito mínimo</w:t>
            </w:r>
          </w:p>
        </w:tc>
        <w:tc>
          <w:tcPr>
            <w:tcW w:type="dxa" w:w="3580"/>
            <w:tcBorders>
              <w:top w:val="single" w:color="B9C0D0" w:sz="4"/>
              <w:left w:val="single" w:color="B9C0D0" w:sz="4"/>
              <w:bottom w:val="single" w:color="B9C0D0" w:sz="4"/>
              <w:right w:val="single" w:color="B9C0D0" w:sz="4"/>
            </w:tcBorders>
            <w:shd w:fill="192854" w:val="clear"/>
            <w:tcMar>
              <w:top w:type="dxa" w:w="80"/>
              <w:left w:type="dxa" w:w="120"/>
              <w:bottom w:type="dxa" w:w="80"/>
              <w:right w:type="dxa" w:w="120"/>
            </w:tcMar>
            <w:vAlign w:val="center"/>
          </w:tcPr>
          <w:p>
            <w:pPr>
              <w:jc w:val="center"/>
            </w:pPr>
            <w:r>
              <w:rPr>
                <w:rFonts w:ascii="Segoe UI" w:cs="Segoe UI" w:eastAsia="Segoe UI" w:hAnsi="Segoe UI"/>
                <w:b/>
                <w:bCs/>
                <w:color w:val="FFFFFF"/>
                <w:sz w:val="21"/>
                <w:szCs w:val="21"/>
              </w:rPr>
              <w:t xml:space="preserve">Recomendado</w:t>
            </w:r>
          </w:p>
        </w:tc>
      </w:tr>
      <w:tr>
        <w:tc>
          <w:tcPr>
            <w:tcW w:type="dxa" w:w="2200"/>
            <w:tcBorders>
              <w:top w:val="single" w:color="B9C0D0" w:sz="4"/>
              <w:left w:val="single" w:color="B9C0D0" w:sz="4"/>
              <w:bottom w:val="single" w:color="B9C0D0" w:sz="4"/>
              <w:right w:val="single" w:color="B9C0D0" w:sz="4"/>
            </w:tcBorders>
            <w:shd w:fill="F4F6FA" w:val="clear"/>
            <w:tcMar>
              <w:top w:type="dxa" w:w="80"/>
              <w:left w:type="dxa" w:w="120"/>
              <w:bottom w:type="dxa" w:w="80"/>
              <w:right w:type="dxa" w:w="120"/>
            </w:tcMar>
            <w:vAlign w:val="center"/>
          </w:tcPr>
          <w:p>
            <w:pPr>
              <w:jc w:val="both"/>
            </w:pPr>
            <w:r>
              <w:rPr>
                <w:rFonts w:ascii="Segoe UI" w:cs="Segoe UI" w:eastAsia="Segoe UI" w:hAnsi="Segoe UI"/>
                <w:b/>
                <w:bCs/>
                <w:color w:val="192854"/>
                <w:sz w:val="20"/>
                <w:szCs w:val="20"/>
              </w:rPr>
              <w:t xml:space="preserve">Sistema operativo</w:t>
            </w:r>
          </w:p>
        </w:tc>
        <w:tc>
          <w:tcPr>
            <w:tcW w:type="dxa" w:w="3580"/>
            <w:tcBorders>
              <w:top w:val="single" w:color="B9C0D0" w:sz="4"/>
              <w:left w:val="single" w:color="B9C0D0" w:sz="4"/>
              <w:bottom w:val="single" w:color="B9C0D0" w:sz="4"/>
              <w:right w:val="single" w:color="B9C0D0" w:sz="4"/>
            </w:tcBorders>
            <w:shd w:fill="F4F6FA" w:val="clear"/>
            <w:tcMar>
              <w:top w:type="dxa" w:w="80"/>
              <w:left w:type="dxa" w:w="120"/>
              <w:bottom w:type="dxa" w:w="80"/>
              <w:right w:type="dxa" w:w="120"/>
            </w:tcMar>
            <w:vAlign w:val="center"/>
          </w:tcPr>
          <w:p>
            <w:pPr>
              <w:jc w:val="both"/>
            </w:pPr>
            <w:r>
              <w:rPr>
                <w:rFonts w:ascii="Segoe UI" w:cs="Segoe UI" w:eastAsia="Segoe UI" w:hAnsi="Segoe UI"/>
                <w:b w:val="false"/>
                <w:bCs w:val="false"/>
                <w:color w:val="000000"/>
                <w:sz w:val="20"/>
                <w:szCs w:val="20"/>
              </w:rPr>
              <w:t xml:space="preserve">Windows 10 (64 bits)</w:t>
            </w:r>
          </w:p>
        </w:tc>
        <w:tc>
          <w:tcPr>
            <w:tcW w:type="dxa" w:w="3580"/>
            <w:tcBorders>
              <w:top w:val="single" w:color="B9C0D0" w:sz="4"/>
              <w:left w:val="single" w:color="B9C0D0" w:sz="4"/>
              <w:bottom w:val="single" w:color="B9C0D0" w:sz="4"/>
              <w:right w:val="single" w:color="B9C0D0" w:sz="4"/>
            </w:tcBorders>
            <w:shd w:fill="F4F6FA" w:val="clear"/>
            <w:tcMar>
              <w:top w:type="dxa" w:w="80"/>
              <w:left w:type="dxa" w:w="120"/>
              <w:bottom w:type="dxa" w:w="80"/>
              <w:right w:type="dxa" w:w="120"/>
            </w:tcMar>
            <w:vAlign w:val="center"/>
          </w:tcPr>
          <w:p>
            <w:pPr>
              <w:jc w:val="both"/>
            </w:pPr>
            <w:r>
              <w:rPr>
                <w:rFonts w:ascii="Segoe UI" w:cs="Segoe UI" w:eastAsia="Segoe UI" w:hAnsi="Segoe UI"/>
                <w:b w:val="false"/>
                <w:bCs w:val="false"/>
                <w:color w:val="000000"/>
                <w:sz w:val="20"/>
                <w:szCs w:val="20"/>
              </w:rPr>
              <w:t xml:space="preserve">Windows 11 (64 bits)</w:t>
            </w:r>
          </w:p>
        </w:tc>
      </w:tr>
      <w:tr>
        <w:tc>
          <w:tcPr>
            <w:tcW w:type="dxa" w:w="2200"/>
            <w:tcBorders>
              <w:top w:val="single" w:color="B9C0D0" w:sz="4"/>
              <w:left w:val="single" w:color="B9C0D0" w:sz="4"/>
              <w:bottom w:val="single" w:color="B9C0D0" w:sz="4"/>
              <w:right w:val="single" w:color="B9C0D0" w:sz="4"/>
            </w:tcBorders>
            <w:shd w:fill="FFFFFF" w:val="clear"/>
            <w:tcMar>
              <w:top w:type="dxa" w:w="80"/>
              <w:left w:type="dxa" w:w="120"/>
              <w:bottom w:type="dxa" w:w="80"/>
              <w:right w:type="dxa" w:w="120"/>
            </w:tcMar>
            <w:vAlign w:val="center"/>
          </w:tcPr>
          <w:p>
            <w:pPr>
              <w:jc w:val="both"/>
            </w:pPr>
            <w:r>
              <w:rPr>
                <w:rFonts w:ascii="Segoe UI" w:cs="Segoe UI" w:eastAsia="Segoe UI" w:hAnsi="Segoe UI"/>
                <w:b/>
                <w:bCs/>
                <w:color w:val="192854"/>
                <w:sz w:val="20"/>
                <w:szCs w:val="20"/>
              </w:rPr>
              <w:t xml:space="preserve">Memoria RAM</w:t>
            </w:r>
          </w:p>
        </w:tc>
        <w:tc>
          <w:tcPr>
            <w:tcW w:type="dxa" w:w="3580"/>
            <w:tcBorders>
              <w:top w:val="single" w:color="B9C0D0" w:sz="4"/>
              <w:left w:val="single" w:color="B9C0D0" w:sz="4"/>
              <w:bottom w:val="single" w:color="B9C0D0" w:sz="4"/>
              <w:right w:val="single" w:color="B9C0D0" w:sz="4"/>
            </w:tcBorders>
            <w:shd w:fill="FFFFFF" w:val="clear"/>
            <w:tcMar>
              <w:top w:type="dxa" w:w="80"/>
              <w:left w:type="dxa" w:w="120"/>
              <w:bottom w:type="dxa" w:w="80"/>
              <w:right w:type="dxa" w:w="120"/>
            </w:tcMar>
            <w:vAlign w:val="center"/>
          </w:tcPr>
          <w:p>
            <w:pPr>
              <w:jc w:val="both"/>
            </w:pPr>
            <w:r>
              <w:rPr>
                <w:rFonts w:ascii="Segoe UI" w:cs="Segoe UI" w:eastAsia="Segoe UI" w:hAnsi="Segoe UI"/>
                <w:b w:val="false"/>
                <w:bCs w:val="false"/>
                <w:color w:val="000000"/>
                <w:sz w:val="20"/>
                <w:szCs w:val="20"/>
              </w:rPr>
              <w:t xml:space="preserve">8 GB</w:t>
            </w:r>
          </w:p>
        </w:tc>
        <w:tc>
          <w:tcPr>
            <w:tcW w:type="dxa" w:w="3580"/>
            <w:tcBorders>
              <w:top w:val="single" w:color="B9C0D0" w:sz="4"/>
              <w:left w:val="single" w:color="B9C0D0" w:sz="4"/>
              <w:bottom w:val="single" w:color="B9C0D0" w:sz="4"/>
              <w:right w:val="single" w:color="B9C0D0" w:sz="4"/>
            </w:tcBorders>
            <w:shd w:fill="FFFFFF" w:val="clear"/>
            <w:tcMar>
              <w:top w:type="dxa" w:w="80"/>
              <w:left w:type="dxa" w:w="120"/>
              <w:bottom w:type="dxa" w:w="80"/>
              <w:right w:type="dxa" w:w="120"/>
            </w:tcMar>
            <w:vAlign w:val="center"/>
          </w:tcPr>
          <w:p>
            <w:pPr>
              <w:jc w:val="both"/>
            </w:pPr>
            <w:r>
              <w:rPr>
                <w:rFonts w:ascii="Segoe UI" w:cs="Segoe UI" w:eastAsia="Segoe UI" w:hAnsi="Segoe UI"/>
                <w:b w:val="false"/>
                <w:bCs w:val="false"/>
                <w:color w:val="000000"/>
                <w:sz w:val="20"/>
                <w:szCs w:val="20"/>
              </w:rPr>
              <w:t xml:space="preserve">16 GB</w:t>
            </w:r>
          </w:p>
        </w:tc>
      </w:tr>
      <w:tr>
        <w:tc>
          <w:tcPr>
            <w:tcW w:type="dxa" w:w="2200"/>
            <w:tcBorders>
              <w:top w:val="single" w:color="B9C0D0" w:sz="4"/>
              <w:left w:val="single" w:color="B9C0D0" w:sz="4"/>
              <w:bottom w:val="single" w:color="B9C0D0" w:sz="4"/>
              <w:right w:val="single" w:color="B9C0D0" w:sz="4"/>
            </w:tcBorders>
            <w:shd w:fill="F4F6FA" w:val="clear"/>
            <w:tcMar>
              <w:top w:type="dxa" w:w="80"/>
              <w:left w:type="dxa" w:w="120"/>
              <w:bottom w:type="dxa" w:w="80"/>
              <w:right w:type="dxa" w:w="120"/>
            </w:tcMar>
            <w:vAlign w:val="center"/>
          </w:tcPr>
          <w:p>
            <w:pPr>
              <w:jc w:val="both"/>
            </w:pPr>
            <w:r>
              <w:rPr>
                <w:rFonts w:ascii="Segoe UI" w:cs="Segoe UI" w:eastAsia="Segoe UI" w:hAnsi="Segoe UI"/>
                <w:b/>
                <w:bCs/>
                <w:color w:val="192854"/>
                <w:sz w:val="20"/>
                <w:szCs w:val="20"/>
              </w:rPr>
              <w:t xml:space="preserve">Espacio en disco</w:t>
            </w:r>
          </w:p>
        </w:tc>
        <w:tc>
          <w:tcPr>
            <w:tcW w:type="dxa" w:w="3580"/>
            <w:tcBorders>
              <w:top w:val="single" w:color="B9C0D0" w:sz="4"/>
              <w:left w:val="single" w:color="B9C0D0" w:sz="4"/>
              <w:bottom w:val="single" w:color="B9C0D0" w:sz="4"/>
              <w:right w:val="single" w:color="B9C0D0" w:sz="4"/>
            </w:tcBorders>
            <w:shd w:fill="F4F6FA" w:val="clear"/>
            <w:tcMar>
              <w:top w:type="dxa" w:w="80"/>
              <w:left w:type="dxa" w:w="120"/>
              <w:bottom w:type="dxa" w:w="80"/>
              <w:right w:type="dxa" w:w="120"/>
            </w:tcMar>
            <w:vAlign w:val="center"/>
          </w:tcPr>
          <w:p>
            <w:pPr>
              <w:jc w:val="both"/>
            </w:pPr>
            <w:r>
              <w:rPr>
                <w:rFonts w:ascii="Segoe UI" w:cs="Segoe UI" w:eastAsia="Segoe UI" w:hAnsi="Segoe UI"/>
                <w:b w:val="false"/>
                <w:bCs w:val="false"/>
                <w:color w:val="000000"/>
                <w:sz w:val="20"/>
                <w:szCs w:val="20"/>
              </w:rPr>
              <w:t xml:space="preserve">10 GB libres</w:t>
            </w:r>
          </w:p>
        </w:tc>
        <w:tc>
          <w:tcPr>
            <w:tcW w:type="dxa" w:w="3580"/>
            <w:tcBorders>
              <w:top w:val="single" w:color="B9C0D0" w:sz="4"/>
              <w:left w:val="single" w:color="B9C0D0" w:sz="4"/>
              <w:bottom w:val="single" w:color="B9C0D0" w:sz="4"/>
              <w:right w:val="single" w:color="B9C0D0" w:sz="4"/>
            </w:tcBorders>
            <w:shd w:fill="F4F6FA" w:val="clear"/>
            <w:tcMar>
              <w:top w:type="dxa" w:w="80"/>
              <w:left w:type="dxa" w:w="120"/>
              <w:bottom w:type="dxa" w:w="80"/>
              <w:right w:type="dxa" w:w="120"/>
            </w:tcMar>
            <w:vAlign w:val="center"/>
          </w:tcPr>
          <w:p>
            <w:pPr>
              <w:jc w:val="both"/>
            </w:pPr>
            <w:r>
              <w:rPr>
                <w:rFonts w:ascii="Segoe UI" w:cs="Segoe UI" w:eastAsia="Segoe UI" w:hAnsi="Segoe UI"/>
                <w:b w:val="false"/>
                <w:bCs w:val="false"/>
                <w:color w:val="000000"/>
                <w:sz w:val="20"/>
                <w:szCs w:val="20"/>
              </w:rPr>
              <w:t xml:space="preserve">20 GB libres</w:t>
            </w:r>
          </w:p>
        </w:tc>
      </w:tr>
      <w:tr>
        <w:tc>
          <w:tcPr>
            <w:tcW w:type="dxa" w:w="2200"/>
            <w:tcBorders>
              <w:top w:val="single" w:color="B9C0D0" w:sz="4"/>
              <w:left w:val="single" w:color="B9C0D0" w:sz="4"/>
              <w:bottom w:val="single" w:color="B9C0D0" w:sz="4"/>
              <w:right w:val="single" w:color="B9C0D0" w:sz="4"/>
            </w:tcBorders>
            <w:shd w:fill="FFFFFF" w:val="clear"/>
            <w:tcMar>
              <w:top w:type="dxa" w:w="80"/>
              <w:left w:type="dxa" w:w="120"/>
              <w:bottom w:type="dxa" w:w="80"/>
              <w:right w:type="dxa" w:w="120"/>
            </w:tcMar>
            <w:vAlign w:val="center"/>
          </w:tcPr>
          <w:p>
            <w:pPr>
              <w:jc w:val="both"/>
            </w:pPr>
            <w:r>
              <w:rPr>
                <w:rFonts w:ascii="Segoe UI" w:cs="Segoe UI" w:eastAsia="Segoe UI" w:hAnsi="Segoe UI"/>
                <w:b/>
                <w:bCs/>
                <w:color w:val="192854"/>
                <w:sz w:val="20"/>
                <w:szCs w:val="20"/>
              </w:rPr>
              <w:t xml:space="preserve">Procesador</w:t>
            </w:r>
          </w:p>
        </w:tc>
        <w:tc>
          <w:tcPr>
            <w:tcW w:type="dxa" w:w="3580"/>
            <w:tcBorders>
              <w:top w:val="single" w:color="B9C0D0" w:sz="4"/>
              <w:left w:val="single" w:color="B9C0D0" w:sz="4"/>
              <w:bottom w:val="single" w:color="B9C0D0" w:sz="4"/>
              <w:right w:val="single" w:color="B9C0D0" w:sz="4"/>
            </w:tcBorders>
            <w:shd w:fill="FFFFFF" w:val="clear"/>
            <w:tcMar>
              <w:top w:type="dxa" w:w="80"/>
              <w:left w:type="dxa" w:w="120"/>
              <w:bottom w:type="dxa" w:w="80"/>
              <w:right w:type="dxa" w:w="120"/>
            </w:tcMar>
            <w:vAlign w:val="center"/>
          </w:tcPr>
          <w:p>
            <w:pPr>
              <w:jc w:val="both"/>
            </w:pPr>
            <w:r>
              <w:rPr>
                <w:rFonts w:ascii="Segoe UI" w:cs="Segoe UI" w:eastAsia="Segoe UI" w:hAnsi="Segoe UI"/>
                <w:b w:val="false"/>
                <w:bCs w:val="false"/>
                <w:color w:val="000000"/>
                <w:sz w:val="20"/>
                <w:szCs w:val="20"/>
              </w:rPr>
              <w:t xml:space="preserve">Intel Core i5 / AMD Ryzen 5 o equivalente (soporte AVX2)</w:t>
            </w:r>
          </w:p>
        </w:tc>
        <w:tc>
          <w:tcPr>
            <w:tcW w:type="dxa" w:w="3580"/>
            <w:tcBorders>
              <w:top w:val="single" w:color="B9C0D0" w:sz="4"/>
              <w:left w:val="single" w:color="B9C0D0" w:sz="4"/>
              <w:bottom w:val="single" w:color="B9C0D0" w:sz="4"/>
              <w:right w:val="single" w:color="B9C0D0" w:sz="4"/>
            </w:tcBorders>
            <w:shd w:fill="FFFFFF" w:val="clear"/>
            <w:tcMar>
              <w:top w:type="dxa" w:w="80"/>
              <w:left w:type="dxa" w:w="120"/>
              <w:bottom w:type="dxa" w:w="80"/>
              <w:right w:type="dxa" w:w="120"/>
            </w:tcMar>
            <w:vAlign w:val="center"/>
          </w:tcPr>
          <w:p>
            <w:pPr>
              <w:jc w:val="both"/>
            </w:pPr>
            <w:r>
              <w:rPr>
                <w:rFonts w:ascii="Segoe UI" w:cs="Segoe UI" w:eastAsia="Segoe UI" w:hAnsi="Segoe UI"/>
                <w:b w:val="false"/>
                <w:bCs w:val="false"/>
                <w:color w:val="000000"/>
                <w:sz w:val="20"/>
                <w:szCs w:val="20"/>
              </w:rPr>
              <w:t xml:space="preserve">Procesador de generación reciente; GPU dedicada acelera las respuestas, pero no es indispensable</w:t>
            </w:r>
          </w:p>
        </w:tc>
      </w:tr>
      <w:tr>
        <w:tc>
          <w:tcPr>
            <w:tcW w:type="dxa" w:w="2200"/>
            <w:tcBorders>
              <w:top w:val="single" w:color="B9C0D0" w:sz="4"/>
              <w:left w:val="single" w:color="B9C0D0" w:sz="4"/>
              <w:bottom w:val="single" w:color="B9C0D0" w:sz="4"/>
              <w:right w:val="single" w:color="B9C0D0" w:sz="4"/>
            </w:tcBorders>
            <w:shd w:fill="F4F6FA" w:val="clear"/>
            <w:tcMar>
              <w:top w:type="dxa" w:w="80"/>
              <w:left w:type="dxa" w:w="120"/>
              <w:bottom w:type="dxa" w:w="80"/>
              <w:right w:type="dxa" w:w="120"/>
            </w:tcMar>
            <w:vAlign w:val="center"/>
          </w:tcPr>
          <w:p>
            <w:pPr>
              <w:jc w:val="both"/>
            </w:pPr>
            <w:r>
              <w:rPr>
                <w:rFonts w:ascii="Segoe UI" w:cs="Segoe UI" w:eastAsia="Segoe UI" w:hAnsi="Segoe UI"/>
                <w:b/>
                <w:bCs/>
                <w:color w:val="192854"/>
                <w:sz w:val="20"/>
                <w:szCs w:val="20"/>
              </w:rPr>
              <w:t xml:space="preserve">Permisos</w:t>
            </w:r>
          </w:p>
        </w:tc>
        <w:tc>
          <w:tcPr>
            <w:tcW w:type="dxa" w:w="3580"/>
            <w:tcBorders>
              <w:top w:val="single" w:color="B9C0D0" w:sz="4"/>
              <w:left w:val="single" w:color="B9C0D0" w:sz="4"/>
              <w:bottom w:val="single" w:color="B9C0D0" w:sz="4"/>
              <w:right w:val="single" w:color="B9C0D0" w:sz="4"/>
            </w:tcBorders>
            <w:shd w:fill="F4F6FA" w:val="clear"/>
            <w:tcMar>
              <w:top w:type="dxa" w:w="80"/>
              <w:left w:type="dxa" w:w="120"/>
              <w:bottom w:type="dxa" w:w="80"/>
              <w:right w:type="dxa" w:w="120"/>
            </w:tcMar>
            <w:vAlign w:val="center"/>
          </w:tcPr>
          <w:p>
            <w:pPr>
              <w:jc w:val="both"/>
            </w:pPr>
            <w:r>
              <w:rPr>
                <w:rFonts w:ascii="Segoe UI" w:cs="Segoe UI" w:eastAsia="Segoe UI" w:hAnsi="Segoe UI"/>
                <w:b w:val="false"/>
                <w:bCs w:val="false"/>
                <w:color w:val="000000"/>
                <w:sz w:val="20"/>
                <w:szCs w:val="20"/>
              </w:rPr>
              <w:t xml:space="preserve">Cuenta con permisos de instalación de programas</w:t>
            </w:r>
          </w:p>
        </w:tc>
        <w:tc>
          <w:tcPr>
            <w:tcW w:type="dxa" w:w="3580"/>
            <w:tcBorders>
              <w:top w:val="single" w:color="B9C0D0" w:sz="4"/>
              <w:left w:val="single" w:color="B9C0D0" w:sz="4"/>
              <w:bottom w:val="single" w:color="B9C0D0" w:sz="4"/>
              <w:right w:val="single" w:color="B9C0D0" w:sz="4"/>
            </w:tcBorders>
            <w:shd w:fill="F4F6FA" w:val="clear"/>
            <w:tcMar>
              <w:top w:type="dxa" w:w="80"/>
              <w:left w:type="dxa" w:w="120"/>
              <w:bottom w:type="dxa" w:w="80"/>
              <w:right w:type="dxa" w:w="120"/>
            </w:tcMar>
            <w:vAlign w:val="center"/>
          </w:tcPr>
          <w:p>
            <w:pPr>
              <w:jc w:val="both"/>
            </w:pPr>
            <w:r>
              <w:rPr>
                <w:rFonts w:ascii="Segoe UI" w:cs="Segoe UI" w:eastAsia="Segoe UI" w:hAnsi="Segoe UI"/>
                <w:b w:val="false"/>
                <w:bCs w:val="false"/>
                <w:color w:val="000000"/>
                <w:sz w:val="20"/>
                <w:szCs w:val="20"/>
              </w:rPr>
              <w:t xml:space="preserve">Coordinación previa con la unidad de informática institucional</w:t>
            </w:r>
          </w:p>
        </w:tc>
      </w:tr>
      <w:tr>
        <w:tc>
          <w:tcPr>
            <w:tcW w:type="dxa" w:w="2200"/>
            <w:tcBorders>
              <w:top w:val="single" w:color="B9C0D0" w:sz="4"/>
              <w:left w:val="single" w:color="B9C0D0" w:sz="4"/>
              <w:bottom w:val="single" w:color="B9C0D0" w:sz="4"/>
              <w:right w:val="single" w:color="B9C0D0" w:sz="4"/>
            </w:tcBorders>
            <w:shd w:fill="FFFFFF" w:val="clear"/>
            <w:tcMar>
              <w:top w:type="dxa" w:w="80"/>
              <w:left w:type="dxa" w:w="120"/>
              <w:bottom w:type="dxa" w:w="80"/>
              <w:right w:type="dxa" w:w="120"/>
            </w:tcMar>
            <w:vAlign w:val="center"/>
          </w:tcPr>
          <w:p>
            <w:pPr>
              <w:jc w:val="both"/>
            </w:pPr>
            <w:r>
              <w:rPr>
                <w:rFonts w:ascii="Segoe UI" w:cs="Segoe UI" w:eastAsia="Segoe UI" w:hAnsi="Segoe UI"/>
                <w:b/>
                <w:bCs/>
                <w:color w:val="192854"/>
                <w:sz w:val="20"/>
                <w:szCs w:val="20"/>
              </w:rPr>
              <w:t xml:space="preserve">Conectividad</w:t>
            </w:r>
          </w:p>
        </w:tc>
        <w:tc>
          <w:tcPr>
            <w:tcW w:type="dxa" w:w="3580"/>
            <w:tcBorders>
              <w:top w:val="single" w:color="B9C0D0" w:sz="4"/>
              <w:left w:val="single" w:color="B9C0D0" w:sz="4"/>
              <w:bottom w:val="single" w:color="B9C0D0" w:sz="4"/>
              <w:right w:val="single" w:color="B9C0D0" w:sz="4"/>
            </w:tcBorders>
            <w:shd w:fill="FFFFFF" w:val="clear"/>
            <w:tcMar>
              <w:top w:type="dxa" w:w="80"/>
              <w:left w:type="dxa" w:w="120"/>
              <w:bottom w:type="dxa" w:w="80"/>
              <w:right w:type="dxa" w:w="120"/>
            </w:tcMar>
            <w:vAlign w:val="center"/>
          </w:tcPr>
          <w:p>
            <w:pPr>
              <w:jc w:val="both"/>
            </w:pPr>
            <w:r>
              <w:rPr>
                <w:rFonts w:ascii="Segoe UI" w:cs="Segoe UI" w:eastAsia="Segoe UI" w:hAnsi="Segoe UI"/>
                <w:b w:val="false"/>
                <w:bCs w:val="false"/>
                <w:color w:val="000000"/>
                <w:sz w:val="20"/>
                <w:szCs w:val="20"/>
              </w:rPr>
              <w:t xml:space="preserve">No se requiere internet durante el taller</w:t>
            </w:r>
          </w:p>
        </w:tc>
        <w:tc>
          <w:tcPr>
            <w:tcW w:type="dxa" w:w="3580"/>
            <w:tcBorders>
              <w:top w:val="single" w:color="B9C0D0" w:sz="4"/>
              <w:left w:val="single" w:color="B9C0D0" w:sz="4"/>
              <w:bottom w:val="single" w:color="B9C0D0" w:sz="4"/>
              <w:right w:val="single" w:color="B9C0D0" w:sz="4"/>
            </w:tcBorders>
            <w:shd w:fill="FFFFFF" w:val="clear"/>
            <w:tcMar>
              <w:top w:type="dxa" w:w="80"/>
              <w:left w:type="dxa" w:w="120"/>
              <w:bottom w:type="dxa" w:w="80"/>
              <w:right w:type="dxa" w:w="120"/>
            </w:tcMar>
            <w:vAlign w:val="center"/>
          </w:tcPr>
          <w:p>
            <w:pPr>
              <w:jc w:val="both"/>
            </w:pPr>
            <w:r>
              <w:rPr>
                <w:rFonts w:ascii="Segoe UI" w:cs="Segoe UI" w:eastAsia="Segoe UI" w:hAnsi="Segoe UI"/>
                <w:b w:val="false"/>
                <w:bCs w:val="false"/>
                <w:color w:val="000000"/>
                <w:sz w:val="20"/>
                <w:szCs w:val="20"/>
              </w:rPr>
              <w:t xml:space="preserve">—</w:t>
            </w:r>
          </w:p>
        </w:tc>
      </w:tr>
    </w:tbl>
    <w:p>
      <w:pPr>
        <w:spacing w:after="60" w:before="0" w:line="276"/>
        <w:jc w:val="both"/>
      </w:pPr>
      <w:r>
        <w:rPr>
          <w:rFonts w:ascii="Segoe UI" w:cs="Segoe UI" w:eastAsia="Segoe UI" w:hAnsi="Segoe UI"/>
          <w:b w:val="false"/>
          <w:bCs w:val="false"/>
          <w:i w:val="false"/>
          <w:iCs w:val="false"/>
          <w:color w:val="000000"/>
          <w:sz w:val="22"/>
          <w:szCs w:val="22"/>
        </w:rPr>
        <w:t xml:space="preserve"/>
      </w:r>
    </w:p>
    <w:p>
      <w:pPr>
        <w:spacing w:after="160" w:before="300"/>
      </w:pPr>
      <w:r>
        <w:rPr>
          <w:rFonts w:ascii="Segoe UI" w:cs="Segoe UI" w:eastAsia="Segoe UI" w:hAnsi="Segoe UI"/>
          <w:b/>
          <w:bCs/>
          <w:color w:val="192854"/>
          <w:sz w:val="26"/>
          <w:szCs w:val="26"/>
        </w:rPr>
        <w:t xml:space="preserve">5. Herramientas necesarias</w:t>
      </w:r>
    </w:p>
    <w:p>
      <w:pPr>
        <w:spacing w:after="160" w:before="0" w:line="276"/>
        <w:jc w:val="both"/>
      </w:pPr>
      <w:r>
        <w:rPr>
          <w:rFonts w:ascii="Segoe UI" w:cs="Segoe UI" w:eastAsia="Segoe UI" w:hAnsi="Segoe UI"/>
          <w:b w:val="false"/>
          <w:bCs w:val="false"/>
          <w:i w:val="false"/>
          <w:iCs w:val="false"/>
          <w:color w:val="000000"/>
          <w:sz w:val="22"/>
          <w:szCs w:val="22"/>
        </w:rPr>
        <w:t xml:space="preserve">Se seleccionó una arquitectura de instalación única basada en una plataforma todo en uno, a fin de minimizar los pasos técnicos durante el taller y asegurar la replicabilidad en equipos institucionales heterogéneos.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260"/>
        <w:gridCol w:w="1700"/>
      </w:tblGrid>
      <w:tr>
        <w:trPr>
          <w:tblHeader/>
        </w:trPr>
        <w:tc>
          <w:tcPr>
            <w:tcW w:type="dxa" w:w="2400"/>
            <w:tcBorders>
              <w:top w:val="single" w:color="B9C0D0" w:sz="4"/>
              <w:left w:val="single" w:color="B9C0D0" w:sz="4"/>
              <w:bottom w:val="single" w:color="B9C0D0" w:sz="4"/>
              <w:right w:val="single" w:color="B9C0D0" w:sz="4"/>
            </w:tcBorders>
            <w:shd w:fill="192854" w:val="clear"/>
            <w:tcMar>
              <w:top w:type="dxa" w:w="80"/>
              <w:left w:type="dxa" w:w="120"/>
              <w:bottom w:type="dxa" w:w="80"/>
              <w:right w:type="dxa" w:w="120"/>
            </w:tcMar>
            <w:vAlign w:val="center"/>
          </w:tcPr>
          <w:p>
            <w:pPr>
              <w:jc w:val="center"/>
            </w:pPr>
            <w:r>
              <w:rPr>
                <w:rFonts w:ascii="Segoe UI" w:cs="Segoe UI" w:eastAsia="Segoe UI" w:hAnsi="Segoe UI"/>
                <w:b/>
                <w:bCs/>
                <w:color w:val="FFFFFF"/>
                <w:sz w:val="21"/>
                <w:szCs w:val="21"/>
              </w:rPr>
              <w:t xml:space="preserve">Herramienta</w:t>
            </w:r>
          </w:p>
        </w:tc>
        <w:tc>
          <w:tcPr>
            <w:tcW w:type="dxa" w:w="5260"/>
            <w:tcBorders>
              <w:top w:val="single" w:color="B9C0D0" w:sz="4"/>
              <w:left w:val="single" w:color="B9C0D0" w:sz="4"/>
              <w:bottom w:val="single" w:color="B9C0D0" w:sz="4"/>
              <w:right w:val="single" w:color="B9C0D0" w:sz="4"/>
            </w:tcBorders>
            <w:shd w:fill="192854" w:val="clear"/>
            <w:tcMar>
              <w:top w:type="dxa" w:w="80"/>
              <w:left w:type="dxa" w:w="120"/>
              <w:bottom w:type="dxa" w:w="80"/>
              <w:right w:type="dxa" w:w="120"/>
            </w:tcMar>
            <w:vAlign w:val="center"/>
          </w:tcPr>
          <w:p>
            <w:pPr>
              <w:jc w:val="center"/>
            </w:pPr>
            <w:r>
              <w:rPr>
                <w:rFonts w:ascii="Segoe UI" w:cs="Segoe UI" w:eastAsia="Segoe UI" w:hAnsi="Segoe UI"/>
                <w:b/>
                <w:bCs/>
                <w:color w:val="FFFFFF"/>
                <w:sz w:val="21"/>
                <w:szCs w:val="21"/>
              </w:rPr>
              <w:t xml:space="preserve">Función</w:t>
            </w:r>
          </w:p>
        </w:tc>
        <w:tc>
          <w:tcPr>
            <w:tcW w:type="dxa" w:w="1700"/>
            <w:tcBorders>
              <w:top w:val="single" w:color="B9C0D0" w:sz="4"/>
              <w:left w:val="single" w:color="B9C0D0" w:sz="4"/>
              <w:bottom w:val="single" w:color="B9C0D0" w:sz="4"/>
              <w:right w:val="single" w:color="B9C0D0" w:sz="4"/>
            </w:tcBorders>
            <w:shd w:fill="192854" w:val="clear"/>
            <w:tcMar>
              <w:top w:type="dxa" w:w="80"/>
              <w:left w:type="dxa" w:w="120"/>
              <w:bottom w:type="dxa" w:w="80"/>
              <w:right w:type="dxa" w:w="120"/>
            </w:tcMar>
            <w:vAlign w:val="center"/>
          </w:tcPr>
          <w:p>
            <w:pPr>
              <w:jc w:val="center"/>
            </w:pPr>
            <w:r>
              <w:rPr>
                <w:rFonts w:ascii="Segoe UI" w:cs="Segoe UI" w:eastAsia="Segoe UI" w:hAnsi="Segoe UI"/>
                <w:b/>
                <w:bCs/>
                <w:color w:val="FFFFFF"/>
                <w:sz w:val="21"/>
                <w:szCs w:val="21"/>
              </w:rPr>
              <w:t xml:space="preserve">Licencia / costo</w:t>
            </w:r>
          </w:p>
        </w:tc>
      </w:tr>
      <w:tr>
        <w:tc>
          <w:tcPr>
            <w:tcW w:type="dxa" w:w="2400"/>
            <w:tcBorders>
              <w:top w:val="single" w:color="B9C0D0" w:sz="4"/>
              <w:left w:val="single" w:color="B9C0D0" w:sz="4"/>
              <w:bottom w:val="single" w:color="B9C0D0" w:sz="4"/>
              <w:right w:val="single" w:color="B9C0D0" w:sz="4"/>
            </w:tcBorders>
            <w:shd w:fill="F4F6FA" w:val="clear"/>
            <w:tcMar>
              <w:top w:type="dxa" w:w="80"/>
              <w:left w:type="dxa" w:w="120"/>
              <w:bottom w:type="dxa" w:w="80"/>
              <w:right w:type="dxa" w:w="120"/>
            </w:tcMar>
            <w:vAlign w:val="center"/>
          </w:tcPr>
          <w:p>
            <w:pPr>
              <w:jc w:val="both"/>
            </w:pPr>
            <w:r>
              <w:rPr>
                <w:rFonts w:ascii="Segoe UI" w:cs="Segoe UI" w:eastAsia="Segoe UI" w:hAnsi="Segoe UI"/>
                <w:b/>
                <w:bCs/>
                <w:color w:val="192854"/>
                <w:sz w:val="20"/>
                <w:szCs w:val="20"/>
              </w:rPr>
              <w:t xml:space="preserve">AnythingLLM Desktop</w:t>
            </w:r>
          </w:p>
        </w:tc>
        <w:tc>
          <w:tcPr>
            <w:tcW w:type="dxa" w:w="5260"/>
            <w:tcBorders>
              <w:top w:val="single" w:color="B9C0D0" w:sz="4"/>
              <w:left w:val="single" w:color="B9C0D0" w:sz="4"/>
              <w:bottom w:val="single" w:color="B9C0D0" w:sz="4"/>
              <w:right w:val="single" w:color="B9C0D0" w:sz="4"/>
            </w:tcBorders>
            <w:shd w:fill="F4F6FA" w:val="clear"/>
            <w:tcMar>
              <w:top w:type="dxa" w:w="80"/>
              <w:left w:type="dxa" w:w="120"/>
              <w:bottom w:type="dxa" w:w="80"/>
              <w:right w:type="dxa" w:w="120"/>
            </w:tcMar>
            <w:vAlign w:val="center"/>
          </w:tcPr>
          <w:p>
            <w:pPr>
              <w:jc w:val="both"/>
            </w:pPr>
            <w:r>
              <w:rPr>
                <w:rFonts w:ascii="Segoe UI" w:cs="Segoe UI" w:eastAsia="Segoe UI" w:hAnsi="Segoe UI"/>
                <w:b w:val="false"/>
                <w:bCs w:val="false"/>
                <w:color w:val="000000"/>
                <w:sz w:val="20"/>
                <w:szCs w:val="20"/>
              </w:rPr>
              <w:t xml:space="preserve">Plataforma todo en uno: interfaz de conversación, motor de ejecución de modelos, generador de embeddings y base de datos vectorial integrados. Es la única instalación obligatoria.</w:t>
            </w:r>
          </w:p>
        </w:tc>
        <w:tc>
          <w:tcPr>
            <w:tcW w:type="dxa" w:w="1700"/>
            <w:tcBorders>
              <w:top w:val="single" w:color="B9C0D0" w:sz="4"/>
              <w:left w:val="single" w:color="B9C0D0" w:sz="4"/>
              <w:bottom w:val="single" w:color="B9C0D0" w:sz="4"/>
              <w:right w:val="single" w:color="B9C0D0" w:sz="4"/>
            </w:tcBorders>
            <w:shd w:fill="F4F6FA" w:val="clear"/>
            <w:tcMar>
              <w:top w:type="dxa" w:w="80"/>
              <w:left w:type="dxa" w:w="120"/>
              <w:bottom w:type="dxa" w:w="80"/>
              <w:right w:type="dxa" w:w="120"/>
            </w:tcMar>
            <w:vAlign w:val="center"/>
          </w:tcPr>
          <w:p>
            <w:pPr>
              <w:jc w:val="center"/>
            </w:pPr>
            <w:r>
              <w:rPr>
                <w:rFonts w:ascii="Segoe UI" w:cs="Segoe UI" w:eastAsia="Segoe UI" w:hAnsi="Segoe UI"/>
                <w:b w:val="false"/>
                <w:bCs w:val="false"/>
                <w:color w:val="000000"/>
                <w:sz w:val="20"/>
                <w:szCs w:val="20"/>
              </w:rPr>
              <w:t xml:space="preserve">Gratuita (licencia MIT)</w:t>
            </w:r>
          </w:p>
        </w:tc>
      </w:tr>
      <w:tr>
        <w:tc>
          <w:tcPr>
            <w:tcW w:type="dxa" w:w="2400"/>
            <w:tcBorders>
              <w:top w:val="single" w:color="B9C0D0" w:sz="4"/>
              <w:left w:val="single" w:color="B9C0D0" w:sz="4"/>
              <w:bottom w:val="single" w:color="B9C0D0" w:sz="4"/>
              <w:right w:val="single" w:color="B9C0D0" w:sz="4"/>
            </w:tcBorders>
            <w:shd w:fill="FFFFFF" w:val="clear"/>
            <w:tcMar>
              <w:top w:type="dxa" w:w="80"/>
              <w:left w:type="dxa" w:w="120"/>
              <w:bottom w:type="dxa" w:w="80"/>
              <w:right w:type="dxa" w:w="120"/>
            </w:tcMar>
            <w:vAlign w:val="center"/>
          </w:tcPr>
          <w:p>
            <w:pPr>
              <w:jc w:val="both"/>
            </w:pPr>
            <w:r>
              <w:rPr>
                <w:rFonts w:ascii="Segoe UI" w:cs="Segoe UI" w:eastAsia="Segoe UI" w:hAnsi="Segoe UI"/>
                <w:b/>
                <w:bCs/>
                <w:color w:val="192854"/>
                <w:sz w:val="20"/>
                <w:szCs w:val="20"/>
              </w:rPr>
              <w:t xml:space="preserve">Modelo de lenguaje ligero</w:t>
            </w:r>
          </w:p>
        </w:tc>
        <w:tc>
          <w:tcPr>
            <w:tcW w:type="dxa" w:w="5260"/>
            <w:tcBorders>
              <w:top w:val="single" w:color="B9C0D0" w:sz="4"/>
              <w:left w:val="single" w:color="B9C0D0" w:sz="4"/>
              <w:bottom w:val="single" w:color="B9C0D0" w:sz="4"/>
              <w:right w:val="single" w:color="B9C0D0" w:sz="4"/>
            </w:tcBorders>
            <w:shd w:fill="FFFFFF" w:val="clear"/>
            <w:tcMar>
              <w:top w:type="dxa" w:w="80"/>
              <w:left w:type="dxa" w:w="120"/>
              <w:bottom w:type="dxa" w:w="80"/>
              <w:right w:type="dxa" w:w="120"/>
            </w:tcMar>
            <w:vAlign w:val="center"/>
          </w:tcPr>
          <w:p>
            <w:pPr>
              <w:jc w:val="both"/>
            </w:pPr>
            <w:r>
              <w:rPr>
                <w:rFonts w:ascii="Segoe UI" w:cs="Segoe UI" w:eastAsia="Segoe UI" w:hAnsi="Segoe UI"/>
                <w:b w:val="false"/>
                <w:bCs w:val="false"/>
                <w:color w:val="000000"/>
                <w:sz w:val="20"/>
                <w:szCs w:val="20"/>
              </w:rPr>
              <w:t xml:space="preserve">Modelo LLM en formato GGUF de entre 3 y 4 mil millones de parámetros (p. ej., Llama 3.2 3B Instruct o Gemma de tamaño equivalente), apto para ejecutarse en CPU con 8 GB de RAM. En equipos con 16 GB puede usarse un modelo de 7–8B para mayor calidad.</w:t>
            </w:r>
          </w:p>
        </w:tc>
        <w:tc>
          <w:tcPr>
            <w:tcW w:type="dxa" w:w="1700"/>
            <w:tcBorders>
              <w:top w:val="single" w:color="B9C0D0" w:sz="4"/>
              <w:left w:val="single" w:color="B9C0D0" w:sz="4"/>
              <w:bottom w:val="single" w:color="B9C0D0" w:sz="4"/>
              <w:right w:val="single" w:color="B9C0D0" w:sz="4"/>
            </w:tcBorders>
            <w:shd w:fill="FFFFFF" w:val="clear"/>
            <w:tcMar>
              <w:top w:type="dxa" w:w="80"/>
              <w:left w:type="dxa" w:w="120"/>
              <w:bottom w:type="dxa" w:w="80"/>
              <w:right w:type="dxa" w:w="120"/>
            </w:tcMar>
            <w:vAlign w:val="center"/>
          </w:tcPr>
          <w:p>
            <w:pPr>
              <w:jc w:val="center"/>
            </w:pPr>
            <w:r>
              <w:rPr>
                <w:rFonts w:ascii="Segoe UI" w:cs="Segoe UI" w:eastAsia="Segoe UI" w:hAnsi="Segoe UI"/>
                <w:b w:val="false"/>
                <w:bCs w:val="false"/>
                <w:color w:val="000000"/>
                <w:sz w:val="20"/>
                <w:szCs w:val="20"/>
              </w:rPr>
              <w:t xml:space="preserve">Licencias abiertas</w:t>
            </w:r>
          </w:p>
        </w:tc>
      </w:tr>
      <w:tr>
        <w:tc>
          <w:tcPr>
            <w:tcW w:type="dxa" w:w="2400"/>
            <w:tcBorders>
              <w:top w:val="single" w:color="B9C0D0" w:sz="4"/>
              <w:left w:val="single" w:color="B9C0D0" w:sz="4"/>
              <w:bottom w:val="single" w:color="B9C0D0" w:sz="4"/>
              <w:right w:val="single" w:color="B9C0D0" w:sz="4"/>
            </w:tcBorders>
            <w:shd w:fill="F4F6FA" w:val="clear"/>
            <w:tcMar>
              <w:top w:type="dxa" w:w="80"/>
              <w:left w:type="dxa" w:w="120"/>
              <w:bottom w:type="dxa" w:w="80"/>
              <w:right w:type="dxa" w:w="120"/>
            </w:tcMar>
            <w:vAlign w:val="center"/>
          </w:tcPr>
          <w:p>
            <w:pPr>
              <w:jc w:val="both"/>
            </w:pPr>
            <w:r>
              <w:rPr>
                <w:rFonts w:ascii="Segoe UI" w:cs="Segoe UI" w:eastAsia="Segoe UI" w:hAnsi="Segoe UI"/>
                <w:b/>
                <w:bCs/>
                <w:color w:val="192854"/>
                <w:sz w:val="20"/>
                <w:szCs w:val="20"/>
              </w:rPr>
              <w:t xml:space="preserve">Modelo de embeddings</w:t>
            </w:r>
          </w:p>
        </w:tc>
        <w:tc>
          <w:tcPr>
            <w:tcW w:type="dxa" w:w="5260"/>
            <w:tcBorders>
              <w:top w:val="single" w:color="B9C0D0" w:sz="4"/>
              <w:left w:val="single" w:color="B9C0D0" w:sz="4"/>
              <w:bottom w:val="single" w:color="B9C0D0" w:sz="4"/>
              <w:right w:val="single" w:color="B9C0D0" w:sz="4"/>
            </w:tcBorders>
            <w:shd w:fill="F4F6FA" w:val="clear"/>
            <w:tcMar>
              <w:top w:type="dxa" w:w="80"/>
              <w:left w:type="dxa" w:w="120"/>
              <w:bottom w:type="dxa" w:w="80"/>
              <w:right w:type="dxa" w:w="120"/>
            </w:tcMar>
            <w:vAlign w:val="center"/>
          </w:tcPr>
          <w:p>
            <w:pPr>
              <w:jc w:val="both"/>
            </w:pPr>
            <w:r>
              <w:rPr>
                <w:rFonts w:ascii="Segoe UI" w:cs="Segoe UI" w:eastAsia="Segoe UI" w:hAnsi="Segoe UI"/>
                <w:b w:val="false"/>
                <w:bCs w:val="false"/>
                <w:color w:val="000000"/>
                <w:sz w:val="20"/>
                <w:szCs w:val="20"/>
              </w:rPr>
              <w:t xml:space="preserve">Se utiliza el integrado por defecto en AnythingLLM; no requiere instalación adicional.</w:t>
            </w:r>
          </w:p>
        </w:tc>
        <w:tc>
          <w:tcPr>
            <w:tcW w:type="dxa" w:w="1700"/>
            <w:tcBorders>
              <w:top w:val="single" w:color="B9C0D0" w:sz="4"/>
              <w:left w:val="single" w:color="B9C0D0" w:sz="4"/>
              <w:bottom w:val="single" w:color="B9C0D0" w:sz="4"/>
              <w:right w:val="single" w:color="B9C0D0" w:sz="4"/>
            </w:tcBorders>
            <w:shd w:fill="F4F6FA" w:val="clear"/>
            <w:tcMar>
              <w:top w:type="dxa" w:w="80"/>
              <w:left w:type="dxa" w:w="120"/>
              <w:bottom w:type="dxa" w:w="80"/>
              <w:right w:type="dxa" w:w="120"/>
            </w:tcMar>
            <w:vAlign w:val="center"/>
          </w:tcPr>
          <w:p>
            <w:pPr>
              <w:jc w:val="center"/>
            </w:pPr>
            <w:r>
              <w:rPr>
                <w:rFonts w:ascii="Segoe UI" w:cs="Segoe UI" w:eastAsia="Segoe UI" w:hAnsi="Segoe UI"/>
                <w:b w:val="false"/>
                <w:bCs w:val="false"/>
                <w:color w:val="000000"/>
                <w:sz w:val="20"/>
                <w:szCs w:val="20"/>
              </w:rPr>
              <w:t xml:space="preserve">Incluido</w:t>
            </w:r>
          </w:p>
        </w:tc>
      </w:tr>
      <w:tr>
        <w:tc>
          <w:tcPr>
            <w:tcW w:type="dxa" w:w="2400"/>
            <w:tcBorders>
              <w:top w:val="single" w:color="B9C0D0" w:sz="4"/>
              <w:left w:val="single" w:color="B9C0D0" w:sz="4"/>
              <w:bottom w:val="single" w:color="B9C0D0" w:sz="4"/>
              <w:right w:val="single" w:color="B9C0D0" w:sz="4"/>
            </w:tcBorders>
            <w:shd w:fill="FFFFFF" w:val="clear"/>
            <w:tcMar>
              <w:top w:type="dxa" w:w="80"/>
              <w:left w:type="dxa" w:w="120"/>
              <w:bottom w:type="dxa" w:w="80"/>
              <w:right w:type="dxa" w:w="120"/>
            </w:tcMar>
            <w:vAlign w:val="center"/>
          </w:tcPr>
          <w:p>
            <w:pPr>
              <w:jc w:val="both"/>
            </w:pPr>
            <w:r>
              <w:rPr>
                <w:rFonts w:ascii="Segoe UI" w:cs="Segoe UI" w:eastAsia="Segoe UI" w:hAnsi="Segoe UI"/>
                <w:b/>
                <w:bCs/>
                <w:color w:val="192854"/>
                <w:sz w:val="20"/>
                <w:szCs w:val="20"/>
              </w:rPr>
              <w:t xml:space="preserve">Corpus documental del SNP</w:t>
            </w:r>
          </w:p>
        </w:tc>
        <w:tc>
          <w:tcPr>
            <w:tcW w:type="dxa" w:w="5260"/>
            <w:tcBorders>
              <w:top w:val="single" w:color="B9C0D0" w:sz="4"/>
              <w:left w:val="single" w:color="B9C0D0" w:sz="4"/>
              <w:bottom w:val="single" w:color="B9C0D0" w:sz="4"/>
              <w:right w:val="single" w:color="B9C0D0" w:sz="4"/>
            </w:tcBorders>
            <w:shd w:fill="FFFFFF" w:val="clear"/>
            <w:tcMar>
              <w:top w:type="dxa" w:w="80"/>
              <w:left w:type="dxa" w:w="120"/>
              <w:bottom w:type="dxa" w:w="80"/>
              <w:right w:type="dxa" w:w="120"/>
            </w:tcMar>
            <w:vAlign w:val="center"/>
          </w:tcPr>
          <w:p>
            <w:pPr>
              <w:jc w:val="both"/>
            </w:pPr>
            <w:r>
              <w:rPr>
                <w:rFonts w:ascii="Segoe UI" w:cs="Segoe UI" w:eastAsia="Segoe UI" w:hAnsi="Segoe UI"/>
                <w:b w:val="false"/>
                <w:bCs w:val="false"/>
                <w:color w:val="000000"/>
                <w:sz w:val="20"/>
                <w:szCs w:val="20"/>
              </w:rPr>
              <w:t xml:space="preserve">Los 20 documentos oficiales en PDF, organizados en carpetas por los 7 ciclos del SNP (detalle en el Informe de Avance del Sprint 3).</w:t>
            </w:r>
          </w:p>
        </w:tc>
        <w:tc>
          <w:tcPr>
            <w:tcW w:type="dxa" w:w="1700"/>
            <w:tcBorders>
              <w:top w:val="single" w:color="B9C0D0" w:sz="4"/>
              <w:left w:val="single" w:color="B9C0D0" w:sz="4"/>
              <w:bottom w:val="single" w:color="B9C0D0" w:sz="4"/>
              <w:right w:val="single" w:color="B9C0D0" w:sz="4"/>
            </w:tcBorders>
            <w:shd w:fill="FFFFFF" w:val="clear"/>
            <w:tcMar>
              <w:top w:type="dxa" w:w="80"/>
              <w:left w:type="dxa" w:w="120"/>
              <w:bottom w:type="dxa" w:w="80"/>
              <w:right w:type="dxa" w:w="120"/>
            </w:tcMar>
            <w:vAlign w:val="center"/>
          </w:tcPr>
          <w:p>
            <w:pPr>
              <w:jc w:val="center"/>
            </w:pPr>
            <w:r>
              <w:rPr>
                <w:rFonts w:ascii="Segoe UI" w:cs="Segoe UI" w:eastAsia="Segoe UI" w:hAnsi="Segoe UI"/>
                <w:b w:val="false"/>
                <w:bCs w:val="false"/>
                <w:color w:val="000000"/>
                <w:sz w:val="20"/>
                <w:szCs w:val="20"/>
              </w:rPr>
              <w:t xml:space="preserve">Documentos públicos SEGEPLAN</w:t>
            </w:r>
          </w:p>
        </w:tc>
      </w:tr>
      <w:tr>
        <w:tc>
          <w:tcPr>
            <w:tcW w:type="dxa" w:w="2400"/>
            <w:tcBorders>
              <w:top w:val="single" w:color="B9C0D0" w:sz="4"/>
              <w:left w:val="single" w:color="B9C0D0" w:sz="4"/>
              <w:bottom w:val="single" w:color="B9C0D0" w:sz="4"/>
              <w:right w:val="single" w:color="B9C0D0" w:sz="4"/>
            </w:tcBorders>
            <w:shd w:fill="F4F6FA" w:val="clear"/>
            <w:tcMar>
              <w:top w:type="dxa" w:w="80"/>
              <w:left w:type="dxa" w:w="120"/>
              <w:bottom w:type="dxa" w:w="80"/>
              <w:right w:type="dxa" w:w="120"/>
            </w:tcMar>
            <w:vAlign w:val="center"/>
          </w:tcPr>
          <w:p>
            <w:pPr>
              <w:jc w:val="both"/>
            </w:pPr>
            <w:r>
              <w:rPr>
                <w:rFonts w:ascii="Segoe UI" w:cs="Segoe UI" w:eastAsia="Segoe UI" w:hAnsi="Segoe UI"/>
                <w:b/>
                <w:bCs/>
                <w:color w:val="192854"/>
                <w:sz w:val="20"/>
                <w:szCs w:val="20"/>
              </w:rPr>
              <w:t xml:space="preserve">Memoria USB (≥ 16 GB)</w:t>
            </w:r>
          </w:p>
        </w:tc>
        <w:tc>
          <w:tcPr>
            <w:tcW w:type="dxa" w:w="5260"/>
            <w:tcBorders>
              <w:top w:val="single" w:color="B9C0D0" w:sz="4"/>
              <w:left w:val="single" w:color="B9C0D0" w:sz="4"/>
              <w:bottom w:val="single" w:color="B9C0D0" w:sz="4"/>
              <w:right w:val="single" w:color="B9C0D0" w:sz="4"/>
            </w:tcBorders>
            <w:shd w:fill="F4F6FA" w:val="clear"/>
            <w:tcMar>
              <w:top w:type="dxa" w:w="80"/>
              <w:left w:type="dxa" w:w="120"/>
              <w:bottom w:type="dxa" w:w="80"/>
              <w:right w:type="dxa" w:w="120"/>
            </w:tcMar>
            <w:vAlign w:val="center"/>
          </w:tcPr>
          <w:p>
            <w:pPr>
              <w:jc w:val="both"/>
            </w:pPr>
            <w:r>
              <w:rPr>
                <w:rFonts w:ascii="Segoe UI" w:cs="Segoe UI" w:eastAsia="Segoe UI" w:hAnsi="Segoe UI"/>
                <w:b w:val="false"/>
                <w:bCs w:val="false"/>
                <w:color w:val="000000"/>
                <w:sz w:val="20"/>
                <w:szCs w:val="20"/>
              </w:rPr>
              <w:t xml:space="preserve">Kit offline de distribución: instalador de la plataforma, archivo del modelo y carpeta del corpus. Permite replicar la instalación sin conexión a internet.</w:t>
            </w:r>
          </w:p>
        </w:tc>
        <w:tc>
          <w:tcPr>
            <w:tcW w:type="dxa" w:w="1700"/>
            <w:tcBorders>
              <w:top w:val="single" w:color="B9C0D0" w:sz="4"/>
              <w:left w:val="single" w:color="B9C0D0" w:sz="4"/>
              <w:bottom w:val="single" w:color="B9C0D0" w:sz="4"/>
              <w:right w:val="single" w:color="B9C0D0" w:sz="4"/>
            </w:tcBorders>
            <w:shd w:fill="F4F6FA" w:val="clear"/>
            <w:tcMar>
              <w:top w:type="dxa" w:w="80"/>
              <w:left w:type="dxa" w:w="120"/>
              <w:bottom w:type="dxa" w:w="80"/>
              <w:right w:type="dxa" w:w="120"/>
            </w:tcMar>
            <w:vAlign w:val="center"/>
          </w:tcPr>
          <w:p>
            <w:pPr>
              <w:jc w:val="center"/>
            </w:pPr>
            <w:r>
              <w:rPr>
                <w:rFonts w:ascii="Segoe UI" w:cs="Segoe UI" w:eastAsia="Segoe UI" w:hAnsi="Segoe UI"/>
                <w:b w:val="false"/>
                <w:bCs w:val="false"/>
                <w:color w:val="000000"/>
                <w:sz w:val="20"/>
                <w:szCs w:val="20"/>
              </w:rPr>
              <w:t xml:space="preserve">—</w:t>
            </w:r>
          </w:p>
        </w:tc>
      </w:tr>
      <w:tr>
        <w:tc>
          <w:tcPr>
            <w:tcW w:type="dxa" w:w="2400"/>
            <w:tcBorders>
              <w:top w:val="single" w:color="B9C0D0" w:sz="4"/>
              <w:left w:val="single" w:color="B9C0D0" w:sz="4"/>
              <w:bottom w:val="single" w:color="B9C0D0" w:sz="4"/>
              <w:right w:val="single" w:color="B9C0D0" w:sz="4"/>
            </w:tcBorders>
            <w:shd w:fill="FFFFFF" w:val="clear"/>
            <w:tcMar>
              <w:top w:type="dxa" w:w="80"/>
              <w:left w:type="dxa" w:w="120"/>
              <w:bottom w:type="dxa" w:w="80"/>
              <w:right w:type="dxa" w:w="120"/>
            </w:tcMar>
            <w:vAlign w:val="center"/>
          </w:tcPr>
          <w:p>
            <w:pPr>
              <w:jc w:val="both"/>
            </w:pPr>
            <w:r>
              <w:rPr>
                <w:rFonts w:ascii="Segoe UI" w:cs="Segoe UI" w:eastAsia="Segoe UI" w:hAnsi="Segoe UI"/>
                <w:b/>
                <w:bCs/>
                <w:color w:val="192854"/>
                <w:sz w:val="20"/>
                <w:szCs w:val="20"/>
              </w:rPr>
              <w:t xml:space="preserve">Ollama (opcional, avanzado)</w:t>
            </w:r>
          </w:p>
        </w:tc>
        <w:tc>
          <w:tcPr>
            <w:tcW w:type="dxa" w:w="5260"/>
            <w:tcBorders>
              <w:top w:val="single" w:color="B9C0D0" w:sz="4"/>
              <w:left w:val="single" w:color="B9C0D0" w:sz="4"/>
              <w:bottom w:val="single" w:color="B9C0D0" w:sz="4"/>
              <w:right w:val="single" w:color="B9C0D0" w:sz="4"/>
            </w:tcBorders>
            <w:shd w:fill="FFFFFF" w:val="clear"/>
            <w:tcMar>
              <w:top w:type="dxa" w:w="80"/>
              <w:left w:type="dxa" w:w="120"/>
              <w:bottom w:type="dxa" w:w="80"/>
              <w:right w:type="dxa" w:w="120"/>
            </w:tcMar>
            <w:vAlign w:val="center"/>
          </w:tcPr>
          <w:p>
            <w:pPr>
              <w:jc w:val="both"/>
            </w:pPr>
            <w:r>
              <w:rPr>
                <w:rFonts w:ascii="Segoe UI" w:cs="Segoe UI" w:eastAsia="Segoe UI" w:hAnsi="Segoe UI"/>
                <w:b w:val="false"/>
                <w:bCs w:val="false"/>
                <w:color w:val="000000"/>
                <w:sz w:val="20"/>
                <w:szCs w:val="20"/>
              </w:rPr>
              <w:t xml:space="preserve">Motor alternativo de ejecución de modelos por línea de comandos, útil para usuarios técnicos o para administrar varios modelos. No es necesario para el taller.</w:t>
            </w:r>
          </w:p>
        </w:tc>
        <w:tc>
          <w:tcPr>
            <w:tcW w:type="dxa" w:w="1700"/>
            <w:tcBorders>
              <w:top w:val="single" w:color="B9C0D0" w:sz="4"/>
              <w:left w:val="single" w:color="B9C0D0" w:sz="4"/>
              <w:bottom w:val="single" w:color="B9C0D0" w:sz="4"/>
              <w:right w:val="single" w:color="B9C0D0" w:sz="4"/>
            </w:tcBorders>
            <w:shd w:fill="FFFFFF" w:val="clear"/>
            <w:tcMar>
              <w:top w:type="dxa" w:w="80"/>
              <w:left w:type="dxa" w:w="120"/>
              <w:bottom w:type="dxa" w:w="80"/>
              <w:right w:type="dxa" w:w="120"/>
            </w:tcMar>
            <w:vAlign w:val="center"/>
          </w:tcPr>
          <w:p>
            <w:pPr>
              <w:jc w:val="center"/>
            </w:pPr>
            <w:r>
              <w:rPr>
                <w:rFonts w:ascii="Segoe UI" w:cs="Segoe UI" w:eastAsia="Segoe UI" w:hAnsi="Segoe UI"/>
                <w:b w:val="false"/>
                <w:bCs w:val="false"/>
                <w:color w:val="000000"/>
                <w:sz w:val="20"/>
                <w:szCs w:val="20"/>
              </w:rPr>
              <w:t xml:space="preserve">Gratuita (licencia MIT)</w:t>
            </w:r>
          </w:p>
        </w:tc>
      </w:tr>
    </w:tbl>
    <w:p>
      <w:pPr>
        <w:spacing w:after="60" w:before="0" w:line="276"/>
        <w:jc w:val="both"/>
      </w:pPr>
      <w:r>
        <w:rPr>
          <w:rFonts w:ascii="Segoe UI" w:cs="Segoe UI" w:eastAsia="Segoe UI" w:hAnsi="Segoe UI"/>
          <w:b w:val="false"/>
          <w:bCs w:val="false"/>
          <w:i w:val="false"/>
          <w:iCs w:val="false"/>
          <w:color w:val="000000"/>
          <w:sz w:val="22"/>
          <w:szCs w:val="22"/>
        </w:rPr>
        <w:t xml:space="preserve"/>
      </w:r>
    </w:p>
    <w:p>
      <w:r>
        <w:br w:type="page"/>
      </w:r>
    </w:p>
    <w:p>
      <w:pPr>
        <w:spacing w:after="160" w:before="300"/>
      </w:pPr>
      <w:r>
        <w:rPr>
          <w:rFonts w:ascii="Segoe UI" w:cs="Segoe UI" w:eastAsia="Segoe UI" w:hAnsi="Segoe UI"/>
          <w:b/>
          <w:bCs/>
          <w:color w:val="192854"/>
          <w:sz w:val="26"/>
          <w:szCs w:val="26"/>
        </w:rPr>
        <w:t xml:space="preserve">6. Procedimiento de instalación y configuración (manual)</w:t>
      </w:r>
    </w:p>
    <w:p>
      <w:pPr>
        <w:spacing w:after="120" w:before="220"/>
      </w:pPr>
      <w:r>
        <w:rPr>
          <w:rFonts w:ascii="Segoe UI" w:cs="Segoe UI" w:eastAsia="Segoe UI" w:hAnsi="Segoe UI"/>
          <w:b/>
          <w:bCs/>
          <w:color w:val="4993cc"/>
          <w:sz w:val="23"/>
          <w:szCs w:val="23"/>
        </w:rPr>
        <w:t xml:space="preserve">Fase 1. Preparación y aprovisionamiento (previa al taller — DFCSNP / DSI)</w:t>
      </w:r>
    </w:p>
    <w:p>
      <w:pPr>
        <w:pStyle w:val="ListParagraph"/>
        <w:numPr>
          <w:ilvl w:val="0"/>
          <w:numId w:val="2"/>
        </w:numPr>
        <w:spacing w:after="90" w:line="276"/>
        <w:jc w:val="both"/>
      </w:pPr>
      <w:r>
        <w:rPr>
          <w:rFonts w:ascii="Segoe UI" w:cs="Segoe UI" w:eastAsia="Segoe UI" w:hAnsi="Segoe UI"/>
          <w:sz w:val="22"/>
          <w:szCs w:val="22"/>
        </w:rPr>
        <w:t xml:space="preserve"> Descargar, desde un equipo con internet, el instalador de AnythingLLM Desktop para Windows desde el sitio oficial del proyecto.</w:t>
      </w:r>
    </w:p>
    <w:p>
      <w:pPr>
        <w:pStyle w:val="ListParagraph"/>
        <w:numPr>
          <w:ilvl w:val="0"/>
          <w:numId w:val="2"/>
        </w:numPr>
        <w:spacing w:after="90" w:line="276"/>
        <w:jc w:val="both"/>
      </w:pPr>
      <w:r>
        <w:rPr>
          <w:rFonts w:ascii="Segoe UI" w:cs="Segoe UI" w:eastAsia="Segoe UI" w:hAnsi="Segoe UI"/>
          <w:sz w:val="22"/>
          <w:szCs w:val="22"/>
        </w:rPr>
        <w:t xml:space="preserve"> Descargar el archivo del modelo de lenguaje seleccionado (formato GGUF, 3–4B de parámetros) desde su repositorio oficial.</w:t>
      </w:r>
    </w:p>
    <w:p>
      <w:pPr>
        <w:pStyle w:val="ListParagraph"/>
        <w:numPr>
          <w:ilvl w:val="0"/>
          <w:numId w:val="2"/>
        </w:numPr>
        <w:spacing w:after="90" w:line="276"/>
        <w:jc w:val="both"/>
      </w:pPr>
      <w:r>
        <w:rPr>
          <w:rFonts w:ascii="Segoe UI" w:cs="Segoe UI" w:eastAsia="Segoe UI" w:hAnsi="Segoe UI"/>
          <w:sz w:val="22"/>
          <w:szCs w:val="22"/>
        </w:rPr>
        <w:t xml:space="preserve"> Conformar la carpeta «Corpus_SNP» con los 20 documentos oficiales en PDF, organizados en subcarpetas por ciclo del SNP y con nombres de archivo descriptivos.</w:t>
      </w:r>
    </w:p>
    <w:p>
      <w:pPr>
        <w:pStyle w:val="ListParagraph"/>
        <w:numPr>
          <w:ilvl w:val="0"/>
          <w:numId w:val="2"/>
        </w:numPr>
        <w:spacing w:after="90" w:line="276"/>
        <w:jc w:val="both"/>
      </w:pPr>
      <w:r>
        <w:rPr>
          <w:rFonts w:ascii="Segoe UI" w:cs="Segoe UI" w:eastAsia="Segoe UI" w:hAnsi="Segoe UI"/>
          <w:sz w:val="22"/>
          <w:szCs w:val="22"/>
        </w:rPr>
        <w:t xml:space="preserve"> Verificar que todos los PDF contengan texto seleccionable (no imágenes escaneadas sin OCR).</w:t>
      </w:r>
    </w:p>
    <w:p>
      <w:pPr>
        <w:pStyle w:val="ListParagraph"/>
        <w:numPr>
          <w:ilvl w:val="0"/>
          <w:numId w:val="2"/>
        </w:numPr>
        <w:spacing w:after="90" w:line="276"/>
        <w:jc w:val="both"/>
      </w:pPr>
      <w:r>
        <w:rPr>
          <w:rFonts w:ascii="Segoe UI" w:cs="Segoe UI" w:eastAsia="Segoe UI" w:hAnsi="Segoe UI"/>
          <w:sz w:val="22"/>
          <w:szCs w:val="22"/>
        </w:rPr>
        <w:t xml:space="preserve"> Replicar en las memorias USB el kit offline con tres elementos: instalador, archivo del modelo y carpeta «Corpus_SNP».</w:t>
      </w:r>
    </w:p>
    <w:p>
      <w:pPr>
        <w:pStyle w:val="ListParagraph"/>
        <w:numPr>
          <w:ilvl w:val="0"/>
          <w:numId w:val="2"/>
        </w:numPr>
        <w:spacing w:after="90" w:line="276"/>
        <w:jc w:val="both"/>
      </w:pPr>
      <w:r>
        <w:rPr>
          <w:rFonts w:ascii="Segoe UI" w:cs="Segoe UI" w:eastAsia="Segoe UI" w:hAnsi="Segoe UI"/>
          <w:sz w:val="22"/>
          <w:szCs w:val="22"/>
        </w:rPr>
        <w:t xml:space="preserve"> Realizar una prueba piloto completa del procedimiento en un equipo institucional estándar y cronometrar su duración.</w:t>
      </w:r>
    </w:p>
    <w:p>
      <w:pPr>
        <w:spacing w:after="120" w:before="220"/>
      </w:pPr>
      <w:r>
        <w:rPr>
          <w:rFonts w:ascii="Segoe UI" w:cs="Segoe UI" w:eastAsia="Segoe UI" w:hAnsi="Segoe UI"/>
          <w:b/>
          <w:bCs/>
          <w:color w:val="4993cc"/>
          <w:sz w:val="23"/>
          <w:szCs w:val="23"/>
        </w:rPr>
        <w:t xml:space="preserve">Fase 2. Instalación de la plataforma (durante el taller)</w:t>
      </w:r>
    </w:p>
    <w:p>
      <w:pPr>
        <w:pStyle w:val="ListParagraph"/>
        <w:numPr>
          <w:ilvl w:val="0"/>
          <w:numId w:val="3"/>
        </w:numPr>
        <w:spacing w:after="90" w:line="276"/>
        <w:jc w:val="both"/>
      </w:pPr>
      <w:r>
        <w:rPr>
          <w:rFonts w:ascii="Segoe UI" w:cs="Segoe UI" w:eastAsia="Segoe UI" w:hAnsi="Segoe UI"/>
          <w:sz w:val="22"/>
          <w:szCs w:val="22"/>
        </w:rPr>
        <w:t xml:space="preserve"> Conectar la memoria USB y copiar el contenido del kit a la carpeta «Documentos» del equipo.</w:t>
      </w:r>
    </w:p>
    <w:p>
      <w:pPr>
        <w:pStyle w:val="ListParagraph"/>
        <w:numPr>
          <w:ilvl w:val="0"/>
          <w:numId w:val="3"/>
        </w:numPr>
        <w:spacing w:after="90" w:line="276"/>
        <w:jc w:val="both"/>
      </w:pPr>
      <w:r>
        <w:rPr>
          <w:rFonts w:ascii="Segoe UI" w:cs="Segoe UI" w:eastAsia="Segoe UI" w:hAnsi="Segoe UI"/>
          <w:sz w:val="22"/>
          <w:szCs w:val="22"/>
        </w:rPr>
        <w:t xml:space="preserve"> Ejecutar el instalador de AnythingLLM Desktop con doble clic y aceptar las opciones predeterminadas del asistente.</w:t>
      </w:r>
    </w:p>
    <w:p>
      <w:pPr>
        <w:pStyle w:val="ListParagraph"/>
        <w:numPr>
          <w:ilvl w:val="0"/>
          <w:numId w:val="3"/>
        </w:numPr>
        <w:spacing w:after="90" w:line="276"/>
        <w:jc w:val="both"/>
      </w:pPr>
      <w:r>
        <w:rPr>
          <w:rFonts w:ascii="Segoe UI" w:cs="Segoe UI" w:eastAsia="Segoe UI" w:hAnsi="Segoe UI"/>
          <w:sz w:val="22"/>
          <w:szCs w:val="22"/>
        </w:rPr>
        <w:t xml:space="preserve"> Si Windows muestra una advertencia de seguridad, seleccionar «Más información» y luego «Ejecutar de todas formas».</w:t>
      </w:r>
    </w:p>
    <w:p>
      <w:pPr>
        <w:pStyle w:val="ListParagraph"/>
        <w:numPr>
          <w:ilvl w:val="0"/>
          <w:numId w:val="3"/>
        </w:numPr>
        <w:spacing w:after="90" w:line="276"/>
        <w:jc w:val="both"/>
      </w:pPr>
      <w:r>
        <w:rPr>
          <w:rFonts w:ascii="Segoe UI" w:cs="Segoe UI" w:eastAsia="Segoe UI" w:hAnsi="Segoe UI"/>
          <w:sz w:val="22"/>
          <w:szCs w:val="22"/>
        </w:rPr>
        <w:t xml:space="preserve"> Al finalizar, abrir la aplicación desde el acceso directo creado en el escritorio.</w:t>
      </w:r>
    </w:p>
    <w:p>
      <w:pPr>
        <w:spacing w:after="120" w:before="220"/>
      </w:pPr>
      <w:r>
        <w:rPr>
          <w:rFonts w:ascii="Segoe UI" w:cs="Segoe UI" w:eastAsia="Segoe UI" w:hAnsi="Segoe UI"/>
          <w:b/>
          <w:bCs/>
          <w:color w:val="4993cc"/>
          <w:sz w:val="23"/>
          <w:szCs w:val="23"/>
        </w:rPr>
        <w:t xml:space="preserve">Fase 3. Configuración del modelo local</w:t>
      </w:r>
    </w:p>
    <w:p>
      <w:pPr>
        <w:pStyle w:val="ListParagraph"/>
        <w:numPr>
          <w:ilvl w:val="0"/>
          <w:numId w:val="4"/>
        </w:numPr>
        <w:spacing w:after="90" w:line="276"/>
        <w:jc w:val="both"/>
      </w:pPr>
      <w:r>
        <w:rPr>
          <w:rFonts w:ascii="Segoe UI" w:cs="Segoe UI" w:eastAsia="Segoe UI" w:hAnsi="Segoe UI"/>
          <w:sz w:val="22"/>
          <w:szCs w:val="22"/>
        </w:rPr>
        <w:t xml:space="preserve"> En el asistente inicial de la aplicación, seleccionar como proveedor de modelo la opción interna de AnythingLLM (ejecución local).</w:t>
      </w:r>
    </w:p>
    <w:p>
      <w:pPr>
        <w:pStyle w:val="ListParagraph"/>
        <w:numPr>
          <w:ilvl w:val="0"/>
          <w:numId w:val="4"/>
        </w:numPr>
        <w:spacing w:after="90" w:line="276"/>
        <w:jc w:val="both"/>
      </w:pPr>
      <w:r>
        <w:rPr>
          <w:rFonts w:ascii="Segoe UI" w:cs="Segoe UI" w:eastAsia="Segoe UI" w:hAnsi="Segoe UI"/>
          <w:sz w:val="22"/>
          <w:szCs w:val="22"/>
        </w:rPr>
        <w:t xml:space="preserve"> Importar el archivo del modelo copiado desde el kit, o seleccionarlo de la lista si la plataforma lo detecta automáticamente.</w:t>
      </w:r>
    </w:p>
    <w:p>
      <w:pPr>
        <w:pStyle w:val="ListParagraph"/>
        <w:numPr>
          <w:ilvl w:val="0"/>
          <w:numId w:val="4"/>
        </w:numPr>
        <w:spacing w:after="90" w:line="276"/>
        <w:jc w:val="both"/>
      </w:pPr>
      <w:r>
        <w:rPr>
          <w:rFonts w:ascii="Segoe UI" w:cs="Segoe UI" w:eastAsia="Segoe UI" w:hAnsi="Segoe UI"/>
          <w:sz w:val="22"/>
          <w:szCs w:val="22"/>
        </w:rPr>
        <w:t xml:space="preserve"> Conservar la configuración predeterminada del modelo de embeddings y de la base de datos vectorial, que operan integrados y en local.</w:t>
      </w:r>
    </w:p>
    <w:p>
      <w:pPr>
        <w:pStyle w:val="ListParagraph"/>
        <w:numPr>
          <w:ilvl w:val="0"/>
          <w:numId w:val="4"/>
        </w:numPr>
        <w:spacing w:after="90" w:line="276"/>
        <w:jc w:val="both"/>
      </w:pPr>
      <w:r>
        <w:rPr>
          <w:rFonts w:ascii="Segoe UI" w:cs="Segoe UI" w:eastAsia="Segoe UI" w:hAnsi="Segoe UI"/>
          <w:sz w:val="22"/>
          <w:szCs w:val="22"/>
        </w:rPr>
        <w:t xml:space="preserve"> Confirmar en la sección de privacidad que todos los componentes indican procesamiento local: ni la conversación ni los documentos salen del equipo.</w:t>
      </w:r>
    </w:p>
    <w:p>
      <w:pPr>
        <w:spacing w:after="120" w:before="220"/>
      </w:pPr>
      <w:r>
        <w:rPr>
          <w:rFonts w:ascii="Segoe UI" w:cs="Segoe UI" w:eastAsia="Segoe UI" w:hAnsi="Segoe UI"/>
          <w:b/>
          <w:bCs/>
          <w:color w:val="4993cc"/>
          <w:sz w:val="23"/>
          <w:szCs w:val="23"/>
        </w:rPr>
        <w:t xml:space="preserve">Fase 4. Construcción del entorno documental</w:t>
      </w:r>
    </w:p>
    <w:p>
      <w:pPr>
        <w:pStyle w:val="ListParagraph"/>
        <w:numPr>
          <w:ilvl w:val="0"/>
          <w:numId w:val="5"/>
        </w:numPr>
        <w:spacing w:after="90" w:line="276"/>
        <w:jc w:val="both"/>
      </w:pPr>
      <w:r>
        <w:rPr>
          <w:rFonts w:ascii="Segoe UI" w:cs="Segoe UI" w:eastAsia="Segoe UI" w:hAnsi="Segoe UI"/>
          <w:sz w:val="22"/>
          <w:szCs w:val="22"/>
        </w:rPr>
        <w:t xml:space="preserve"> Crear un nuevo espacio de trabajo con el nombre «SNP».</w:t>
      </w:r>
    </w:p>
    <w:p>
      <w:pPr>
        <w:pStyle w:val="ListParagraph"/>
        <w:numPr>
          <w:ilvl w:val="0"/>
          <w:numId w:val="5"/>
        </w:numPr>
        <w:spacing w:after="90" w:line="276"/>
        <w:jc w:val="both"/>
      </w:pPr>
      <w:r>
        <w:rPr>
          <w:rFonts w:ascii="Segoe UI" w:cs="Segoe UI" w:eastAsia="Segoe UI" w:hAnsi="Segoe UI"/>
          <w:sz w:val="22"/>
          <w:szCs w:val="22"/>
        </w:rPr>
        <w:t xml:space="preserve"> Abrir el gestor de documentos del espacio de trabajo y cargar la carpeta «Corpus_SNP» completa.</w:t>
      </w:r>
    </w:p>
    <w:p>
      <w:pPr>
        <w:pStyle w:val="ListParagraph"/>
        <w:numPr>
          <w:ilvl w:val="0"/>
          <w:numId w:val="5"/>
        </w:numPr>
        <w:spacing w:after="90" w:line="276"/>
        <w:jc w:val="both"/>
      </w:pPr>
      <w:r>
        <w:rPr>
          <w:rFonts w:ascii="Segoe UI" w:cs="Segoe UI" w:eastAsia="Segoe UI" w:hAnsi="Segoe UI"/>
          <w:sz w:val="22"/>
          <w:szCs w:val="22"/>
        </w:rPr>
        <w:t xml:space="preserve"> Mover los 20 documentos al espacio de trabajo y ejecutar la opción de guardar y vectorizar («Save and Embed»).</w:t>
      </w:r>
    </w:p>
    <w:p>
      <w:pPr>
        <w:pStyle w:val="ListParagraph"/>
        <w:numPr>
          <w:ilvl w:val="0"/>
          <w:numId w:val="5"/>
        </w:numPr>
        <w:spacing w:after="90" w:line="276"/>
        <w:jc w:val="both"/>
      </w:pPr>
      <w:r>
        <w:rPr>
          <w:rFonts w:ascii="Segoe UI" w:cs="Segoe UI" w:eastAsia="Segoe UI" w:hAnsi="Segoe UI"/>
          <w:sz w:val="22"/>
          <w:szCs w:val="22"/>
        </w:rPr>
        <w:t xml:space="preserve"> Esperar a que concluya el procesamiento; según el equipo, la vectorización del corpus completo toma entre 5 y 15 minutos.</w:t>
      </w:r>
    </w:p>
    <w:p>
      <w:pPr>
        <w:pStyle w:val="ListParagraph"/>
        <w:numPr>
          <w:ilvl w:val="0"/>
          <w:numId w:val="5"/>
        </w:numPr>
        <w:spacing w:after="90" w:line="276"/>
        <w:jc w:val="both"/>
      </w:pPr>
      <w:r>
        <w:rPr>
          <w:rFonts w:ascii="Segoe UI" w:cs="Segoe UI" w:eastAsia="Segoe UI" w:hAnsi="Segoe UI"/>
          <w:sz w:val="22"/>
          <w:szCs w:val="22"/>
        </w:rPr>
        <w:t xml:space="preserve"> Verificar que los 20 documentos aparezcan anclados al espacio de trabajo sin indicadores de error.</w:t>
      </w:r>
    </w:p>
    <w:p>
      <w:pPr>
        <w:spacing w:after="120" w:before="220"/>
      </w:pPr>
      <w:r>
        <w:rPr>
          <w:rFonts w:ascii="Segoe UI" w:cs="Segoe UI" w:eastAsia="Segoe UI" w:hAnsi="Segoe UI"/>
          <w:b/>
          <w:bCs/>
          <w:color w:val="4993cc"/>
          <w:sz w:val="23"/>
          <w:szCs w:val="23"/>
        </w:rPr>
        <w:t xml:space="preserve">Fase 5. Verificación y uso</w:t>
      </w:r>
    </w:p>
    <w:p>
      <w:pPr>
        <w:pStyle w:val="ListParagraph"/>
        <w:numPr>
          <w:ilvl w:val="0"/>
          <w:numId w:val="6"/>
        </w:numPr>
        <w:spacing w:after="90" w:line="276"/>
        <w:jc w:val="both"/>
      </w:pPr>
      <w:r>
        <w:rPr>
          <w:rFonts w:ascii="Segoe UI" w:cs="Segoe UI" w:eastAsia="Segoe UI" w:hAnsi="Segoe UI"/>
          <w:sz w:val="22"/>
          <w:szCs w:val="22"/>
        </w:rPr>
        <w:t xml:space="preserve"> Formular en el chat del espacio de trabajo «SNP» los prompts de validación de la sección 7 y comprobar que las respuestas citen los documentos fuente.</w:t>
      </w:r>
    </w:p>
    <w:p>
      <w:pPr>
        <w:pStyle w:val="ListParagraph"/>
        <w:numPr>
          <w:ilvl w:val="0"/>
          <w:numId w:val="6"/>
        </w:numPr>
        <w:spacing w:after="90" w:line="276"/>
        <w:jc w:val="both"/>
      </w:pPr>
      <w:r>
        <w:rPr>
          <w:rFonts w:ascii="Segoe UI" w:cs="Segoe UI" w:eastAsia="Segoe UI" w:hAnsi="Segoe UI"/>
          <w:sz w:val="22"/>
          <w:szCs w:val="22"/>
        </w:rPr>
        <w:t xml:space="preserve"> Verificar el funcionamiento sin conexión: desactivar el wifi del equipo y repetir una consulta.</w:t>
      </w:r>
    </w:p>
    <w:p>
      <w:pPr>
        <w:pStyle w:val="ListParagraph"/>
        <w:numPr>
          <w:ilvl w:val="0"/>
          <w:numId w:val="6"/>
        </w:numPr>
        <w:spacing w:after="90" w:line="276"/>
        <w:jc w:val="both"/>
      </w:pPr>
      <w:r>
        <w:rPr>
          <w:rFonts w:ascii="Segoe UI" w:cs="Segoe UI" w:eastAsia="Segoe UI" w:hAnsi="Segoe UI"/>
          <w:sz w:val="22"/>
          <w:szCs w:val="22"/>
        </w:rPr>
        <w:t xml:space="preserve"> Desarrollar el ejercicio práctico de prompting aplicado a la planificación, conforme a la Guía del Participante del Sprint 3.</w:t>
      </w:r>
    </w:p>
    <w:p>
      <w:pPr>
        <w:spacing w:after="160" w:before="300"/>
      </w:pPr>
      <w:r>
        <w:rPr>
          <w:rFonts w:ascii="Segoe UI" w:cs="Segoe UI" w:eastAsia="Segoe UI" w:hAnsi="Segoe UI"/>
          <w:b/>
          <w:bCs/>
          <w:color w:val="192854"/>
          <w:sz w:val="26"/>
          <w:szCs w:val="26"/>
        </w:rPr>
        <w:t xml:space="preserve">7. Prompts de verificación sugeridos</w:t>
      </w:r>
    </w:p>
    <w:p>
      <w:pPr>
        <w:pStyle w:val="ListParagraph"/>
        <w:numPr>
          <w:ilvl w:val="0"/>
          <w:numId w:val="7"/>
        </w:numPr>
        <w:spacing w:after="90" w:line="276"/>
        <w:jc w:val="both"/>
      </w:pPr>
      <w:r>
        <w:rPr>
          <w:rFonts w:ascii="Segoe UI" w:cs="Segoe UI" w:eastAsia="Segoe UI" w:hAnsi="Segoe UI"/>
          <w:sz w:val="22"/>
          <w:szCs w:val="22"/>
        </w:rPr>
        <w:t xml:space="preserve">«Según la Guía POM – POA, ¿cuáles son los pasos para formular el Plan Operativo Anual y cómo se vincula con el presupuesto?»</w:t>
      </w:r>
    </w:p>
    <w:p>
      <w:pPr>
        <w:pStyle w:val="ListParagraph"/>
        <w:numPr>
          <w:ilvl w:val="0"/>
          <w:numId w:val="7"/>
        </w:numPr>
        <w:spacing w:after="90" w:line="276"/>
        <w:jc w:val="both"/>
      </w:pPr>
      <w:r>
        <w:rPr>
          <w:rFonts w:ascii="Segoe UI" w:cs="Segoe UI" w:eastAsia="Segoe UI" w:hAnsi="Segoe UI"/>
          <w:sz w:val="22"/>
          <w:szCs w:val="22"/>
        </w:rPr>
        <w:t xml:space="preserve">«¿Qué criterios establece la Guía básica para la construcción de indicadores para que un indicador sea adecuado? Cita el documento fuente.»</w:t>
      </w:r>
    </w:p>
    <w:p>
      <w:pPr>
        <w:pStyle w:val="ListParagraph"/>
        <w:numPr>
          <w:ilvl w:val="0"/>
          <w:numId w:val="7"/>
        </w:numPr>
        <w:spacing w:after="90" w:line="276"/>
        <w:jc w:val="both"/>
      </w:pPr>
      <w:r>
        <w:rPr>
          <w:rFonts w:ascii="Segoe UI" w:cs="Segoe UI" w:eastAsia="Segoe UI" w:hAnsi="Segoe UI"/>
          <w:sz w:val="22"/>
          <w:szCs w:val="22"/>
        </w:rPr>
        <w:t xml:space="preserve">«Resume las fases del ciclo de inversión pública conforme a las Normas SNIP y el Marco Conceptual del SNIP.»</w:t>
      </w:r>
    </w:p>
    <w:p>
      <w:pPr>
        <w:pStyle w:val="ListParagraph"/>
        <w:numPr>
          <w:ilvl w:val="0"/>
          <w:numId w:val="7"/>
        </w:numPr>
        <w:spacing w:after="90" w:line="276"/>
        <w:jc w:val="both"/>
      </w:pPr>
      <w:r>
        <w:rPr>
          <w:rFonts w:ascii="Segoe UI" w:cs="Segoe UI" w:eastAsia="Segoe UI" w:hAnsi="Segoe UI"/>
          <w:sz w:val="22"/>
          <w:szCs w:val="22"/>
        </w:rPr>
        <w:t xml:space="preserve">«¿Cómo se articulan los ODS con el PND según la Estrategia de articulación? Indica las metas priorizadas relacionadas con mi institución.»</w:t>
      </w:r>
    </w:p>
    <w:p>
      <w:pPr>
        <w:spacing w:after="160" w:before="0" w:line="276"/>
        <w:jc w:val="both"/>
      </w:pPr>
      <w:r>
        <w:rPr>
          <w:rFonts w:ascii="Segoe UI" w:cs="Segoe UI" w:eastAsia="Segoe UI" w:hAnsi="Segoe UI"/>
          <w:b w:val="false"/>
          <w:bCs w:val="false"/>
          <w:i/>
          <w:iCs/>
          <w:color w:val="555555"/>
          <w:sz w:val="20"/>
          <w:szCs w:val="20"/>
        </w:rPr>
        <w:t xml:space="preserve">Una respuesta correcta debe fundamentarse en los documentos del corpus e identificar las fuentes consultadas. Si el modelo responde con información genérica sin citar documentos, revisar la fase 4.</w:t>
      </w:r>
    </w:p>
    <w:p>
      <w:pPr>
        <w:spacing w:after="160" w:before="300"/>
      </w:pPr>
      <w:r>
        <w:rPr>
          <w:rFonts w:ascii="Segoe UI" w:cs="Segoe UI" w:eastAsia="Segoe UI" w:hAnsi="Segoe UI"/>
          <w:b/>
          <w:bCs/>
          <w:color w:val="192854"/>
          <w:sz w:val="26"/>
          <w:szCs w:val="26"/>
        </w:rPr>
        <w:t xml:space="preserve">8. Solución de problemas comunes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9C0D0" w:sz="4"/>
              <w:left w:val="single" w:color="B9C0D0" w:sz="4"/>
              <w:bottom w:val="single" w:color="B9C0D0" w:sz="4"/>
              <w:right w:val="single" w:color="B9C0D0" w:sz="4"/>
            </w:tcBorders>
            <w:shd w:fill="192854" w:val="clear"/>
            <w:tcMar>
              <w:top w:type="dxa" w:w="80"/>
              <w:left w:type="dxa" w:w="120"/>
              <w:bottom w:type="dxa" w:w="80"/>
              <w:right w:type="dxa" w:w="120"/>
            </w:tcMar>
            <w:vAlign w:val="center"/>
          </w:tcPr>
          <w:p>
            <w:pPr>
              <w:jc w:val="center"/>
            </w:pPr>
            <w:r>
              <w:rPr>
                <w:rFonts w:ascii="Segoe UI" w:cs="Segoe UI" w:eastAsia="Segoe UI" w:hAnsi="Segoe UI"/>
                <w:b/>
                <w:bCs/>
                <w:color w:val="FFFFFF"/>
                <w:sz w:val="21"/>
                <w:szCs w:val="21"/>
              </w:rPr>
              <w:t xml:space="preserve">Situación</w:t>
            </w:r>
          </w:p>
        </w:tc>
        <w:tc>
          <w:tcPr>
            <w:tcW w:type="dxa" w:w="5960"/>
            <w:tcBorders>
              <w:top w:val="single" w:color="B9C0D0" w:sz="4"/>
              <w:left w:val="single" w:color="B9C0D0" w:sz="4"/>
              <w:bottom w:val="single" w:color="B9C0D0" w:sz="4"/>
              <w:right w:val="single" w:color="B9C0D0" w:sz="4"/>
            </w:tcBorders>
            <w:shd w:fill="192854" w:val="clear"/>
            <w:tcMar>
              <w:top w:type="dxa" w:w="80"/>
              <w:left w:type="dxa" w:w="120"/>
              <w:bottom w:type="dxa" w:w="80"/>
              <w:right w:type="dxa" w:w="120"/>
            </w:tcMar>
            <w:vAlign w:val="center"/>
          </w:tcPr>
          <w:p>
            <w:pPr>
              <w:jc w:val="center"/>
            </w:pPr>
            <w:r>
              <w:rPr>
                <w:rFonts w:ascii="Segoe UI" w:cs="Segoe UI" w:eastAsia="Segoe UI" w:hAnsi="Segoe UI"/>
                <w:b/>
                <w:bCs/>
                <w:color w:val="FFFFFF"/>
                <w:sz w:val="21"/>
                <w:szCs w:val="21"/>
              </w:rPr>
              <w:t xml:space="preserve">Solución</w:t>
            </w:r>
          </w:p>
        </w:tc>
      </w:tr>
      <w:tr>
        <w:tc>
          <w:tcPr>
            <w:tcW w:type="dxa" w:w="3400"/>
            <w:tcBorders>
              <w:top w:val="single" w:color="B9C0D0" w:sz="4"/>
              <w:left w:val="single" w:color="B9C0D0" w:sz="4"/>
              <w:bottom w:val="single" w:color="B9C0D0" w:sz="4"/>
              <w:right w:val="single" w:color="B9C0D0" w:sz="4"/>
            </w:tcBorders>
            <w:shd w:fill="F4F6FA" w:val="clear"/>
            <w:tcMar>
              <w:top w:type="dxa" w:w="80"/>
              <w:left w:type="dxa" w:w="120"/>
              <w:bottom w:type="dxa" w:w="80"/>
              <w:right w:type="dxa" w:w="120"/>
            </w:tcMar>
            <w:vAlign w:val="center"/>
          </w:tcPr>
          <w:p>
            <w:pPr>
              <w:jc w:val="both"/>
            </w:pPr>
            <w:r>
              <w:rPr>
                <w:rFonts w:ascii="Segoe UI" w:cs="Segoe UI" w:eastAsia="Segoe UI" w:hAnsi="Segoe UI"/>
                <w:b/>
                <w:bCs/>
                <w:color w:val="192854"/>
                <w:sz w:val="20"/>
                <w:szCs w:val="20"/>
              </w:rPr>
              <w:t xml:space="preserve">El sistema operativo o el antivirus bloquea el instalador</w:t>
            </w:r>
          </w:p>
        </w:tc>
        <w:tc>
          <w:tcPr>
            <w:tcW w:type="dxa" w:w="5960"/>
            <w:tcBorders>
              <w:top w:val="single" w:color="B9C0D0" w:sz="4"/>
              <w:left w:val="single" w:color="B9C0D0" w:sz="4"/>
              <w:bottom w:val="single" w:color="B9C0D0" w:sz="4"/>
              <w:right w:val="single" w:color="B9C0D0" w:sz="4"/>
            </w:tcBorders>
            <w:shd w:fill="F4F6FA" w:val="clear"/>
            <w:tcMar>
              <w:top w:type="dxa" w:w="80"/>
              <w:left w:type="dxa" w:w="120"/>
              <w:bottom w:type="dxa" w:w="80"/>
              <w:right w:type="dxa" w:w="120"/>
            </w:tcMar>
            <w:vAlign w:val="center"/>
          </w:tcPr>
          <w:p>
            <w:pPr>
              <w:jc w:val="both"/>
            </w:pPr>
            <w:r>
              <w:rPr>
                <w:rFonts w:ascii="Segoe UI" w:cs="Segoe UI" w:eastAsia="Segoe UI" w:hAnsi="Segoe UI"/>
                <w:b w:val="false"/>
                <w:bCs w:val="false"/>
                <w:color w:val="000000"/>
                <w:sz w:val="20"/>
                <w:szCs w:val="20"/>
              </w:rPr>
              <w:t xml:space="preserve">Seleccionar «Más información → Ejecutar de todas formas» en la advertencia de Windows, o autorizar el ejecutable desde el antivirus. Coordinar previamente con la DSI la inclusión del instalador en la lista de aplicaciones permitidas.</w:t>
            </w:r>
          </w:p>
        </w:tc>
      </w:tr>
      <w:tr>
        <w:tc>
          <w:tcPr>
            <w:tcW w:type="dxa" w:w="3400"/>
            <w:tcBorders>
              <w:top w:val="single" w:color="B9C0D0" w:sz="4"/>
              <w:left w:val="single" w:color="B9C0D0" w:sz="4"/>
              <w:bottom w:val="single" w:color="B9C0D0" w:sz="4"/>
              <w:right w:val="single" w:color="B9C0D0" w:sz="4"/>
            </w:tcBorders>
            <w:shd w:fill="FFFFFF" w:val="clear"/>
            <w:tcMar>
              <w:top w:type="dxa" w:w="80"/>
              <w:left w:type="dxa" w:w="120"/>
              <w:bottom w:type="dxa" w:w="80"/>
              <w:right w:type="dxa" w:w="120"/>
            </w:tcMar>
            <w:vAlign w:val="center"/>
          </w:tcPr>
          <w:p>
            <w:pPr>
              <w:jc w:val="both"/>
            </w:pPr>
            <w:r>
              <w:rPr>
                <w:rFonts w:ascii="Segoe UI" w:cs="Segoe UI" w:eastAsia="Segoe UI" w:hAnsi="Segoe UI"/>
                <w:b/>
                <w:bCs/>
                <w:color w:val="192854"/>
                <w:sz w:val="20"/>
                <w:szCs w:val="20"/>
              </w:rPr>
              <w:t xml:space="preserve">Las respuestas son muy lentas</w:t>
            </w:r>
          </w:p>
        </w:tc>
        <w:tc>
          <w:tcPr>
            <w:tcW w:type="dxa" w:w="5960"/>
            <w:tcBorders>
              <w:top w:val="single" w:color="B9C0D0" w:sz="4"/>
              <w:left w:val="single" w:color="B9C0D0" w:sz="4"/>
              <w:bottom w:val="single" w:color="B9C0D0" w:sz="4"/>
              <w:right w:val="single" w:color="B9C0D0" w:sz="4"/>
            </w:tcBorders>
            <w:shd w:fill="FFFFFF" w:val="clear"/>
            <w:tcMar>
              <w:top w:type="dxa" w:w="80"/>
              <w:left w:type="dxa" w:w="120"/>
              <w:bottom w:type="dxa" w:w="80"/>
              <w:right w:type="dxa" w:w="120"/>
            </w:tcMar>
            <w:vAlign w:val="center"/>
          </w:tcPr>
          <w:p>
            <w:pPr>
              <w:jc w:val="both"/>
            </w:pPr>
            <w:r>
              <w:rPr>
                <w:rFonts w:ascii="Segoe UI" w:cs="Segoe UI" w:eastAsia="Segoe UI" w:hAnsi="Segoe UI"/>
                <w:b w:val="false"/>
                <w:bCs w:val="false"/>
                <w:color w:val="000000"/>
                <w:sz w:val="20"/>
                <w:szCs w:val="20"/>
              </w:rPr>
              <w:t xml:space="preserve">Cerrar aplicaciones que consuman memoria (navegadores con muchas pestañas, suites ofimáticas). Si persiste, cambiar a un modelo más pequeño (3B) desde la configuración del proveedor.</w:t>
            </w:r>
          </w:p>
        </w:tc>
      </w:tr>
      <w:tr>
        <w:tc>
          <w:tcPr>
            <w:tcW w:type="dxa" w:w="3400"/>
            <w:tcBorders>
              <w:top w:val="single" w:color="B9C0D0" w:sz="4"/>
              <w:left w:val="single" w:color="B9C0D0" w:sz="4"/>
              <w:bottom w:val="single" w:color="B9C0D0" w:sz="4"/>
              <w:right w:val="single" w:color="B9C0D0" w:sz="4"/>
            </w:tcBorders>
            <w:shd w:fill="F4F6FA" w:val="clear"/>
            <w:tcMar>
              <w:top w:type="dxa" w:w="80"/>
              <w:left w:type="dxa" w:w="120"/>
              <w:bottom w:type="dxa" w:w="80"/>
              <w:right w:type="dxa" w:w="120"/>
            </w:tcMar>
            <w:vAlign w:val="center"/>
          </w:tcPr>
          <w:p>
            <w:pPr>
              <w:jc w:val="both"/>
            </w:pPr>
            <w:r>
              <w:rPr>
                <w:rFonts w:ascii="Segoe UI" w:cs="Segoe UI" w:eastAsia="Segoe UI" w:hAnsi="Segoe UI"/>
                <w:b/>
                <w:bCs/>
                <w:color w:val="192854"/>
                <w:sz w:val="20"/>
                <w:szCs w:val="20"/>
              </w:rPr>
              <w:t xml:space="preserve">El modelo responde sin usar los documentos</w:t>
            </w:r>
          </w:p>
        </w:tc>
        <w:tc>
          <w:tcPr>
            <w:tcW w:type="dxa" w:w="5960"/>
            <w:tcBorders>
              <w:top w:val="single" w:color="B9C0D0" w:sz="4"/>
              <w:left w:val="single" w:color="B9C0D0" w:sz="4"/>
              <w:bottom w:val="single" w:color="B9C0D0" w:sz="4"/>
              <w:right w:val="single" w:color="B9C0D0" w:sz="4"/>
            </w:tcBorders>
            <w:shd w:fill="F4F6FA" w:val="clear"/>
            <w:tcMar>
              <w:top w:type="dxa" w:w="80"/>
              <w:left w:type="dxa" w:w="120"/>
              <w:bottom w:type="dxa" w:w="80"/>
              <w:right w:type="dxa" w:w="120"/>
            </w:tcMar>
            <w:vAlign w:val="center"/>
          </w:tcPr>
          <w:p>
            <w:pPr>
              <w:jc w:val="both"/>
            </w:pPr>
            <w:r>
              <w:rPr>
                <w:rFonts w:ascii="Segoe UI" w:cs="Segoe UI" w:eastAsia="Segoe UI" w:hAnsi="Segoe UI"/>
                <w:b w:val="false"/>
                <w:bCs w:val="false"/>
                <w:color w:val="000000"/>
                <w:sz w:val="20"/>
                <w:szCs w:val="20"/>
              </w:rPr>
              <w:t xml:space="preserve">Verificar que los documentos aparezcan anclados al espacio de trabajo «SNP» y que la vectorización haya concluido (sin indicadores de procesamiento pendiente). Reprocesar con «Save and Embed» si es necesario.</w:t>
            </w:r>
          </w:p>
        </w:tc>
      </w:tr>
      <w:tr>
        <w:tc>
          <w:tcPr>
            <w:tcW w:type="dxa" w:w="3400"/>
            <w:tcBorders>
              <w:top w:val="single" w:color="B9C0D0" w:sz="4"/>
              <w:left w:val="single" w:color="B9C0D0" w:sz="4"/>
              <w:bottom w:val="single" w:color="B9C0D0" w:sz="4"/>
              <w:right w:val="single" w:color="B9C0D0" w:sz="4"/>
            </w:tcBorders>
            <w:shd w:fill="FFFFFF" w:val="clear"/>
            <w:tcMar>
              <w:top w:type="dxa" w:w="80"/>
              <w:left w:type="dxa" w:w="120"/>
              <w:bottom w:type="dxa" w:w="80"/>
              <w:right w:type="dxa" w:w="120"/>
            </w:tcMar>
            <w:vAlign w:val="center"/>
          </w:tcPr>
          <w:p>
            <w:pPr>
              <w:jc w:val="both"/>
            </w:pPr>
            <w:r>
              <w:rPr>
                <w:rFonts w:ascii="Segoe UI" w:cs="Segoe UI" w:eastAsia="Segoe UI" w:hAnsi="Segoe UI"/>
                <w:b/>
                <w:bCs/>
                <w:color w:val="192854"/>
                <w:sz w:val="20"/>
                <w:szCs w:val="20"/>
              </w:rPr>
              <w:t xml:space="preserve">Error de memoria insuficiente al cargar el modelo</w:t>
            </w:r>
          </w:p>
        </w:tc>
        <w:tc>
          <w:tcPr>
            <w:tcW w:type="dxa" w:w="5960"/>
            <w:tcBorders>
              <w:top w:val="single" w:color="B9C0D0" w:sz="4"/>
              <w:left w:val="single" w:color="B9C0D0" w:sz="4"/>
              <w:bottom w:val="single" w:color="B9C0D0" w:sz="4"/>
              <w:right w:val="single" w:color="B9C0D0" w:sz="4"/>
            </w:tcBorders>
            <w:shd w:fill="FFFFFF" w:val="clear"/>
            <w:tcMar>
              <w:top w:type="dxa" w:w="80"/>
              <w:left w:type="dxa" w:w="120"/>
              <w:bottom w:type="dxa" w:w="80"/>
              <w:right w:type="dxa" w:w="120"/>
            </w:tcMar>
            <w:vAlign w:val="center"/>
          </w:tcPr>
          <w:p>
            <w:pPr>
              <w:jc w:val="both"/>
            </w:pPr>
            <w:r>
              <w:rPr>
                <w:rFonts w:ascii="Segoe UI" w:cs="Segoe UI" w:eastAsia="Segoe UI" w:hAnsi="Segoe UI"/>
                <w:b w:val="false"/>
                <w:bCs w:val="false"/>
                <w:color w:val="000000"/>
                <w:sz w:val="20"/>
                <w:szCs w:val="20"/>
              </w:rPr>
              <w:t xml:space="preserve">Utilizar el modelo de 3B en lugar del de 7–8B; reiniciar el equipo para liberar memoria antes del taller.</w:t>
            </w:r>
          </w:p>
        </w:tc>
      </w:tr>
      <w:tr>
        <w:tc>
          <w:tcPr>
            <w:tcW w:type="dxa" w:w="3400"/>
            <w:tcBorders>
              <w:top w:val="single" w:color="B9C0D0" w:sz="4"/>
              <w:left w:val="single" w:color="B9C0D0" w:sz="4"/>
              <w:bottom w:val="single" w:color="B9C0D0" w:sz="4"/>
              <w:right w:val="single" w:color="B9C0D0" w:sz="4"/>
            </w:tcBorders>
            <w:shd w:fill="F4F6FA" w:val="clear"/>
            <w:tcMar>
              <w:top w:type="dxa" w:w="80"/>
              <w:left w:type="dxa" w:w="120"/>
              <w:bottom w:type="dxa" w:w="80"/>
              <w:right w:type="dxa" w:w="120"/>
            </w:tcMar>
            <w:vAlign w:val="center"/>
          </w:tcPr>
          <w:p>
            <w:pPr>
              <w:jc w:val="both"/>
            </w:pPr>
            <w:r>
              <w:rPr>
                <w:rFonts w:ascii="Segoe UI" w:cs="Segoe UI" w:eastAsia="Segoe UI" w:hAnsi="Segoe UI"/>
                <w:b/>
                <w:bCs/>
                <w:color w:val="192854"/>
                <w:sz w:val="20"/>
                <w:szCs w:val="20"/>
              </w:rPr>
              <w:t xml:space="preserve">Un PDF no se procesa o no aporta contenido</w:t>
            </w:r>
          </w:p>
        </w:tc>
        <w:tc>
          <w:tcPr>
            <w:tcW w:type="dxa" w:w="5960"/>
            <w:tcBorders>
              <w:top w:val="single" w:color="B9C0D0" w:sz="4"/>
              <w:left w:val="single" w:color="B9C0D0" w:sz="4"/>
              <w:bottom w:val="single" w:color="B9C0D0" w:sz="4"/>
              <w:right w:val="single" w:color="B9C0D0" w:sz="4"/>
            </w:tcBorders>
            <w:shd w:fill="F4F6FA" w:val="clear"/>
            <w:tcMar>
              <w:top w:type="dxa" w:w="80"/>
              <w:left w:type="dxa" w:w="120"/>
              <w:bottom w:type="dxa" w:w="80"/>
              <w:right w:type="dxa" w:w="120"/>
            </w:tcMar>
            <w:vAlign w:val="center"/>
          </w:tcPr>
          <w:p>
            <w:pPr>
              <w:jc w:val="both"/>
            </w:pPr>
            <w:r>
              <w:rPr>
                <w:rFonts w:ascii="Segoe UI" w:cs="Segoe UI" w:eastAsia="Segoe UI" w:hAnsi="Segoe UI"/>
                <w:b w:val="false"/>
                <w:bCs w:val="false"/>
                <w:color w:val="000000"/>
                <w:sz w:val="20"/>
                <w:szCs w:val="20"/>
              </w:rPr>
              <w:t xml:space="preserve">Verificar que el documento contenga texto seleccionable. Los PDF escaneados como imagen requieren OCR previo; la DSI entregará el corpus ya validado para evitar este caso.</w:t>
            </w:r>
          </w:p>
        </w:tc>
      </w:tr>
    </w:tbl>
    <w:p>
      <w:pPr>
        <w:spacing w:after="60" w:before="0" w:line="276"/>
        <w:jc w:val="both"/>
      </w:pPr>
      <w:r>
        <w:rPr>
          <w:rFonts w:ascii="Segoe UI" w:cs="Segoe UI" w:eastAsia="Segoe UI" w:hAnsi="Segoe UI"/>
          <w:b w:val="false"/>
          <w:bCs w:val="false"/>
          <w:i w:val="false"/>
          <w:iCs w:val="false"/>
          <w:color w:val="000000"/>
          <w:sz w:val="22"/>
          <w:szCs w:val="22"/>
        </w:rPr>
        <w:t xml:space="preserve"/>
      </w:r>
    </w:p>
    <w:p>
      <w:pPr>
        <w:spacing w:after="160" w:before="300"/>
      </w:pPr>
      <w:r>
        <w:rPr>
          <w:rFonts w:ascii="Segoe UI" w:cs="Segoe UI" w:eastAsia="Segoe UI" w:hAnsi="Segoe UI"/>
          <w:b/>
          <w:bCs/>
          <w:color w:val="192854"/>
          <w:sz w:val="26"/>
          <w:szCs w:val="26"/>
        </w:rPr>
        <w:t xml:space="preserve">9. Consideraciones logísticas para el taller</w:t>
      </w:r>
    </w:p>
    <w:p>
      <w:pPr>
        <w:pStyle w:val="ListParagraph"/>
        <w:numPr>
          <w:ilvl w:val="0"/>
          <w:numId w:val="7"/>
        </w:numPr>
        <w:spacing w:after="90" w:line="276"/>
        <w:jc w:val="both"/>
      </w:pPr>
      <w:r>
        <w:rPr>
          <w:rFonts w:ascii="Segoe UI" w:cs="Segoe UI" w:eastAsia="Segoe UI" w:hAnsi="Segoe UI"/>
          <w:b/>
          <w:bCs/>
          <w:sz w:val="22"/>
          <w:szCs w:val="22"/>
        </w:rPr>
        <w:t xml:space="preserve">Requisito previo:</w:t>
      </w:r>
      <w:r>
        <w:rPr>
          <w:rFonts w:ascii="Segoe UI" w:cs="Segoe UI" w:eastAsia="Segoe UI" w:hAnsi="Segoe UI"/>
          <w:sz w:val="22"/>
          <w:szCs w:val="22"/>
        </w:rPr>
        <w:t xml:space="preserve"> comunicar a las personas participantes, con anticipación, que asistan con computadora portátil de al menos 8 GB de RAM, batería cargada, 10 GB de espacio libre y permisos de instalación de programas.</w:t>
      </w:r>
    </w:p>
    <w:p>
      <w:pPr>
        <w:pStyle w:val="ListParagraph"/>
        <w:numPr>
          <w:ilvl w:val="0"/>
          <w:numId w:val="7"/>
        </w:numPr>
        <w:spacing w:after="90" w:line="276"/>
        <w:jc w:val="both"/>
      </w:pPr>
      <w:r>
        <w:rPr>
          <w:rFonts w:ascii="Segoe UI" w:cs="Segoe UI" w:eastAsia="Segoe UI" w:hAnsi="Segoe UI"/>
          <w:b/>
          <w:bCs/>
          <w:sz w:val="22"/>
          <w:szCs w:val="22"/>
        </w:rPr>
        <w:t xml:space="preserve">Kits de instalación:</w:t>
      </w:r>
      <w:r>
        <w:rPr>
          <w:rFonts w:ascii="Segoe UI" w:cs="Segoe UI" w:eastAsia="Segoe UI" w:hAnsi="Segoe UI"/>
          <w:sz w:val="22"/>
          <w:szCs w:val="22"/>
        </w:rPr>
        <w:t xml:space="preserve"> una memoria USB con el kit offline por cada 1–2 participantes, para distribución simultánea.</w:t>
      </w:r>
    </w:p>
    <w:p>
      <w:pPr>
        <w:pStyle w:val="ListParagraph"/>
        <w:numPr>
          <w:ilvl w:val="0"/>
          <w:numId w:val="7"/>
        </w:numPr>
        <w:spacing w:after="90" w:line="276"/>
        <w:jc w:val="both"/>
      </w:pPr>
      <w:r>
        <w:rPr>
          <w:rFonts w:ascii="Segoe UI" w:cs="Segoe UI" w:eastAsia="Segoe UI" w:hAnsi="Segoe UI"/>
          <w:b/>
          <w:bCs/>
          <w:sz w:val="22"/>
          <w:szCs w:val="22"/>
        </w:rPr>
        <w:t xml:space="preserve">Facilitación:</w:t>
      </w:r>
      <w:r>
        <w:rPr>
          <w:rFonts w:ascii="Segoe UI" w:cs="Segoe UI" w:eastAsia="Segoe UI" w:hAnsi="Segoe UI"/>
          <w:sz w:val="22"/>
          <w:szCs w:val="22"/>
        </w:rPr>
        <w:t xml:space="preserve"> un facilitador o persona de soporte técnico (DFCSNP / DSI) por cada 10 participantes, con un equipo de demostración proyectado en pantalla.</w:t>
      </w:r>
    </w:p>
    <w:p>
      <w:pPr>
        <w:pStyle w:val="ListParagraph"/>
        <w:numPr>
          <w:ilvl w:val="0"/>
          <w:numId w:val="7"/>
        </w:numPr>
        <w:spacing w:after="90" w:line="276"/>
        <w:jc w:val="both"/>
      </w:pPr>
      <w:r>
        <w:rPr>
          <w:rFonts w:ascii="Segoe UI" w:cs="Segoe UI" w:eastAsia="Segoe UI" w:hAnsi="Segoe UI"/>
          <w:b/>
          <w:bCs/>
          <w:sz w:val="22"/>
          <w:szCs w:val="22"/>
        </w:rPr>
        <w:t xml:space="preserve">Infraestructura:</w:t>
      </w:r>
      <w:r>
        <w:rPr>
          <w:rFonts w:ascii="Segoe UI" w:cs="Segoe UI" w:eastAsia="Segoe UI" w:hAnsi="Segoe UI"/>
          <w:sz w:val="22"/>
          <w:szCs w:val="22"/>
        </w:rPr>
        <w:t xml:space="preserve"> tomas de corriente suficientes en el salón; no se requiere red de internet para el desarrollo del taller.</w:t>
      </w:r>
    </w:p>
    <w:p>
      <w:pPr>
        <w:pStyle w:val="ListParagraph"/>
        <w:numPr>
          <w:ilvl w:val="0"/>
          <w:numId w:val="7"/>
        </w:numPr>
        <w:spacing w:after="90" w:line="276"/>
        <w:jc w:val="both"/>
      </w:pPr>
      <w:r>
        <w:rPr>
          <w:rFonts w:ascii="Segoe UI" w:cs="Segoe UI" w:eastAsia="Segoe UI" w:hAnsi="Segoe UI"/>
          <w:b/>
          <w:bCs/>
          <w:sz w:val="22"/>
          <w:szCs w:val="22"/>
        </w:rPr>
        <w:t xml:space="preserve">Gestión del tiempo:</w:t>
      </w:r>
      <w:r>
        <w:rPr>
          <w:rFonts w:ascii="Segoe UI" w:cs="Segoe UI" w:eastAsia="Segoe UI" w:hAnsi="Segoe UI"/>
          <w:sz w:val="22"/>
          <w:szCs w:val="22"/>
        </w:rPr>
        <w:t xml:space="preserve"> iniciar la vectorización del corpus (fase 4) inmediatamente después de la instalación, de modo que el procesamiento avance mientras se explica el funcionamiento de la herramienta.</w:t>
      </w:r>
    </w:p>
    <w:p>
      <w:pPr>
        <w:spacing w:after="600" w:before="0" w:line="276"/>
        <w:jc w:val="both"/>
      </w:pPr>
      <w:r>
        <w:rPr>
          <w:rFonts w:ascii="Segoe UI" w:cs="Segoe UI" w:eastAsia="Segoe UI" w:hAnsi="Segoe UI"/>
          <w:b w:val="false"/>
          <w:bCs w:val="false"/>
          <w:i w:val="false"/>
          <w:iCs w:val="false"/>
          <w:color w:val="000000"/>
          <w:sz w:val="22"/>
          <w:szCs w:val="22"/>
        </w:rPr>
        <w:t xml:space="preserve"/>
      </w:r>
    </w:p>
    <w:p>
      <w:pPr>
        <w:spacing w:after="0"/>
        <w:jc w:val="center"/>
      </w:pPr>
      <w:r>
        <w:rPr>
          <w:rFonts w:ascii="Segoe UI" w:cs="Segoe UI" w:eastAsia="Segoe UI" w:hAnsi="Segoe UI"/>
          <w:sz w:val="22"/>
          <w:szCs w:val="22"/>
        </w:rPr>
        <w:t xml:space="preserve">______________________________</w:t>
      </w:r>
    </w:p>
    <w:p>
      <w:pPr>
        <w:spacing w:after="0"/>
        <w:jc w:val="center"/>
      </w:pPr>
      <w:r>
        <w:rPr>
          <w:rFonts w:ascii="Segoe UI" w:cs="Segoe UI" w:eastAsia="Segoe UI" w:hAnsi="Segoe UI"/>
          <w:b/>
          <w:bCs/>
          <w:sz w:val="22"/>
          <w:szCs w:val="22"/>
        </w:rPr>
        <w:t xml:space="preserve">Ing. Wagner Emilio Caal Morales</w:t>
      </w:r>
    </w:p>
    <w:p>
      <w:pPr>
        <w:spacing w:after="0"/>
        <w:jc w:val="center"/>
      </w:pPr>
      <w:r>
        <w:rPr>
          <w:rFonts w:ascii="Segoe UI" w:cs="Segoe UI" w:eastAsia="Segoe UI" w:hAnsi="Segoe UI"/>
          <w:sz w:val="20"/>
          <w:szCs w:val="20"/>
        </w:rPr>
        <w:t xml:space="preserve">Director de Fortalecimiento de Capacidades del Sistema Nacional de Planificación</w:t>
      </w:r>
    </w:p>
    <w:p>
      <w:pPr>
        <w:jc w:val="center"/>
      </w:pPr>
      <w:r>
        <w:rPr>
          <w:rFonts w:ascii="Segoe UI" w:cs="Segoe UI" w:eastAsia="Segoe UI" w:hAnsi="Segoe UI"/>
          <w:sz w:val="20"/>
          <w:szCs w:val="20"/>
        </w:rPr>
        <w:t xml:space="preserve">SEGEPLAN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a25b3e0494dc9e1a8456cfa43538db9f7072150.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2026-06-12T14:33:53.580Z</dcterms:created>
  <dcterms:modified xsi:type="dcterms:W3CDTF">2026-06-12T14:33:53.580Z</dcterms:modified>
</cp:coreProperties>
</file>

<file path=docProps/custom.xml><?xml version="1.0" encoding="utf-8"?>
<Properties xmlns="http://schemas.openxmlformats.org/officeDocument/2006/custom-properties" xmlns:vt="http://schemas.openxmlformats.org/officeDocument/2006/docPropsVTypes"/>
</file>