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  <w:keepNext/>
      </w:pPr>
      <w:r>
        <w:t xml:space="preserve">Matriz de Risco Aplicada e Simulação de Sprint Planning</w:t>
      </w:r>
    </w:p>
    <w:p>
      <w:pPr>
        <w:pStyle w:val="Subtitle"/>
      </w:pPr>
      <w:r>
        <w:t xml:space="preserve">UC Projetos de Software (PSOF) | Bloco 4 | Grupo 4</w:t>
      </w:r>
    </w:p>
    <w:p>
      <w:r>
        <w:t xml:space="preserve">Integrantes: Gabriel Nunes Lopes, Guilherme de Souza Barbosa, Vitor Hugo dos Santos Campos e Isadora Costa Campanari.</w:t>
      </w:r>
    </w:p>
    <w:p>
      <w:r>
        <w:t xml:space="preserve">Base para discussão do grupo. As notas atuais, datas e horas são propostas iniciais para validação em conjunto. O cronograma de 02/10 e os números das issues não foram encontrados nos materiais disponíveis; por isso, as datas e estimativas estão identificadas como sugestões e as issues precisam ser criadas no Project.</w:t>
      </w:r>
    </w:p>
    <w:p>
      <w:pPr>
        <w:pStyle w:val="Heading1"/>
        <w:keepNext/>
      </w:pPr>
      <w:r>
        <w:t xml:space="preserve">Parte 1 — Matriz de riscos revisada</w:t>
      </w:r>
    </w:p>
    <w:p>
      <w:pPr>
        <w:pStyle w:val="Heading2"/>
        <w:keepNext/>
      </w:pPr>
      <w:r>
        <w:t xml:space="preserve">1.1 Revisão das notas</w:t>
      </w:r>
    </w:p>
    <w:p>
      <w:r>
        <w:t xml:space="preserve">Escala: probabilidade e impacto de 1 a 5. Pontuação = probabilidade × impacto. Baixo: 1–6; médio: 7–14; alto: 15–25. Os sete primeiros riscos vêm da matriz de 25/09.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400"/>
        <w:gridCol w:w="4300"/>
        <w:gridCol w:w="1200"/>
        <w:gridCol w:w="1200"/>
        <w:gridCol w:w="1400"/>
        <w:gridCol w:w="1400"/>
        <w:gridCol w:w="1600"/>
        <w:gridCol w:w="2700"/>
      </w:tblGrid>
      <w:tr>
        <w:tc>
          <w:tcPr>
            <w:tcW w:w="4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#</w:t>
            </w:r>
          </w:p>
        </w:tc>
        <w:tc>
          <w:tcPr>
            <w:tcW w:w="43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Risco</w:t>
            </w:r>
          </w:p>
        </w:tc>
        <w:tc>
          <w:tcPr>
            <w:tcW w:w="12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Prob. antes</w:t>
            </w:r>
          </w:p>
        </w:tc>
        <w:tc>
          <w:tcPr>
            <w:tcW w:w="12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Prob. agora</w:t>
            </w:r>
          </w:p>
        </w:tc>
        <w:tc>
          <w:tcPr>
            <w:tcW w:w="14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Impacto antes</w:t>
            </w:r>
          </w:p>
        </w:tc>
        <w:tc>
          <w:tcPr>
            <w:tcW w:w="14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Impacto agora</w:t>
            </w:r>
          </w:p>
        </w:tc>
        <w:tc>
          <w:tcPr>
            <w:tcW w:w="16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Pontuação atual</w:t>
            </w:r>
          </w:p>
        </w:tc>
        <w:tc>
          <w:tcPr>
            <w:tcW w:w="27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Classificação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4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Conflitos de integração em arquivos MVC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27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Médio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4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Atraso na migração dos dados em memória para banco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27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Alto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4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Falha na autenticação das rotas de escrita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16</w:t>
            </w:r>
          </w:p>
        </w:tc>
        <w:tc>
          <w:tcPr>
            <w:tcW w:w="27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Alto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4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Ausência de integrante em período crítico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27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Médio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4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Divergência entre endpoints e critérios de aceitação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27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Baixo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4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Payload sem validação preventiva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12</w:t>
            </w:r>
          </w:p>
        </w:tc>
        <w:tc>
          <w:tcPr>
            <w:tcW w:w="27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Médio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7</w:t>
            </w:r>
          </w:p>
        </w:tc>
        <w:tc>
          <w:tcPr>
            <w:tcW w:w="4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Falha de instalação ou inicialização no ambiente de avaliação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2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4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27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Médio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8</w:t>
            </w:r>
          </w:p>
        </w:tc>
        <w:tc>
          <w:tcPr>
            <w:tcW w:w="4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Estimativas iniciais não refletirem o esforço real da equipe (novo)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w="12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—</w:t>
            </w:r>
          </w:p>
        </w:tc>
        <w:tc>
          <w:tcPr>
            <w:tcW w:w="14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9</w:t>
            </w:r>
          </w:p>
        </w:tc>
        <w:tc>
          <w:tcPr>
            <w:tcW w:w="27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Médio</w:t>
            </w:r>
          </w:p>
        </w:tc>
      </w:tr>
    </w:tbl>
    <w:p>
      <w:r>
        <w:t xml:space="preserve">Mudanças de classificação: os riscos 2 e 3 passam de médio para alto porque a persistência e a autenticação continuam pendentes e o prazo de entrega se aproxima. O risco 5 cai de médio para baixo porque o CRUD por ID foi implementado e os endpoints foram conferidos manualmente. Os demais permanecem na mesma classificação.</w:t>
      </w:r>
    </w:p>
    <w:p>
      <w:r>
        <w:t xml:space="preserve">Risco novo: as estimativas iniciais podem ficar abaixo do esforço real, já que o grupo ainda está fazendo uma primeira estimativa em horas.</w:t>
      </w:r>
    </w:p>
    <w:p>
      <w:pPr>
        <w:pStyle w:val="Heading2"/>
        <w:keepNext/>
      </w:pPr>
      <w:r>
        <w:t xml:space="preserve">1.2 Mapa de calor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3800"/>
        <w:gridCol w:w="2080"/>
        <w:gridCol w:w="2080"/>
        <w:gridCol w:w="2080"/>
        <w:gridCol w:w="2080"/>
        <w:gridCol w:w="2080"/>
      </w:tblGrid>
      <w:tr>
        <w:tc>
          <w:tcPr>
            <w:tcW w:w="380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Probabilidade ↓ / Impacto →</w:t>
            </w:r>
          </w:p>
        </w:tc>
        <w:tc>
          <w:tcPr>
            <w:tcW w:w="208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1</w:t>
            </w:r>
          </w:p>
        </w:tc>
        <w:tc>
          <w:tcPr>
            <w:tcW w:w="208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2</w:t>
            </w:r>
          </w:p>
        </w:tc>
        <w:tc>
          <w:tcPr>
            <w:tcW w:w="208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3</w:t>
            </w:r>
          </w:p>
        </w:tc>
        <w:tc>
          <w:tcPr>
            <w:tcW w:w="208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4</w:t>
            </w:r>
          </w:p>
        </w:tc>
        <w:tc>
          <w:tcPr>
            <w:tcW w:w="208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w="38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38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4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6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2, 3, 4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38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1, 8</w:t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38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2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5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w="208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  <w:tr>
        <w:tc>
          <w:tcPr>
            <w:tcW w:w="38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1</w:t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  <w:tc>
          <w:tcPr>
            <w:tcW w:w="208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/>
            </w:r>
          </w:p>
        </w:tc>
      </w:tr>
    </w:tbl>
    <w:p>
      <w:pPr>
        <w:pStyle w:val="Heading2"/>
        <w:keepNext/>
      </w:pPr>
      <w:r>
        <w:t xml:space="preserve">1.3 Plano de resposta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400"/>
        <w:gridCol w:w="1150"/>
        <w:gridCol w:w="3400"/>
        <w:gridCol w:w="2050"/>
        <w:gridCol w:w="3100"/>
        <w:gridCol w:w="4100"/>
      </w:tblGrid>
      <w:tr>
        <w:tc>
          <w:tcPr>
            <w:tcW w:w="40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#</w:t>
            </w:r>
          </w:p>
        </w:tc>
        <w:tc>
          <w:tcPr>
            <w:tcW w:w="115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Estratégia</w:t>
            </w:r>
          </w:p>
        </w:tc>
        <w:tc>
          <w:tcPr>
            <w:tcW w:w="340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Ação concreta</w:t>
            </w:r>
          </w:p>
        </w:tc>
        <w:tc>
          <w:tcPr>
            <w:tcW w:w="205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Dono do risco</w:t>
            </w:r>
          </w:p>
        </w:tc>
        <w:tc>
          <w:tcPr>
            <w:tcW w:w="310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Gatilho observável</w:t>
            </w:r>
          </w:p>
        </w:tc>
        <w:tc>
          <w:tcPr>
            <w:tcW w:w="4100" w:type="dxa"/>
            <w:shd w:fill="1F4E78"/>
            <w:vAlign w:val="center"/>
          </w:tcPr>
          <w:p>
            <w:r>
              <w:rPr>
                <w:b/>
                <w:color w:val="FFFFFF"/>
                <w:sz w:val="13"/>
                <w:szCs w:val="13"/>
              </w:rPr>
              <w:t xml:space="preserve">Plano de contingência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1</w:t>
            </w:r>
          </w:p>
        </w:tc>
        <w:tc>
          <w:tcPr>
            <w:tcW w:w="11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Separar alterações em branches; atualizar com main antes de abrir PR e revisar mudanças em arquivos compartilhados.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Vitor Hugo dos Santos Campos</w:t>
            </w:r>
          </w:p>
        </w:tc>
        <w:tc>
          <w:tcPr>
            <w:tcW w:w="3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Duas alterações simultâneas no mesmo arquivo MVC ou conflito em PR.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Pausar merges no arquivo afetado e resolver em dupla a partir da versão mais recente da main.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2</w:t>
            </w:r>
          </w:p>
        </w:tc>
        <w:tc>
          <w:tcPr>
            <w:tcW w:w="11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Começar a persistência pela camada service; manter uma versão funcional em memória até a migração ser conferida.</w:t>
            </w:r>
          </w:p>
        </w:tc>
        <w:tc>
          <w:tcPr>
            <w:tcW w:w="20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Guilherme de Souza Barbosa</w:t>
            </w:r>
          </w:p>
        </w:tc>
        <w:tc>
          <w:tcPr>
            <w:tcW w:w="3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Dados criados somem após reiniciar a API no teste de persistência, ou conexão não funciona até o fim da primeira semana.</w:t>
            </w:r>
          </w:p>
        </w:tc>
        <w:tc>
          <w:tcPr>
            <w:tcW w:w="4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Manter a versão em memória pronta para a demonstração e replanejar a migração pendente para a próxima sprint.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3</w:t>
            </w:r>
          </w:p>
        </w:tc>
        <w:tc>
          <w:tcPr>
            <w:tcW w:w="11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Aplicar middleware às rotas de escrita e conferir token ausente, inválido e válido no Postman.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Gabriel Nunes Lopes</w:t>
            </w:r>
          </w:p>
        </w:tc>
        <w:tc>
          <w:tcPr>
            <w:tcW w:w="3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Uma rota de escrita aceita requisição sem token válido no teste da sprint.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Bloquear temporariamente a rota afetada, corrigir o middleware e só reabrir após repetir os três cenários.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4</w:t>
            </w:r>
          </w:p>
        </w:tc>
        <w:tc>
          <w:tcPr>
            <w:tcW w:w="11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Registrar tarefas e compartilhar instruções; fazer revisão em dupla das partes mais críticas.</w:t>
            </w:r>
          </w:p>
        </w:tc>
        <w:tc>
          <w:tcPr>
            <w:tcW w:w="20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Isadora Costa Campanari</w:t>
            </w:r>
          </w:p>
        </w:tc>
        <w:tc>
          <w:tcPr>
            <w:tcW w:w="3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Integrante avisa que faltará a uma reunião de trabalho ou deixa uma tarefa sem atualização por uma semana.</w:t>
            </w:r>
          </w:p>
        </w:tc>
        <w:tc>
          <w:tcPr>
            <w:tcW w:w="4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Repassar a tarefa mais urgente entre os presentes e retirar do sprint a tarefa ainda não iniciada.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6</w:t>
            </w:r>
          </w:p>
        </w:tc>
        <w:tc>
          <w:tcPr>
            <w:tcW w:w="11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Validar campos obrigatórios e impedir preço ou estoque negativos antes de salvar.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Isadora Costa Campanari</w:t>
            </w:r>
          </w:p>
        </w:tc>
        <w:tc>
          <w:tcPr>
            <w:tcW w:w="3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Postman aceita título vazio, preço negativo ou estoque negativo em POST/PATCH.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Retornar 400 para o payload inválido e manter os dados anteriores; corrigir antes de continuar a demonstração.</w:t>
            </w:r>
          </w:p>
        </w:tc>
      </w:tr>
      <w:tr>
        <w:tc>
          <w:tcPr>
            <w:tcW w:w="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7</w:t>
            </w:r>
          </w:p>
        </w:tc>
        <w:tc>
          <w:tcPr>
            <w:tcW w:w="11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Fazer uma instalação limpa com package-lock.json e registrar os comandos usados para iniciar o projeto.</w:t>
            </w:r>
          </w:p>
        </w:tc>
        <w:tc>
          <w:tcPr>
            <w:tcW w:w="205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Guilherme de Souza Barbosa</w:t>
            </w:r>
          </w:p>
        </w:tc>
        <w:tc>
          <w:tcPr>
            <w:tcW w:w="3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Clone limpo não inicia com npm install e npm run dev até o fim da primeira semana.</w:t>
            </w:r>
          </w:p>
        </w:tc>
        <w:tc>
          <w:tcPr>
            <w:tcW w:w="4100" w:type="dxa"/>
            <w:shd w:fill="F2F6F9"/>
            <w:vAlign w:val="center"/>
          </w:tcPr>
          <w:p>
            <w:r>
              <w:rPr>
                <w:sz w:val="13"/>
                <w:szCs w:val="13"/>
              </w:rPr>
              <w:t xml:space="preserve">Usar a máquina em que o projeto está funcionando para a apresentação e revisar versão do Node e dependências depois.</w:t>
            </w:r>
          </w:p>
        </w:tc>
      </w:tr>
      <w:tr>
        <w:tc>
          <w:tcPr>
            <w:tcW w:w="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8</w:t>
            </w:r>
          </w:p>
        </w:tc>
        <w:tc>
          <w:tcPr>
            <w:tcW w:w="11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Mitigar</w:t>
            </w:r>
          </w:p>
        </w:tc>
        <w:tc>
          <w:tcPr>
            <w:tcW w:w="34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Estimar em conjunto e dividir tarefas que ultrapassem três horas em entregas menores.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Isadora Costa Campanari</w:t>
            </w:r>
          </w:p>
        </w:tc>
        <w:tc>
          <w:tcPr>
            <w:tcW w:w="3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Uma tarefa usa metade das horas previstas sem entregar o resultado combinado.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3"/>
                <w:szCs w:val="13"/>
              </w:rPr>
              <w:t xml:space="preserve">Reestimar o restante e retirar do sprint a issue de menor prioridade para não ultrapassar a capacidade.</w:t>
            </w:r>
          </w:p>
        </w:tc>
      </w:tr>
    </w:tbl>
    <w:p>
      <w:pPr>
        <w:pStyle w:val="Heading1"/>
        <w:keepNext/>
      </w:pPr>
      <w:r>
        <w:t xml:space="preserve">Parte 2 — Simulação de sprint planning</w:t>
      </w:r>
    </w:p>
    <w:p>
      <w:pPr>
        <w:pStyle w:val="Heading2"/>
        <w:keepNext/>
      </w:pPr>
      <w:r>
        <w:t xml:space="preserve">2.1 Papéis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4300"/>
        <w:gridCol w:w="9900"/>
      </w:tblGrid>
      <w:tr>
        <w:tc>
          <w:tcPr>
            <w:tcW w:w="430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Papel</w:t>
            </w:r>
          </w:p>
        </w:tc>
        <w:tc>
          <w:tcPr>
            <w:tcW w:w="990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Integrante</w:t>
            </w:r>
          </w:p>
        </w:tc>
      </w:tr>
      <w:tr>
        <w:tc>
          <w:tcPr>
            <w:tcW w:w="43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Product Owner (representa o dono da livraria)</w:t>
            </w:r>
          </w:p>
        </w:tc>
        <w:tc>
          <w:tcPr>
            <w:tcW w:w="99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Isadora Costa Campanari</w:t>
            </w:r>
          </w:p>
        </w:tc>
      </w:tr>
      <w:tr>
        <w:tc>
          <w:tcPr>
            <w:tcW w:w="43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Scrum Master (conduz a reunião e controla o tempo)</w:t>
            </w:r>
          </w:p>
        </w:tc>
        <w:tc>
          <w:tcPr>
            <w:tcW w:w="99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Gabriel Nunes Lopes</w:t>
            </w:r>
          </w:p>
        </w:tc>
      </w:tr>
      <w:tr>
        <w:tc>
          <w:tcPr>
            <w:tcW w:w="43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Time de desenvolvimento</w:t>
            </w:r>
          </w:p>
        </w:tc>
        <w:tc>
          <w:tcPr>
            <w:tcW w:w="99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Vitor Hugo dos Santos Campos, Guilherme de Souza Barbosa, Isadora Costa Campanari e Gabriel Nunes Lopes</w:t>
            </w:r>
          </w:p>
        </w:tc>
      </w:tr>
    </w:tbl>
    <w:p>
      <w:pPr>
        <w:pStyle w:val="Heading2"/>
        <w:keepNext/>
      </w:pPr>
      <w:r>
        <w:t xml:space="preserve">2.2 Capacidade da Sprint 1</w:t>
      </w:r>
    </w:p>
    <w:p>
      <w:r>
        <w:t xml:space="preserve">Período sugerido: 19/10/2026 a 30/10/2026 (duas semanas). Confirmar com o calendário do grupo.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9000"/>
        <w:gridCol w:w="5200"/>
      </w:tblGrid>
      <w:tr>
        <w:tc>
          <w:tcPr>
            <w:tcW w:w="900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Integrante</w:t>
            </w:r>
          </w:p>
        </w:tc>
        <w:tc>
          <w:tcPr>
            <w:tcW w:w="5200" w:type="dxa"/>
            <w:shd w:fill="1F4E78"/>
            <w:vAlign w:val="center"/>
          </w:tcPr>
          <w:p>
            <w:r>
              <w:rPr>
                <w:b/>
                <w:color w:val="FFFFFF"/>
                <w:sz w:val="16"/>
                <w:szCs w:val="16"/>
              </w:rPr>
              <w:t xml:space="preserve">Horas disponíveis no período</w:t>
            </w:r>
          </w:p>
        </w:tc>
      </w:tr>
      <w:tr>
        <w:tc>
          <w:tcPr>
            <w:tcW w:w="90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Gabriel Nunes Lopes</w:t>
            </w:r>
          </w:p>
        </w:tc>
        <w:tc>
          <w:tcPr>
            <w:tcW w:w="52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w="90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Guilherme de Souza Barbosa</w:t>
            </w:r>
          </w:p>
        </w:tc>
        <w:tc>
          <w:tcPr>
            <w:tcW w:w="52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w="90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Vitor Hugo dos Santos Campos</w:t>
            </w:r>
          </w:p>
        </w:tc>
        <w:tc>
          <w:tcPr>
            <w:tcW w:w="52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w="90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Isadora Costa Campanari</w:t>
            </w:r>
          </w:p>
        </w:tc>
        <w:tc>
          <w:tcPr>
            <w:tcW w:w="5200" w:type="dxa"/>
            <w:shd w:fill="F2F6F9"/>
            <w:vAlign w:val="center"/>
          </w:tcPr>
          <w:p>
            <w:r>
              <w:rPr>
                <w:sz w:val="16"/>
                <w:szCs w:val="16"/>
              </w:rPr>
              <w:t xml:space="preserve">3</w:t>
            </w:r>
          </w:p>
        </w:tc>
      </w:tr>
      <w:tr>
        <w:tc>
          <w:tcPr>
            <w:tcW w:w="90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Total</w:t>
            </w:r>
          </w:p>
        </w:tc>
        <w:tc>
          <w:tcPr>
            <w:tcW w:w="5200" w:type="dxa"/>
            <w:shd w:fill="FFFFFF"/>
            <w:vAlign w:val="center"/>
          </w:tcPr>
          <w:p>
            <w:r>
              <w:rPr>
                <w:sz w:val="16"/>
                <w:szCs w:val="16"/>
              </w:rPr>
              <w:t xml:space="preserve">12</w:t>
            </w:r>
          </w:p>
        </w:tc>
      </w:tr>
    </w:tbl>
    <w:p>
      <w:r>
        <w:t xml:space="preserve">Fator de foco adotado: 0,7. Capacidade: 12 × 0,7 = 8,4 horas. As três horas por pessoa são uma estimativa para discussão, não um registro de disponibilidade confirmado.</w:t>
      </w:r>
    </w:p>
    <w:p>
      <w:pPr>
        <w:pStyle w:val="Heading2"/>
        <w:keepNext/>
      </w:pPr>
      <w:r>
        <w:t xml:space="preserve">2.3 Backlog priorizado apresentado pelo PO</w:t>
      </w:r>
    </w:p>
    <w:p>
      <w:r>
        <w:t xml:space="preserve">A busca no repositório do grupo não retornou issues. Os títulos abaixo são sugestões para criar no Project; preencher o número real depois de criar cada issue.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650"/>
        <w:gridCol w:w="1600"/>
        <w:gridCol w:w="3900"/>
        <w:gridCol w:w="1750"/>
        <w:gridCol w:w="6300"/>
      </w:tblGrid>
      <w:tr>
        <w:tc>
          <w:tcPr>
            <w:tcW w:w="65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Ordem</w:t>
            </w:r>
          </w:p>
        </w:tc>
        <w:tc>
          <w:tcPr>
            <w:tcW w:w="16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Nº da issue</w:t>
            </w:r>
          </w:p>
        </w:tc>
        <w:tc>
          <w:tcPr>
            <w:tcW w:w="39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Título</w:t>
            </w:r>
          </w:p>
        </w:tc>
        <w:tc>
          <w:tcPr>
            <w:tcW w:w="175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Estimativa inicial</w:t>
            </w:r>
          </w:p>
        </w:tc>
        <w:tc>
          <w:tcPr>
            <w:tcW w:w="63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Por que está nesta posição?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Iniciar persistência de livros e categorias</w:t>
            </w:r>
          </w:p>
        </w:tc>
        <w:tc>
          <w:tcPr>
            <w:tcW w:w="17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3,5 h</w:t>
            </w:r>
          </w:p>
        </w:tc>
        <w:tc>
          <w:tcPr>
            <w:tcW w:w="6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Reduz o risco alto 2 e evita perda dos dados ao reiniciar.</w:t>
            </w:r>
          </w:p>
        </w:tc>
      </w:tr>
      <w:tr>
        <w:tc>
          <w:tcPr>
            <w:tcW w:w="6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2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Implementar autenticação nas rotas de escrita</w:t>
            </w:r>
          </w:p>
        </w:tc>
        <w:tc>
          <w:tcPr>
            <w:tcW w:w="17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2,5 h</w:t>
            </w:r>
          </w:p>
        </w:tc>
        <w:tc>
          <w:tcPr>
            <w:tcW w:w="6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Reduz o risco alto 3 e protege operações de criação e alteração.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Validar payloads de livros e categorias</w:t>
            </w:r>
          </w:p>
        </w:tc>
        <w:tc>
          <w:tcPr>
            <w:tcW w:w="17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1,5 h</w:t>
            </w:r>
          </w:p>
        </w:tc>
        <w:tc>
          <w:tcPr>
            <w:tcW w:w="6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Reduz o risco 6 e impede dados inválidos.</w:t>
            </w:r>
          </w:p>
        </w:tc>
      </w:tr>
      <w:tr>
        <w:tc>
          <w:tcPr>
            <w:tcW w:w="6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4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Conferir CRUD e autenticação no Postman</w:t>
            </w:r>
          </w:p>
        </w:tc>
        <w:tc>
          <w:tcPr>
            <w:tcW w:w="17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1,5 h</w:t>
            </w:r>
          </w:p>
        </w:tc>
        <w:tc>
          <w:tcPr>
            <w:tcW w:w="6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Verifica critérios de aceitação antes da demonstração.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5</w:t>
            </w:r>
          </w:p>
        </w:tc>
        <w:tc>
          <w:tcPr>
            <w:tcW w:w="16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Testar instalação limpa e documentar inicialização</w:t>
            </w:r>
          </w:p>
        </w:tc>
        <w:tc>
          <w:tcPr>
            <w:tcW w:w="175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 h</w:t>
            </w:r>
          </w:p>
        </w:tc>
        <w:tc>
          <w:tcPr>
            <w:tcW w:w="63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Reduz risco de falha no ambiente de avaliação.</w:t>
            </w:r>
          </w:p>
        </w:tc>
      </w:tr>
      <w:tr>
        <w:tc>
          <w:tcPr>
            <w:tcW w:w="6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6</w:t>
            </w:r>
          </w:p>
        </w:tc>
        <w:tc>
          <w:tcPr>
            <w:tcW w:w="16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39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Revisar critérios de aceite e atualizar o Project</w:t>
            </w:r>
          </w:p>
        </w:tc>
        <w:tc>
          <w:tcPr>
            <w:tcW w:w="175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1 h</w:t>
            </w:r>
          </w:p>
        </w:tc>
        <w:tc>
          <w:tcPr>
            <w:tcW w:w="63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Mantém o backlog e o progresso visíveis para todo o grupo.</w:t>
            </w:r>
          </w:p>
        </w:tc>
      </w:tr>
    </w:tbl>
    <w:p>
      <w:pPr>
        <w:pStyle w:val="Heading2"/>
        <w:keepNext/>
      </w:pPr>
      <w:r>
        <w:t xml:space="preserve">2.4 Meta da Sprint 1</w:t>
      </w:r>
    </w:p>
    <w:p>
      <w:r>
        <w:t xml:space="preserve">Ao final da Sprint 1, a API deve persistir os dados básicos, proteger as rotas de escrita com autenticação e rejeitar payloads inválidos.</w:t>
      </w:r>
    </w:p>
    <w:p>
      <w:pPr>
        <w:pStyle w:val="Heading2"/>
        <w:keepNext/>
      </w:pPr>
      <w:r>
        <w:t xml:space="preserve">2.5 Backlog da Sprint 1</w:t>
      </w:r>
    </w:p>
    <w:tbl>
      <w:tblPr>
        <w:tblW w:w="14200" w:type="dxa"/>
        <w:tblLayout w:type="fixed"/>
        <w:tblCellMar>
          <w:top w:w="65" w:type="dxa"/>
          <w:left w:w="75" w:type="dxa"/>
          <w:bottom w:w="65" w:type="dxa"/>
          <w:right w:w="75" w:type="dxa"/>
        </w:tblCellMar>
        <w:tblBorders>
          <w:top w:val="single" w:sz="4" w:space="0" w:color="A6B4C0"/>
          <w:left w:val="single" w:sz="4" w:space="0" w:color="A6B4C0"/>
          <w:bottom w:val="single" w:sz="4" w:space="0" w:color="A6B4C0"/>
          <w:right w:val="single" w:sz="4" w:space="0" w:color="A6B4C0"/>
          <w:insideH w:val="single" w:sz="4" w:space="0" w:color="A6B4C0"/>
          <w:insideV w:val="single" w:sz="4" w:space="0" w:color="A6B4C0"/>
        </w:tblBorders>
      </w:tblPr>
      <w:tblGrid>
        <w:gridCol w:w="1500"/>
        <w:gridCol w:w="4100"/>
        <w:gridCol w:w="1100"/>
        <w:gridCol w:w="3500"/>
        <w:gridCol w:w="4000"/>
      </w:tblGrid>
      <w:tr>
        <w:tc>
          <w:tcPr>
            <w:tcW w:w="15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Nº da issue</w:t>
            </w:r>
          </w:p>
        </w:tc>
        <w:tc>
          <w:tcPr>
            <w:tcW w:w="41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Título</w:t>
            </w:r>
          </w:p>
        </w:tc>
        <w:tc>
          <w:tcPr>
            <w:tcW w:w="11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Horas</w:t>
            </w:r>
          </w:p>
        </w:tc>
        <w:tc>
          <w:tcPr>
            <w:tcW w:w="35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Responsável</w:t>
            </w:r>
          </w:p>
        </w:tc>
        <w:tc>
          <w:tcPr>
            <w:tcW w:w="4000" w:type="dxa"/>
            <w:shd w:fill="1F4E78"/>
            <w:vAlign w:val="center"/>
          </w:tcPr>
          <w:p>
            <w:r>
              <w:rPr>
                <w:b/>
                <w:color w:val="FFFFFF"/>
                <w:sz w:val="14"/>
                <w:szCs w:val="14"/>
              </w:rPr>
              <w:t xml:space="preserve">Depende de</w:t>
            </w:r>
          </w:p>
        </w:tc>
      </w:tr>
      <w:tr>
        <w:tc>
          <w:tcPr>
            <w:tcW w:w="15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Iniciar persistência de livros e categorias</w:t>
            </w:r>
          </w:p>
        </w:tc>
        <w:tc>
          <w:tcPr>
            <w:tcW w:w="11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3,5 h</w:t>
            </w:r>
          </w:p>
        </w:tc>
        <w:tc>
          <w:tcPr>
            <w:tcW w:w="35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Vitor Hugo dos Santos Campos</w:t>
            </w:r>
          </w:p>
        </w:tc>
        <w:tc>
          <w:tcPr>
            <w:tcW w:w="40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Definir banco e conexão no início da issue.</w:t>
            </w:r>
          </w:p>
        </w:tc>
      </w:tr>
      <w:tr>
        <w:tc>
          <w:tcPr>
            <w:tcW w:w="15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41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Implementar autenticação nas rotas de escrita</w:t>
            </w:r>
          </w:p>
        </w:tc>
        <w:tc>
          <w:tcPr>
            <w:tcW w:w="11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2,5 h</w:t>
            </w:r>
          </w:p>
        </w:tc>
        <w:tc>
          <w:tcPr>
            <w:tcW w:w="35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Gabriel Nunes Lopes</w:t>
            </w:r>
          </w:p>
        </w:tc>
        <w:tc>
          <w:tcPr>
            <w:tcW w:w="40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Definir formato do token e rotas protegidas.</w:t>
            </w:r>
          </w:p>
        </w:tc>
      </w:tr>
      <w:tr>
        <w:tc>
          <w:tcPr>
            <w:tcW w:w="15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A criar</w:t>
            </w:r>
          </w:p>
        </w:tc>
        <w:tc>
          <w:tcPr>
            <w:tcW w:w="41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Validar payloads de livros e categorias</w:t>
            </w:r>
          </w:p>
        </w:tc>
        <w:tc>
          <w:tcPr>
            <w:tcW w:w="11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1,5 h</w:t>
            </w:r>
          </w:p>
        </w:tc>
        <w:tc>
          <w:tcPr>
            <w:tcW w:w="35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Isadora Costa Campanari</w:t>
            </w:r>
          </w:p>
        </w:tc>
        <w:tc>
          <w:tcPr>
            <w:tcW w:w="4000" w:type="dxa"/>
            <w:shd w:fill="FFFFFF"/>
            <w:vAlign w:val="center"/>
          </w:tcPr>
          <w:p>
            <w:r>
              <w:rPr>
                <w:sz w:val="14"/>
                <w:szCs w:val="14"/>
              </w:rPr>
              <w:t xml:space="preserve">Confirmar campos obrigatórios com o grupo.</w:t>
            </w:r>
          </w:p>
        </w:tc>
      </w:tr>
      <w:tr>
        <w:tc>
          <w:tcPr>
            <w:tcW w:w="15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41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Total</w:t>
            </w:r>
          </w:p>
        </w:tc>
        <w:tc>
          <w:tcPr>
            <w:tcW w:w="11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>7,5 h</w:t>
            </w:r>
          </w:p>
        </w:tc>
        <w:tc>
          <w:tcPr>
            <w:tcW w:w="35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/>
            </w:r>
          </w:p>
        </w:tc>
        <w:tc>
          <w:tcPr>
            <w:tcW w:w="4000" w:type="dxa"/>
            <w:shd w:fill="F2F6F9"/>
            <w:vAlign w:val="center"/>
          </w:tcPr>
          <w:p>
            <w:r>
              <w:rPr>
                <w:sz w:val="14"/>
                <w:szCs w:val="14"/>
              </w:rPr>
              <w:t xml:space="preserve"/>
            </w:r>
          </w:p>
        </w:tc>
      </w:tr>
    </w:tbl>
    <w:p>
      <w:r>
        <w:t xml:space="preserve">O total fica dentro da capacidade estimada de 8,4 horas. Os riscos 2 e 3 influenciaram a seleção: persistência e autenticação entraram primeiro por estarem classificados como altos.</w:t>
      </w:r>
    </w:p>
    <w:p>
      <w:pPr>
        <w:pStyle w:val="Heading2"/>
        <w:keepNext/>
      </w:pPr>
      <w:r>
        <w:t xml:space="preserve">2.6 Definição de Pronto do grupo</w:t>
      </w:r>
    </w:p>
    <w:p>
      <w:r>
        <w:t xml:space="preserve">1. A alteração está integrada à branch principal e atende ao critério de aceite da issue.</w:t>
      </w:r>
    </w:p>
    <w:p>
      <w:r>
        <w:t xml:space="preserve">2. O grupo conferiu o fluxo no Postman ou Insomnia, incluindo ao menos um caso de erro quando aplicável.</w:t>
      </w:r>
    </w:p>
    <w:p>
      <w:r>
        <w:t xml:space="preserve">3. A issue e a documentação do projeto foram atualizadas e outro integrante revisou a entrega.</w:t>
      </w:r>
    </w:p>
    <w:p>
      <w:pPr>
        <w:pStyle w:val="Heading2"/>
        <w:keepNext/>
      </w:pPr>
      <w:r>
        <w:t xml:space="preserve">2.7 Registro no GitHub</w:t>
      </w:r>
    </w:p>
    <w:p>
      <w:r>
        <w:t xml:space="preserve">Conferir no Project antes de encerrar a reunião:</w:t>
      </w:r>
    </w:p>
    <w:p>
      <w:r>
        <w:t xml:space="preserve">☐ Criar o campo Iteration e configurar Sprint 1 de 19/10/2026 a 30/10/2026.</w:t>
      </w:r>
    </w:p>
    <w:p>
      <w:r>
        <w:t xml:space="preserve">☐ Criar as issues selecionadas e marcá-las com a iteração Sprint 1.</w:t>
      </w:r>
    </w:p>
    <w:p>
      <w:r>
        <w:t xml:space="preserve">☐ Criar ou ajustar a visão Board para a sprint atual usando o filtro iteration:@current.</w:t>
      </w:r>
    </w:p>
    <w:p>
      <w:pPr>
        <w:pStyle w:val="Heading2"/>
        <w:keepNext/>
      </w:pPr>
      <w:r>
        <w:t xml:space="preserve">Antes de encerrar</w:t>
      </w:r>
    </w:p>
    <w:p>
      <w:r>
        <w:t xml:space="preserve">☐ Revisar as notas de todos os riscos e posicionar cada número no mapa de calor.</w:t>
      </w:r>
    </w:p>
    <w:p>
      <w:r>
        <w:t xml:space="preserve">☐ Confirmar estratégia, ação, dono, gatilho observável e contingência de todo risco médio ou alto.</w:t>
      </w:r>
    </w:p>
    <w:p>
      <w:r>
        <w:t xml:space="preserve">☐ Recalcular a capacidade quando o grupo confirmar as horas disponíveis.</w:t>
      </w:r>
    </w:p>
    <w:p>
      <w:r>
        <w:t xml:space="preserve">☐ Conferir que o backlog da sprint não ultrapassa a capacidade confirmada.</w:t>
      </w:r>
    </w:p>
    <w:p>
      <w:r>
        <w:t xml:space="preserve">☐ Registrar a meta da sprint e configurar a Sprint 1 no Project do GitHub.</w:t>
      </w:r>
    </w:p>
    <w:p>
      <w:r>
        <w:t xml:space="preserve">☐ Salvar a matriz revisada no espaço compartilhado do grupo.</w:t>
      </w:r>
    </w:p>
    <w:sectPr>
      <w:pgSz w:w="15840" w:h="12240" w:orient="landscape"/>
      <w:pgMar w:top="720" w:right="720" w:bottom="720" w:left="720" w:header="360" w:footer="36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18"/>
      </w:rPr>
    </w:rPrDefault>
    <w:pPrDefault>
      <w:pPr>
        <w:spacing w:after="100" w:line="240"/>
      </w:pPr>
    </w:pPrDefault>
  </w:docDefaults>
  <w:style w:type="paragraph" w:default="1" w:styleId="Normal">
    <w:name w:val="Normal"/>
    <w:rPr>
      <w:rFonts w:ascii="Arial" w:hAnsi="Arial"/>
      <w:sz w:val="18"/>
    </w:rPr>
  </w:style>
  <w:style w:type="paragraph" w:styleId="Title">
    <w:name w:val="Title"/>
    <w:basedOn w:val="Normal"/>
    <w:pPr>
      <w:spacing w:after="160"/>
    </w:pPr>
    <w:rPr>
      <w:b/>
      <w:color w:val="1F1F1F"/>
      <w:sz w:val="34"/>
    </w:rPr>
  </w:style>
  <w:style w:type="paragraph" w:styleId="Subtitle">
    <w:name w:val="Subtitle"/>
    <w:basedOn w:val="Normal"/>
    <w:rPr>
      <w:color w:val="555555"/>
      <w:sz w:val="22"/>
    </w:rPr>
  </w:style>
  <w:style w:type="paragraph" w:styleId="Heading1">
    <w:name w:val="heading 1"/>
    <w:basedOn w:val="Normal"/>
    <w:pPr>
      <w:keepNext/>
      <w:spacing w:before="260" w:after="120"/>
    </w:pPr>
    <w:rPr>
      <w:b/>
      <w:color w:val="1F4E78"/>
      <w:sz w:val="26"/>
    </w:rPr>
  </w:style>
  <w:style w:type="paragraph" w:styleId="Heading2">
    <w:name w:val="heading 2"/>
    <w:basedOn w:val="Normal"/>
    <w:pPr>
      <w:keepNext/>
      <w:spacing w:before="180" w:after="80"/>
    </w:pPr>
    <w:rPr>
      <w:b/>
      <w:color w:val="2F75A5"/>
      <w:sz w:val="21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