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MONTI</w:t>
      </w:r>
    </w:p>
    <w:p>
      <w:pPr>
        <w:pStyle w:val="Subtitle"/>
      </w:pPr>
      <w:r>
        <w:t>Propuesta técnica y alcance del MVP</w:t>
      </w:r>
    </w:p>
    <w:p>
      <w:pPr/>
      <w:r/>
      <w:r>
        <w:rPr>
          <w:b/>
        </w:rPr>
        <w:t>Proyecto de grado:</w:t>
      </w:r>
      <w:r>
        <w:t xml:space="preserve"> Laboratorios Virtuales Web con Adaptabilidad basada en Agentes Inteligentes para Educación Secundaria</w:t>
      </w:r>
    </w:p>
    <w:p>
      <w:pPr>
        <w:pStyle w:val="Meta"/>
      </w:pPr>
      <w:r>
        <w:t>Universidad Privada Boliviana · Ingeniería de Sistemas Computacionales</w:t>
      </w:r>
    </w:p>
    <w:p>
      <w:pPr>
        <w:pStyle w:val="Meta"/>
      </w:pPr>
      <w:r>
        <w:t>Tutor: Ing. Martin Arizpe Riveros · Contexto de aplicación: Colegio Montessori de Sucre</w:t>
      </w:r>
    </w:p>
    <w:p>
      <w:pPr>
        <w:pStyle w:val="Meta"/>
      </w:pPr>
      <w:r>
        <w:t>Estado: MVP definido en 4.º de secundaria, movimiento parabólico; rúbrica de 45 puntos y bibliografía recibidas. Reglas operativas por validar.</w:t>
      </w:r>
    </w:p>
    <w:p>
      <w:pPr>
        <w:pStyle w:val="Heading1"/>
      </w:pPr>
      <w:r>
        <w:t>Definición del producto</w:t>
      </w:r>
    </w:p>
    <w:p>
      <w:pPr/>
      <w:r>
        <w:t>MONTI es una aplicación web que genera proceduralmente laboratorios de Física en 2D a partir de bibliografía escolar recuperada mediante RAG y de una configuración docente acotada. Durante la experimentación, un personaje animado observa las acciones instrumentadas y sostiene un diálogo socrático por texto y voz para recoger evidencia de comprensión. Al finalizar, el estudiante y la profesora reciben un resumen del procedimiento y el resultado.</w:t>
      </w:r>
    </w:p>
    <w:p>
      <w:pPr>
        <w:pStyle w:val="Callout"/>
        <w:shd w:fill="F2F4F7"/>
      </w:pPr>
      <w:r/>
      <w:r>
        <w:rPr>
          <w:b/>
        </w:rPr>
        <w:t>Alcance confirmado:</w:t>
      </w:r>
      <w:r>
        <w:t xml:space="preserve"> movimiento parabólico para 4.º de secundaria. El MVP completará generación procedural, experimentación, evaluación socrática y reporte sobre 45 puntos.</w:t>
      </w:r>
    </w:p>
    <w:p>
      <w:pPr>
        <w:pStyle w:val="Heading2"/>
      </w:pPr>
      <w:r>
        <w:t>Objetivo general propuesto</w:t>
      </w:r>
    </w:p>
    <w:p>
      <w:pPr/>
      <w:r>
        <w:t>Desarrollar y evaluar una aplicación web de laboratorios 2D de movimiento parabólico para 4.º de secundaria, con generación procedural basada en bibliografía y configuración docente, integrada con un asistente de evaluación socrática que utilice las interacciones del estudiante para acompañar y valorar su desempeño.</w:t>
      </w:r>
    </w:p>
    <w:p>
      <w:pPr>
        <w:pStyle w:val="Heading2"/>
      </w:pPr>
      <w:r>
        <w:t>Aporte que deberá demostrar el proyecto</w:t>
      </w:r>
    </w:p>
    <w:p>
      <w:pPr>
        <w:pStyle w:val="BulletM"/>
        <w:numPr>
          <w:ilvl w:val="0"/>
          <w:numId w:val="60"/>
        </w:numPr>
      </w:pPr>
      <w:r/>
      <w:r>
        <w:rPr>
          <w:b/>
        </w:rPr>
        <w:t>Generación verificable:</w:t>
      </w:r>
      <w:r>
        <w:t xml:space="preserve"> componer escenas, controles y tareas coherentes con las fuentes y el nivel elegido por la profesora.</w:t>
      </w:r>
    </w:p>
    <w:p>
      <w:pPr>
        <w:pStyle w:val="BulletM"/>
        <w:numPr>
          <w:ilvl w:val="0"/>
          <w:numId w:val="60"/>
        </w:numPr>
      </w:pPr>
      <w:r/>
      <w:r>
        <w:rPr>
          <w:b/>
        </w:rPr>
        <w:t>Acompañamiento contextual:</w:t>
      </w:r>
      <w:r>
        <w:t xml:space="preserve"> relacionar las preguntas de MONTI con las acciones, los resultados y las explicaciones del estudiante.</w:t>
      </w:r>
    </w:p>
    <w:p>
      <w:pPr>
        <w:pStyle w:val="BulletM"/>
        <w:numPr>
          <w:ilvl w:val="0"/>
          <w:numId w:val="60"/>
        </w:numPr>
      </w:pPr>
      <w:r/>
      <w:r>
        <w:rPr>
          <w:b/>
        </w:rPr>
        <w:t>Evaluación con evidencia:</w:t>
      </w:r>
      <w:r>
        <w:t xml:space="preserve"> distinguir el resultado físico de la comprensión observada y producir un resumen fiel del proceso.</w:t>
      </w:r>
    </w:p>
    <w:p>
      <w:pPr>
        <w:pStyle w:val="Meta"/>
      </w:pPr>
      <w:r>
        <w:t>El título actual se conserva. La adaptabilidad se concreta inicialmente en la configuración docente y en las intervenciones de MONTI según la evidencia de cada intento. El cambio automático de dificultad durante la prueba requiere una decisión adicional.</w:t>
      </w:r>
    </w:p>
    <w:p>
      <w:pPr>
        <w:pStyle w:val="Heading1"/>
        <w:pageBreakBefore/>
        <w:spacing w:before="0"/>
      </w:pPr>
      <w:r>
        <w:t>Experiencia del docente y del estudiante</w:t>
      </w:r>
    </w:p>
    <w:p>
      <w:pPr>
        <w:pStyle w:val="Heading2"/>
      </w:pPr>
      <w:r>
        <w:t>Teacher_Page: controles esenciales</w:t>
      </w:r>
    </w:p>
    <w:p>
      <w:pPr/>
      <w:r>
        <w:t>El panel concentra configuración, vista previa, publicación y resultados. El MVP corresponde a 4.º de secundaria. Se mantiene como escenario de prueba una clase de 30 estudiantes; el tamaño del piloto se confirmará con la profesora.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color="D5DCE3"/>
          <w:left w:val="single" w:sz="4" w:color="D5DCE3"/>
          <w:bottom w:val="single" w:sz="4" w:color="D5DCE3"/>
          <w:right w:val="single" w:sz="4" w:color="D5DCE3"/>
          <w:insideH w:val="single" w:sz="4" w:color="D5DCE3"/>
          <w:insideV w:val="single" w:sz="4" w:color="D5DCE3"/>
        </w:tblBorders>
        <w:tblInd w:type="dxa" w:w="120"/>
      </w:tblPr>
      <w:tblGrid>
        <w:gridCol w:w="2460"/>
        <w:gridCol w:w="6900"/>
      </w:tblGrid>
      <w:tr>
        <w:trPr>
          <w:cantSplit/>
          <w:tblHeader/>
        </w:trPr>
        <w:tc>
          <w:tcPr>
            <w:tcW w:type="dxa" w:w="24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"/>
            </w:pPr>
            <w:r>
              <w:t>Elemento</w:t>
            </w:r>
          </w:p>
        </w:tc>
        <w:tc>
          <w:tcPr>
            <w:tcW w:type="dxa" w:w="69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"/>
            </w:pPr>
            <w:r>
              <w:t>Propuesta para el MVP</w:t>
            </w:r>
          </w:p>
        </w:tc>
      </w:tr>
      <w:tr>
        <w:trPr>
          <w:cantSplit/>
        </w:trPr>
        <w:tc>
          <w:tcPr>
            <w:tcW w:type="dxa" w:w="24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Curso o sesión</w:t>
            </w:r>
          </w:p>
        </w:tc>
        <w:tc>
          <w:tcPr>
            <w:tcW w:type="dxa" w:w="6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Seleccionar el grupo de 4.º al que se publicará la actividad.</w:t>
            </w:r>
          </w:p>
        </w:tc>
      </w:tr>
      <w:tr>
        <w:trPr>
          <w:cantSplit/>
        </w:trPr>
        <w:tc>
          <w:tcPr>
            <w:tcW w:type="dxa" w:w="24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Tema y subtema</w:t>
            </w:r>
          </w:p>
        </w:tc>
        <w:tc>
          <w:tcPr>
            <w:tcW w:type="dxa" w:w="6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Cinemática: movimiento parabólico. Unidad fijada para el MVP.</w:t>
            </w:r>
          </w:p>
        </w:tc>
      </w:tr>
      <w:tr>
        <w:trPr>
          <w:cantSplit/>
        </w:trPr>
        <w:tc>
          <w:tcPr>
            <w:tcW w:type="dxa" w:w="24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Dificultad</w:t>
            </w:r>
          </w:p>
        </w:tc>
        <w:tc>
          <w:tcPr>
            <w:tcW w:type="dxa" w:w="6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Básica, media y avanzada, con reglas pedagógicas predefinidas.</w:t>
            </w:r>
          </w:p>
        </w:tc>
      </w:tr>
      <w:tr>
        <w:trPr>
          <w:cantSplit/>
        </w:trPr>
        <w:tc>
          <w:tcPr>
            <w:tcW w:type="dxa" w:w="24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Objetivo</w:t>
            </w:r>
          </w:p>
        </w:tc>
        <w:tc>
          <w:tcPr>
            <w:tcW w:type="dxa" w:w="6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Alcanzar un objetivo y explicar el procedimiento; variantes acotadas.</w:t>
            </w:r>
          </w:p>
        </w:tc>
      </w:tr>
      <w:tr>
        <w:trPr>
          <w:cantSplit/>
        </w:trPr>
        <w:tc>
          <w:tcPr>
            <w:tcW w:type="dxa" w:w="24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Acciones principales</w:t>
            </w:r>
          </w:p>
        </w:tc>
        <w:tc>
          <w:tcPr>
            <w:tcW w:type="dxa" w:w="6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Generar vista previa y publicar para el curso.</w:t>
            </w:r>
          </w:p>
        </w:tc>
      </w:tr>
      <w:tr>
        <w:trPr>
          <w:cantSplit/>
        </w:trPr>
        <w:tc>
          <w:tcPr>
            <w:tcW w:type="dxa" w:w="24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Resultados</w:t>
            </w:r>
          </w:p>
        </w:tc>
        <w:tc>
          <w:tcPr>
            <w:tcW w:type="dxa" w:w="69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Estado, resumen, resultado y puntaje sobre 45 por estudiante.</w:t>
            </w:r>
          </w:p>
        </w:tc>
      </w:tr>
    </w:tbl>
    <w:p>
      <w:pPr/>
      <w:r>
        <w:t>Se propone un modelo sin resistencia del aire y con gravedad constante. La profesora elige dificultad y grupo; los rangos, los controles y el objetivo se derivan de reglas previamente revisadas para movimiento parabólico.</w:t>
      </w:r>
    </w:p>
    <w:p>
      <w:pPr>
        <w:pStyle w:val="Heading2"/>
      </w:pPr>
      <w:r>
        <w:t>Publicación y pantalla de espera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color="D5DCE3"/>
          <w:left w:val="single" w:sz="4" w:color="D5DCE3"/>
          <w:bottom w:val="single" w:sz="4" w:color="D5DCE3"/>
          <w:right w:val="single" w:sz="4" w:color="D5DCE3"/>
          <w:insideH w:val="single" w:sz="4" w:color="D5DCE3"/>
          <w:insideV w:val="single" w:sz="4" w:color="D5DCE3"/>
        </w:tblBorders>
        <w:tblInd w:type="dxa" w:w="120"/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"/>
            </w:pPr>
            <w:r>
              <w:t>Estado de la sesión</w:t>
            </w:r>
          </w:p>
        </w:tc>
        <w:tc>
          <w:tcPr>
            <w:tcW w:type="dxa" w:w="66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"/>
            </w:pPr>
            <w:r>
              <w:t>Qué ve el estudiante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Borrador docente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“Tu profesora está preparando el laboratorio”.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Generando o validando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“Estamos preparando el experimento”.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Vista previa lista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Espera hasta que la profesora publique.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Publicada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Carga del laboratorio validado y bienvenida de MONTI.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Error o cierre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Mensaje de estado y recuperación; cierre identificado.</w:t>
            </w:r>
          </w:p>
        </w:tc>
      </w:tr>
    </w:tbl>
    <w:p>
      <w:pPr/>
      <w:r>
        <w:t>El backend permite abrir únicamente la versión publicada. La interfaz consulta el estado periódicamente y lo recupera al reconectarse. Si falla la generación, informa al docente y ofrece reintentar.</w:t>
      </w:r>
    </w:p>
    <w:p>
      <w:pPr>
        <w:pStyle w:val="Heading2"/>
      </w:pPr>
      <w:r>
        <w:t>Criterios de simplicidad</w:t>
      </w:r>
    </w:p>
    <w:p>
      <w:pPr/>
      <w:r>
        <w:t>Se propone un laboratorio por sesión para el curso, con intentos y conversaciones individuales. Las variantes por estudiante requieren justificación pedagógica. El número de alumnos se obtiene del grupo. El panel muestra disponibilidad, progreso y resultados; el diagnóstico técnico se consulta aparte.</w:t>
      </w:r>
    </w:p>
    <w:p>
      <w:pPr>
        <w:pStyle w:val="Heading1"/>
        <w:pageBreakBefore/>
        <w:spacing w:before="0"/>
      </w:pPr>
      <w:r>
        <w:t>Arquitectura y tecnologías propuestas</w:t>
      </w:r>
    </w:p>
    <w:p>
      <w:pPr/>
      <w:r>
        <w:t>La solución se organiza como una aplicación React y un backend modular en Python. Generación y tutoría son dos responsabilidades lógicas que comparten autenticación, datos y validación; pueden utilizar el mismo modelo con instrucciones y herramientas diferentes.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color="D5DCE3"/>
          <w:left w:val="single" w:sz="4" w:color="D5DCE3"/>
          <w:bottom w:val="single" w:sz="4" w:color="D5DCE3"/>
          <w:right w:val="single" w:sz="4" w:color="D5DCE3"/>
          <w:insideH w:val="single" w:sz="4" w:color="D5DCE3"/>
          <w:insideV w:val="single" w:sz="4" w:color="D5DCE3"/>
        </w:tblBorders>
        <w:tblInd w:type="dxa" w:w="120"/>
      </w:tblPr>
      <w:tblGrid>
        <w:gridCol w:w="1910"/>
        <w:gridCol w:w="3110"/>
        <w:gridCol w:w="4340"/>
      </w:tblGrid>
      <w:tr>
        <w:trPr>
          <w:cantSplit/>
          <w:tblHeader/>
        </w:trPr>
        <w:tc>
          <w:tcPr>
            <w:tcW w:type="dxa" w:w="191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"/>
            </w:pPr>
            <w:r>
              <w:t>Componente</w:t>
            </w:r>
          </w:p>
        </w:tc>
        <w:tc>
          <w:tcPr>
            <w:tcW w:type="dxa" w:w="311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"/>
            </w:pPr>
            <w:r>
              <w:t>Tecnología</w:t>
            </w:r>
          </w:p>
        </w:tc>
        <w:tc>
          <w:tcPr>
            <w:tcW w:type="dxa" w:w="434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"/>
            </w:pPr>
            <w:r>
              <w:t>Uso en MONTI</w:t>
            </w:r>
          </w:p>
        </w:tc>
      </w:tr>
      <w:tr>
        <w:trPr>
          <w:cantSplit/>
        </w:trPr>
        <w:tc>
          <w:tcPr>
            <w:tcW w:type="dxa" w:w="191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Interfaz web</w:t>
            </w:r>
          </w:p>
        </w:tc>
        <w:tc>
          <w:tcPr>
            <w:tcW w:type="dxa" w:w="311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React + TypeScript + Vite</w:t>
            </w:r>
          </w:p>
        </w:tc>
        <w:tc>
          <w:tcPr>
            <w:tcW w:type="dxa" w:w="434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Teacher_Page, Student_Page, controles y estado de sesión. [1]</w:t>
            </w:r>
          </w:p>
        </w:tc>
      </w:tr>
      <w:tr>
        <w:trPr>
          <w:cantSplit/>
        </w:trPr>
        <w:tc>
          <w:tcPr>
            <w:tcW w:type="dxa" w:w="191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Estilos y personaje</w:t>
            </w:r>
          </w:p>
        </w:tc>
        <w:tc>
          <w:tcPr>
            <w:tcW w:type="dxa" w:w="311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CSS Modules + sprites 2D</w:t>
            </w:r>
          </w:p>
        </w:tc>
        <w:tc>
          <w:tcPr>
            <w:tcW w:type="dxa" w:w="434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Animación, desplazamiento y ventanas de MONTI.</w:t>
            </w:r>
          </w:p>
        </w:tc>
      </w:tr>
      <w:tr>
        <w:trPr>
          <w:cantSplit/>
        </w:trPr>
        <w:tc>
          <w:tcPr>
            <w:tcW w:type="dxa" w:w="191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Backend</w:t>
            </w:r>
          </w:p>
        </w:tc>
        <w:tc>
          <w:tcPr>
            <w:tcW w:type="dxa" w:w="311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Python + FastAPI + Pydantic</w:t>
            </w:r>
          </w:p>
        </w:tc>
        <w:tc>
          <w:tcPr>
            <w:tcW w:type="dxa" w:w="434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API, contratos tipados, reglas y validaciones. [2]</w:t>
            </w:r>
          </w:p>
        </w:tc>
      </w:tr>
      <w:tr>
        <w:trPr>
          <w:cantSplit/>
        </w:trPr>
        <w:tc>
          <w:tcPr>
            <w:tcW w:type="dxa" w:w="191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Datos e identidad</w:t>
            </w:r>
          </w:p>
        </w:tc>
        <w:tc>
          <w:tcPr>
            <w:tcW w:type="dxa" w:w="311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Supabase: PostgreSQL + Auth</w:t>
            </w:r>
          </w:p>
        </w:tc>
        <w:tc>
          <w:tcPr>
            <w:tcW w:type="dxa" w:w="434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Cuentas, cursos, intentos y reportes; permisos por usuario. [3, 4]</w:t>
            </w:r>
          </w:p>
        </w:tc>
      </w:tr>
      <w:tr>
        <w:trPr>
          <w:cantSplit/>
        </w:trPr>
        <w:tc>
          <w:tcPr>
            <w:tcW w:type="dxa" w:w="191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Bibliografía y RAG</w:t>
            </w:r>
          </w:p>
        </w:tc>
        <w:tc>
          <w:tcPr>
            <w:tcW w:type="dxa" w:w="311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Storage privado + pgvector</w:t>
            </w:r>
          </w:p>
        </w:tc>
        <w:tc>
          <w:tcPr>
            <w:tcW w:type="dxa" w:w="434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Documentos, fragmentos, procedencia y recuperación. [5]</w:t>
            </w:r>
          </w:p>
        </w:tc>
      </w:tr>
      <w:tr>
        <w:trPr>
          <w:cantSplit/>
        </w:trPr>
        <w:tc>
          <w:tcPr>
            <w:tcW w:type="dxa" w:w="191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Embeddings</w:t>
            </w:r>
          </w:p>
        </w:tc>
        <w:tc>
          <w:tcPr>
            <w:tcW w:type="dxa" w:w="311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text-embedding-3-small</w:t>
            </w:r>
          </w:p>
        </w:tc>
        <w:tc>
          <w:tcPr>
            <w:tcW w:type="dxa" w:w="434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Representación de fragmentos y consultas. [6]</w:t>
            </w:r>
          </w:p>
        </w:tc>
      </w:tr>
      <w:tr>
        <w:trPr>
          <w:cantSplit/>
        </w:trPr>
        <w:tc>
          <w:tcPr>
            <w:tcW w:type="dxa" w:w="191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Generador y tutor</w:t>
            </w:r>
          </w:p>
        </w:tc>
        <w:tc>
          <w:tcPr>
            <w:tcW w:type="dxa" w:w="311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OpenAI Responses API; GPT-5.4 mini como candidato inicial</w:t>
            </w:r>
          </w:p>
        </w:tc>
        <w:tc>
          <w:tcPr>
            <w:tcW w:type="dxa" w:w="434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LabSpec estructurado, preguntas socráticas y resumen. [7, 8]</w:t>
            </w:r>
          </w:p>
        </w:tc>
      </w:tr>
      <w:tr>
        <w:trPr>
          <w:cantSplit/>
        </w:trPr>
        <w:tc>
          <w:tcPr>
            <w:tcW w:type="dxa" w:w="191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Voz</w:t>
            </w:r>
          </w:p>
        </w:tc>
        <w:tc>
          <w:tcPr>
            <w:tcW w:type="dxa" w:w="311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gpt-4o-mini-transcribe + gpt-4o-mini-tts</w:t>
            </w:r>
          </w:p>
        </w:tc>
        <w:tc>
          <w:tcPr>
            <w:tcW w:type="dxa" w:w="434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Transcribir dudas y leer la respuesta validada. [9, 10]</w:t>
            </w:r>
          </w:p>
        </w:tc>
      </w:tr>
      <w:tr>
        <w:trPr>
          <w:cantSplit/>
        </w:trPr>
        <w:tc>
          <w:tcPr>
            <w:tcW w:type="dxa" w:w="191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Simulación física</w:t>
            </w:r>
          </w:p>
        </w:tc>
        <w:tc>
          <w:tcPr>
            <w:tcW w:type="dxa" w:w="311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Motor de código abierto por integrar</w:t>
            </w:r>
          </w:p>
        </w:tc>
        <w:tc>
          <w:tcPr>
            <w:tcW w:type="dxa" w:w="434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Adaptador de escenas, controles, estado y eventos.</w:t>
            </w:r>
          </w:p>
        </w:tc>
      </w:tr>
      <w:tr>
        <w:trPr>
          <w:cantSplit/>
        </w:trPr>
        <w:tc>
          <w:tcPr>
            <w:tcW w:type="dxa" w:w="191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Exportación</w:t>
            </w:r>
          </w:p>
        </w:tc>
        <w:tc>
          <w:tcPr>
            <w:tcW w:type="dxa" w:w="311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ReportLab + CSV estándar</w:t>
            </w:r>
          </w:p>
        </w:tc>
        <w:tc>
          <w:tcPr>
            <w:tcW w:type="dxa" w:w="434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Resumen individual en PDF y consolidado docente.</w:t>
            </w:r>
          </w:p>
        </w:tc>
      </w:tr>
      <w:tr>
        <w:trPr>
          <w:cantSplit/>
        </w:trPr>
        <w:tc>
          <w:tcPr>
            <w:tcW w:type="dxa" w:w="191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Calidad y operación</w:t>
            </w:r>
          </w:p>
        </w:tc>
        <w:tc>
          <w:tcPr>
            <w:tcW w:type="dxa" w:w="311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pytest + Playwright; Git; Docker</w:t>
            </w:r>
          </w:p>
        </w:tc>
        <w:tc>
          <w:tcPr>
            <w:tcW w:type="dxa" w:w="434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Validación física, recorridos completos y ejecución reproducible.</w:t>
            </w:r>
          </w:p>
        </w:tc>
      </w:tr>
    </w:tbl>
    <w:p>
      <w:pPr>
        <w:pStyle w:val="Heading2"/>
      </w:pPr>
      <w:r>
        <w:t>Por qué esta combinación</w:t>
      </w:r>
    </w:p>
    <w:p>
      <w:pPr/>
      <w:r>
        <w:t>React permite construir las dos experiencias sobre una base común. FastAPI y Pydantic dan una frontera explícita para validar los datos de generación y del simulador. PostgreSQL concentra el registro académico y pgvector mantiene la recuperación bibliográfica en la misma plataforma. La implementación inicial puede coordinar los agentes mediante código Python y el SDK del proveedor.</w:t>
      </w:r>
    </w:p>
    <w:p>
      <w:pPr>
        <w:pStyle w:val="Meta"/>
      </w:pPr>
      <w:r>
        <w:t>Las versiones de librerías se fijarán al iniciar la implementación y comprobar el simulador. El modelo de texto es configurable: su selección depende de pruebas en español, latencia, disponibilidad y costo. El repositorio del proyecto está creado; todavía no contiene el motor de simulación.</w:t>
      </w:r>
    </w:p>
    <w:p>
      <w:pPr>
        <w:pStyle w:val="Heading1"/>
        <w:pageBreakBefore/>
        <w:spacing w:before="0"/>
      </w:pPr>
      <w:r>
        <w:t>Generación procedural y base bibliográfica</w:t>
      </w:r>
    </w:p>
    <w:p>
      <w:pPr>
        <w:pStyle w:val="Heading2"/>
      </w:pPr>
      <w:r>
        <w:t>Qué se genera realmente</w:t>
      </w:r>
    </w:p>
    <w:p>
      <w:pPr/>
      <w:r>
        <w:t>El sistema genera una especificación declarativa denominada LabSpec. Esta describe los objetos de la escena, su disposición, los controles habilitados y sus conexiones con variables físicas, además de la consigna y los objetivos. El adaptador compone la experiencia con componentes compatibles con el motor del repositorio.</w:t>
      </w:r>
    </w:p>
    <w:p>
      <w:pPr/>
      <w:r>
        <w:t>La generación visual compone objetos, instrumentos y representaciones; la interactiva define los controles, sus límites y efectos. El catálogo de componentes y combinaciones admitidas será parte del desarrollo. El requisito comprende la escena y la interacción, además del enunciado y los valores numéricos.</w:t>
      </w:r>
    </w:p>
    <w:p>
      <w:pPr>
        <w:pStyle w:val="Heading2"/>
      </w:pPr>
      <w:r>
        <w:t>Proceso propuesto</w:t>
      </w:r>
    </w:p>
    <w:p>
      <w:pPr>
        <w:pStyle w:val="BulletM"/>
        <w:numPr>
          <w:ilvl w:val="0"/>
          <w:numId w:val="60"/>
        </w:numPr>
      </w:pPr>
      <w:r/>
      <w:r>
        <w:rPr>
          <w:b/>
        </w:rPr>
        <w:t>Preparar la bibliografía.</w:t>
      </w:r>
      <w:r>
        <w:t xml:space="preserve"> Curar el capítulo 8 de Aucallanchi: teoría, problemas y soluciones con acceso diferenciado. Verificar OCR, fórmulas, figuras, páginas y convención de gravedad. [12]</w:t>
      </w:r>
    </w:p>
    <w:p>
      <w:pPr>
        <w:pStyle w:val="BulletM"/>
        <w:numPr>
          <w:ilvl w:val="0"/>
          <w:numId w:val="60"/>
        </w:numPr>
      </w:pPr>
      <w:r/>
      <w:r>
        <w:rPr>
          <w:b/>
        </w:rPr>
        <w:t>Recuperar evidencia.</w:t>
      </w:r>
      <w:r>
        <w:t xml:space="preserve"> Consultar fragmentos por tema, objetivo y dificultad mediante embeddings y filtros. El corpus completo queda disponible para nuevas consultas. [5, 6]</w:t>
      </w:r>
    </w:p>
    <w:p>
      <w:pPr>
        <w:pStyle w:val="BulletM"/>
        <w:numPr>
          <w:ilvl w:val="0"/>
          <w:numId w:val="60"/>
        </w:numPr>
      </w:pPr>
      <w:r/>
      <w:r>
        <w:rPr>
          <w:b/>
        </w:rPr>
        <w:t>Componer el laboratorio.</w:t>
      </w:r>
      <w:r>
        <w:t xml:space="preserve"> Producir LabSpec conforme al esquema y a las capacidades del simulador. Conservar las referencias utilizadas. [8]</w:t>
      </w:r>
    </w:p>
    <w:p>
      <w:pPr>
        <w:pStyle w:val="BulletM"/>
        <w:numPr>
          <w:ilvl w:val="0"/>
          <w:numId w:val="60"/>
        </w:numPr>
      </w:pPr>
      <w:r/>
      <w:r>
        <w:rPr>
          <w:b/>
        </w:rPr>
        <w:t>Validar y resolver.</w:t>
      </w:r>
      <w:r>
        <w:t xml:space="preserve"> Comprobar unidades, rangos, controles y existencia de solución. Calcular la referencia con código físico; aplicar tolerancias y rúbrica declaradas antes de publicar.</w:t>
      </w:r>
    </w:p>
    <w:p>
      <w:pPr>
        <w:pStyle w:val="BulletM"/>
        <w:numPr>
          <w:ilvl w:val="0"/>
          <w:numId w:val="60"/>
        </w:numPr>
      </w:pPr>
      <w:r/>
      <w:r>
        <w:rPr>
          <w:b/>
        </w:rPr>
        <w:t>Previsualizar y publicar.</w:t>
      </w:r>
      <w:r>
        <w:t xml:space="preserve"> Rechazar configuraciones inválidas y permitir revisión docente. Guardar LabSpec, semilla, fuentes, rúbrica y tolerancias versionadas.</w:t>
      </w:r>
    </w:p>
    <w:p>
      <w:pPr>
        <w:pStyle w:val="Heading2"/>
      </w:pPr>
      <w:r>
        <w:t>Contrato mínimo entre generador y simulador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color="D5DCE3"/>
          <w:left w:val="single" w:sz="4" w:color="D5DCE3"/>
          <w:bottom w:val="single" w:sz="4" w:color="D5DCE3"/>
          <w:right w:val="single" w:sz="4" w:color="D5DCE3"/>
          <w:insideH w:val="single" w:sz="4" w:color="D5DCE3"/>
          <w:insideV w:val="single" w:sz="4" w:color="D5DCE3"/>
        </w:tblBorders>
        <w:tblInd w:type="dxa" w:w="120"/>
      </w:tblPr>
      <w:tblGrid>
        <w:gridCol w:w="3100"/>
        <w:gridCol w:w="6260"/>
      </w:tblGrid>
      <w:tr>
        <w:trPr>
          <w:cantSplit/>
          <w:tblHeader/>
        </w:trPr>
        <w:tc>
          <w:tcPr>
            <w:tcW w:type="dxa" w:w="31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"/>
            </w:pPr>
            <w:r>
              <w:t>Bloque de LabSpec</w:t>
            </w:r>
          </w:p>
        </w:tc>
        <w:tc>
          <w:tcPr>
            <w:tcW w:type="dxa" w:w="62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"/>
            </w:pPr>
            <w:r>
              <w:t>Contenido</w:t>
            </w:r>
          </w:p>
        </w:tc>
      </w:tr>
      <w:tr>
        <w:trPr>
          <w:cantSplit/>
        </w:trPr>
        <w:tc>
          <w:tcPr>
            <w:tcW w:type="dxa" w:w="31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Identidad y versión</w:t>
            </w:r>
          </w:p>
        </w:tc>
        <w:tc>
          <w:tcPr>
            <w:tcW w:type="dxa" w:w="62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Tema, dificultad, seed, schema_version, versión del motor y fuentes.</w:t>
            </w:r>
          </w:p>
        </w:tc>
      </w:tr>
      <w:tr>
        <w:trPr>
          <w:cantSplit/>
        </w:trPr>
        <w:tc>
          <w:tcPr>
            <w:tcW w:type="dxa" w:w="31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Escena e interacción</w:t>
            </w:r>
          </w:p>
        </w:tc>
        <w:tc>
          <w:tcPr>
            <w:tcW w:type="dxa" w:w="62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Objetos, posiciones, instrumentos, controles y variable asociada.</w:t>
            </w:r>
          </w:p>
        </w:tc>
      </w:tr>
      <w:tr>
        <w:trPr>
          <w:cantSplit/>
        </w:trPr>
        <w:tc>
          <w:tcPr>
            <w:tcW w:type="dxa" w:w="31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Actividad pública</w:t>
            </w:r>
          </w:p>
        </w:tc>
        <w:tc>
          <w:tcPr>
            <w:tcW w:type="dxa" w:w="62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Consigna, objetivo, unidades, tolerancias, criterios y campos de respuesta.</w:t>
            </w:r>
          </w:p>
        </w:tc>
      </w:tr>
      <w:tr>
        <w:trPr>
          <w:cantSplit/>
        </w:trPr>
        <w:tc>
          <w:tcPr>
            <w:tcW w:type="dxa" w:w="31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Datos reservados al servidor</w:t>
            </w:r>
          </w:p>
        </w:tc>
        <w:tc>
          <w:tcPr>
            <w:tcW w:type="dxa" w:w="62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Referencia física, evaluación, evidencia y versiones de rúbrica y tolerancias.</w:t>
            </w:r>
          </w:p>
        </w:tc>
      </w:tr>
    </w:tbl>
    <w:p>
      <w:pPr>
        <w:pStyle w:val="Caption"/>
      </w:pPr>
      <w:r>
        <w:t>La actividad pública expone criterios y tolerancias; el servidor conserva la solución de referencia y las reglas de cómputo. Structured Outputs ayuda a respetar el esquema; la corrección científica exige validación adicional. [8]</w:t>
      </w:r>
    </w:p>
    <w:p>
      <w:pPr>
        <w:pStyle w:val="Heading1"/>
        <w:pageBreakBefore/>
        <w:spacing w:before="0"/>
      </w:pPr>
      <w:r>
        <w:t>Integración del simulador y registro de acciones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5943600" cy="2691969"/>
            <wp:docPr id="1" name="Picture 1" descr="Arquitectura propuesta: docente y bibliografía alimentan el generador validado; el simulador intercambia acciones y preguntas con MONTI; evidencias y resultado producen el repor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_mont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1. Relaciones principales de la solución propuesta. El adaptador se definirá al integrar el código del simulador.</w:t>
      </w:r>
    </w:p>
    <w:p>
      <w:pPr>
        <w:pStyle w:val="Heading2"/>
      </w:pPr>
      <w:r>
        <w:t>Primera prueba de integración</w:t>
      </w:r>
    </w:p>
    <w:p>
      <w:pPr/>
      <w:r>
        <w:t>Se revisó PG_AdaptaLab-2D: main contiene únicamente README.md, sin simulador. La prueba de integración deberá cargar una escena desde configuración, cambiar una variable, capturar su evento y consultar el resultado. La selección del motor permanece pendiente; PhET Projectile Motion es un candidato localizado. [13]</w:t>
      </w:r>
    </w:p>
    <w:p>
      <w:pPr/>
      <w:r>
        <w:t>Si el simulador se conserva dentro de un iframe, debe incorporar un puente explícito de mensajes con verificación de origen y emisor. Incrustarlo por sí solo no proporciona a MONTI acceso a todas sus acciones. El adaptador debe exponer estado, eventos y aplicación de configuraciones. [11]</w:t>
      </w:r>
    </w:p>
    <w:p>
      <w:pPr>
        <w:pStyle w:val="Heading2"/>
      </w:pPr>
      <w:r>
        <w:t>Evidencia que se registra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color="D5DCE3"/>
          <w:left w:val="single" w:sz="4" w:color="D5DCE3"/>
          <w:bottom w:val="single" w:sz="4" w:color="D5DCE3"/>
          <w:right w:val="single" w:sz="4" w:color="D5DCE3"/>
          <w:insideH w:val="single" w:sz="4" w:color="D5DCE3"/>
          <w:insideV w:val="single" w:sz="4" w:color="D5DCE3"/>
        </w:tblBorders>
        <w:tblInd w:type="dxa" w:w="120"/>
      </w:tblPr>
      <w:tblGrid>
        <w:gridCol w:w="2730"/>
        <w:gridCol w:w="6630"/>
      </w:tblGrid>
      <w:tr>
        <w:trPr>
          <w:cantSplit/>
          <w:tblHeader/>
        </w:trPr>
        <w:tc>
          <w:tcPr>
            <w:tcW w:type="dxa" w:w="273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"/>
            </w:pPr>
            <w:r>
              <w:t>Evento</w:t>
            </w:r>
          </w:p>
        </w:tc>
        <w:tc>
          <w:tcPr>
            <w:tcW w:type="dxa" w:w="663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"/>
            </w:pPr>
            <w:r>
              <w:t>Datos útiles</w:t>
            </w:r>
          </w:p>
        </w:tc>
      </w:tr>
      <w:tr>
        <w:trPr>
          <w:cantSplit/>
        </w:trPr>
        <w:tc>
          <w:tcPr>
            <w:tcW w:type="dxa" w:w="273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Cambio de control</w:t>
            </w:r>
          </w:p>
        </w:tc>
        <w:tc>
          <w:tcPr>
            <w:tcW w:type="dxa" w:w="663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ID del control, variable, valor anterior y nuevo, unidad y secuencia.</w:t>
            </w:r>
          </w:p>
        </w:tc>
      </w:tr>
      <w:tr>
        <w:trPr>
          <w:cantSplit/>
        </w:trPr>
        <w:tc>
          <w:tcPr>
            <w:tcW w:type="dxa" w:w="273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Ejecución o reinicio</w:t>
            </w:r>
          </w:p>
        </w:tc>
        <w:tc>
          <w:tcPr>
            <w:tcW w:type="dxa" w:w="663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ID de corrida, fase, condiciones iniciales, resultados y motivo del reinicio.</w:t>
            </w:r>
          </w:p>
        </w:tc>
      </w:tr>
      <w:tr>
        <w:trPr>
          <w:cantSplit/>
        </w:trPr>
        <w:tc>
          <w:tcPr>
            <w:tcW w:type="dxa" w:w="273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Pregunta y explicación</w:t>
            </w:r>
          </w:p>
        </w:tc>
        <w:tc>
          <w:tcPr>
            <w:tcW w:type="dxa" w:w="663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Texto enviado o transcrito, intervención de MONTI y referencias.</w:t>
            </w:r>
          </w:p>
        </w:tc>
      </w:tr>
      <w:tr>
        <w:trPr>
          <w:cantSplit/>
        </w:trPr>
        <w:tc>
          <w:tcPr>
            <w:tcW w:type="dxa" w:w="273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Entrega del resultado</w:t>
            </w:r>
          </w:p>
        </w:tc>
        <w:tc>
          <w:tcPr>
            <w:tcW w:type="dxa" w:w="663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ID único, respuesta, unidad, versiones y comprobación del servidor.</w:t>
            </w:r>
          </w:p>
        </w:tc>
      </w:tr>
    </w:tbl>
    <w:p>
      <w:pPr/>
      <w:r>
        <w:t>Se registran acciones significativas y muestras de estado; los deslizadores agrupan cambios al confirmar el ajuste. Una cola local con confirmación permite reintentar sin duplicar eventos. MONTI usa contexto relevante, memoria resumida e historial consultable. El modelo interviene ante dudas, entregas o puntos pedagógicos definidos, para sostener el trabajo de 30 estudiantes.</w:t>
      </w:r>
    </w:p>
    <w:p>
      <w:pPr>
        <w:pStyle w:val="Heading1"/>
        <w:pageBreakBefore/>
        <w:spacing w:before="0"/>
      </w:pPr>
      <w:r>
        <w:t>MONTI: evaluación socrática y voz</w:t>
      </w:r>
    </w:p>
    <w:p>
      <w:pPr>
        <w:pStyle w:val="Heading2"/>
      </w:pPr>
      <w:r>
        <w:t>Ciclo de acompañamiento</w:t>
      </w:r>
    </w:p>
    <w:p>
      <w:pPr/>
      <w:r>
        <w:t>En cada intervención MONTI recibe el objetivo, el estado del laboratorio, eventos relevantes, las respuestas previas y fragmentos de la bibliografía. Elige una pregunta relacionada con esa evidencia, escucha la explicación y actualiza un registro de comprensión con referencias a lo observado. El cambio de dificultad durante el intento permanece fuera del comportamiento inicial definido.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color="D5DCE3"/>
          <w:left w:val="single" w:sz="4" w:color="D5DCE3"/>
          <w:bottom w:val="single" w:sz="4" w:color="D5DCE3"/>
          <w:right w:val="single" w:sz="4" w:color="D5DCE3"/>
          <w:insideH w:val="single" w:sz="4" w:color="D5DCE3"/>
          <w:insideV w:val="single" w:sz="4" w:color="D5DCE3"/>
        </w:tblBorders>
        <w:tblInd w:type="dxa" w:w="120"/>
      </w:tblPr>
      <w:tblGrid>
        <w:gridCol w:w="1570"/>
        <w:gridCol w:w="4610"/>
        <w:gridCol w:w="3180"/>
      </w:tblGrid>
      <w:tr>
        <w:trPr>
          <w:cantSplit/>
          <w:tblHeader/>
        </w:trPr>
        <w:tc>
          <w:tcPr>
            <w:tcW w:type="dxa" w:w="157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"/>
            </w:pPr>
            <w:r>
              <w:t>Momento</w:t>
            </w:r>
          </w:p>
        </w:tc>
        <w:tc>
          <w:tcPr>
            <w:tcW w:type="dxa" w:w="461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"/>
            </w:pPr>
            <w:r>
              <w:t>Ejemplo ilustrativo en movimiento parabólico</w:t>
            </w:r>
          </w:p>
        </w:tc>
        <w:tc>
          <w:tcPr>
            <w:tcW w:type="dxa" w:w="318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"/>
            </w:pPr>
            <w:r>
              <w:t>Evidencia buscada</w:t>
            </w:r>
          </w:p>
        </w:tc>
      </w:tr>
      <w:tr>
        <w:trPr>
          <w:cantSplit/>
        </w:trPr>
        <w:tc>
          <w:tcPr>
            <w:tcW w:type="dxa" w:w="157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Duda</w:t>
            </w:r>
          </w:p>
        </w:tc>
        <w:tc>
          <w:tcPr>
            <w:tcW w:type="dxa" w:w="461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“¿Qué variable cambiaste y qué efecto esperabas observar?”</w:t>
            </w:r>
          </w:p>
        </w:tc>
        <w:tc>
          <w:tcPr>
            <w:tcW w:type="dxa" w:w="318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Identificación de variables y expectativas.</w:t>
            </w:r>
          </w:p>
        </w:tc>
      </w:tr>
      <w:tr>
        <w:trPr>
          <w:cantSplit/>
        </w:trPr>
        <w:tc>
          <w:tcPr>
            <w:tcW w:type="dxa" w:w="157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Error</w:t>
            </w:r>
          </w:p>
        </w:tc>
        <w:tc>
          <w:tcPr>
            <w:tcW w:type="dxa" w:w="461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“¿Cómo se compara la trayectoria que obtuviste con tu predicción?”</w:t>
            </w:r>
          </w:p>
        </w:tc>
        <w:tc>
          <w:tcPr>
            <w:tcW w:type="dxa" w:w="318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Detección y explicación de inconsistencias.</w:t>
            </w:r>
          </w:p>
        </w:tc>
      </w:tr>
      <w:tr>
        <w:trPr>
          <w:cantSplit/>
        </w:trPr>
        <w:tc>
          <w:tcPr>
            <w:tcW w:type="dxa" w:w="157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Acierto</w:t>
            </w:r>
          </w:p>
        </w:tc>
        <w:tc>
          <w:tcPr>
            <w:tcW w:type="dxa" w:w="461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“¿Cómo explicarías que este ajuste permitió alcanzar el objetivo?”</w:t>
            </w:r>
          </w:p>
        </w:tc>
        <w:tc>
          <w:tcPr>
            <w:tcW w:type="dxa" w:w="318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Relación causal sustentada en el experimento.</w:t>
            </w:r>
          </w:p>
        </w:tc>
      </w:tr>
      <w:tr>
        <w:trPr>
          <w:cantSplit/>
        </w:trPr>
        <w:tc>
          <w:tcPr>
            <w:tcW w:type="dxa" w:w="157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Transferencia</w:t>
            </w:r>
          </w:p>
        </w:tc>
        <w:tc>
          <w:tcPr>
            <w:tcW w:type="dxa" w:w="461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“Si mantienes la rapidez y cambias el ángulo, ¿qué crees que ocurrirá?”</w:t>
            </w:r>
          </w:p>
        </w:tc>
        <w:tc>
          <w:tcPr>
            <w:tcW w:type="dxa" w:w="318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Predicción y justificación en nuevas condiciones.</w:t>
            </w:r>
          </w:p>
        </w:tc>
      </w:tr>
    </w:tbl>
    <w:p>
      <w:pPr/>
      <w:r>
        <w:t>La profesora revisará la profundidad de estas preguntas para 4.º de secundaria. MONTI hace una pregunta a la vez, permite tiempo de respuesta y ofrece ayudas progresivas. Si persiste una dificultad, puede explicar brevemente el concepto y volver a preguntar. La interacción debe evitar un interrogatorio repetitivo.</w:t>
      </w:r>
    </w:p>
    <w:p>
      <w:pPr>
        <w:pStyle w:val="Heading2"/>
      </w:pPr>
      <w:r>
        <w:t>Voz y personaje</w:t>
      </w:r>
    </w:p>
    <w:p>
      <w:pPr/>
      <w:r>
        <w:t>La primera versión usará pulsar para hablar: captura del micrófono, transcripción, generación de la respuesta y síntesis de voz. El texto validado será la base común de la ventana y del audio. El estudiante puede revisar la transcripción cuando los números o términos físicos se reconozcan de forma incorrecta. [9, 10]</w:t>
      </w:r>
    </w:p>
    <w:p>
      <w:pPr/>
      <w:r>
        <w:t>MONTI tendrá estados de reposo, escucha, espera, habla y señalización. Su desplazamiento se limita a zonas visibles que no tapen controles ni respuestas; podrá señalar un elemento por su ID. Se incluirán texto siempre visible, silencio, repetición y movimiento reducido. El audio requiere micrófono, permiso del navegador, HTTPS y audífonos para la clase.</w:t>
      </w:r>
    </w:p>
    <w:p>
      <w:pPr>
        <w:pStyle w:val="Heading2"/>
      </w:pPr>
      <w:r>
        <w:t>Evaluación que puede sostenerse con la evidencia</w:t>
      </w:r>
    </w:p>
    <w:p>
      <w:pPr/>
      <w:r>
        <w:t>La distribución vigente suma 45 puntos: procedimiento técnico 18, comprensión y justificación 14, resultado físico 9, eficiencia e intentos 4. Los eventos y las explicaciones respaldan cada valoración. Alcanzar el objetivo físico no concede automáticamente el puntaje total. Los detalles operativos se desarrollan en la rúbrica de este documento.</w:t>
      </w:r>
    </w:p>
    <w:p>
      <w:pPr>
        <w:pStyle w:val="Meta"/>
      </w:pPr>
      <w:r>
        <w:t>MONTI debe fundamentar sus valoraciones en evidencia registrada. La profesora conserva la revisión pedagógica; los descriptores, las tolerancias y las penalizaciones propuestas requieren validación.</w:t>
      </w:r>
    </w:p>
    <w:p>
      <w:pPr>
        <w:pStyle w:val="Heading1"/>
        <w:pageBreakBefore/>
        <w:spacing w:before="0"/>
      </w:pPr>
      <w:r>
        <w:t>Finalización, resumen y resultado</w:t>
      </w:r>
    </w:p>
    <w:p>
      <w:pPr>
        <w:pStyle w:val="Heading2"/>
      </w:pPr>
      <w:r>
        <w:t>Flujo al resolver la actividad</w:t>
      </w:r>
    </w:p>
    <w:p>
      <w:pPr/>
      <w:r>
        <w:t>El servidor verifica el objetivo físico y genera el resumen exportable. La nota incorpora procedimiento, justificación e intentos; queda provisional si faltan evidencias por un fallo técnico.</w:t>
      </w:r>
    </w:p>
    <w:p>
      <w:pPr/>
      <w:r>
        <w:t>Estudiante y profesora reciben el mismo reporte versionado. La lista docente muestra estado, resultado, puntaje /45 y enlace al resumen.</w:t>
      </w:r>
    </w:p>
    <w:p>
      <w:pPr>
        <w:pStyle w:val="Heading2"/>
      </w:pPr>
      <w:r>
        <w:t>Contenido propuesto del reporte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color="D5DCE3"/>
          <w:left w:val="single" w:sz="4" w:color="D5DCE3"/>
          <w:bottom w:val="single" w:sz="4" w:color="D5DCE3"/>
          <w:right w:val="single" w:sz="4" w:color="D5DCE3"/>
          <w:insideH w:val="single" w:sz="4" w:color="D5DCE3"/>
          <w:insideV w:val="single" w:sz="4" w:color="D5DCE3"/>
        </w:tblBorders>
        <w:tblInd w:type="dxa" w:w="120"/>
      </w:tblPr>
      <w:tblGrid>
        <w:gridCol w:w="2860"/>
        <w:gridCol w:w="6500"/>
      </w:tblGrid>
      <w:tr>
        <w:trPr>
          <w:cantSplit/>
          <w:tblHeader/>
        </w:trPr>
        <w:tc>
          <w:tcPr>
            <w:tcW w:type="dxa" w:w="28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"/>
            </w:pPr>
            <w:r>
              <w:t>Campo</w:t>
            </w:r>
          </w:p>
        </w:tc>
        <w:tc>
          <w:tcPr>
            <w:tcW w:type="dxa" w:w="65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"/>
            </w:pPr>
            <w:r>
              <w:t>Información</w:t>
            </w:r>
          </w:p>
        </w:tc>
      </w:tr>
      <w:tr>
        <w:trPr>
          <w:cantSplit/>
        </w:trPr>
        <w:tc>
          <w:tcPr>
            <w:tcW w:type="dxa" w:w="28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Identificación</w:t>
            </w:r>
          </w:p>
        </w:tc>
        <w:tc>
          <w:tcPr>
            <w:tcW w:type="dxa" w:w="6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Estudiante, curso, laboratorio y fecha.</w:t>
            </w:r>
          </w:p>
        </w:tc>
      </w:tr>
      <w:tr>
        <w:trPr>
          <w:cantSplit/>
        </w:trPr>
        <w:tc>
          <w:tcPr>
            <w:tcW w:type="dxa" w:w="28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Resultado</w:t>
            </w:r>
          </w:p>
        </w:tc>
        <w:tc>
          <w:tcPr>
            <w:tcW w:type="dxa" w:w="6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Valor o logro obtenido, unidad cuando corresponda y estado de verificación.</w:t>
            </w:r>
          </w:p>
        </w:tc>
      </w:tr>
      <w:tr>
        <w:trPr>
          <w:cantSplit/>
        </w:trPr>
        <w:tc>
          <w:tcPr>
            <w:tcW w:type="dxa" w:w="28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Resumen del procedimiento</w:t>
            </w:r>
          </w:p>
        </w:tc>
        <w:tc>
          <w:tcPr>
            <w:tcW w:type="dxa" w:w="6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Tres a cinco oraciones sobre ajustes, pruebas y correcciones relevantes.</w:t>
            </w:r>
          </w:p>
        </w:tc>
      </w:tr>
      <w:tr>
        <w:trPr>
          <w:cantSplit/>
        </w:trPr>
        <w:tc>
          <w:tcPr>
            <w:tcW w:type="dxa" w:w="28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Calificación y comprensión</w:t>
            </w:r>
          </w:p>
        </w:tc>
        <w:tc>
          <w:tcPr>
            <w:tcW w:type="dxa" w:w="65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Total /45, cuatro componentes y justificación breve; estado provisional si procede.</w:t>
            </w:r>
          </w:p>
        </w:tc>
      </w:tr>
    </w:tbl>
    <w:p>
      <w:pPr>
        <w:pStyle w:val="Heading2"/>
      </w:pPr>
      <w:r>
        <w:t>Ejemplo ilustrativo; no corresponde a una prueba real</w:t>
      </w:r>
    </w:p>
    <w:p>
      <w:pPr>
        <w:pStyle w:val="Callout"/>
        <w:shd w:fill="F2F4F7"/>
      </w:pPr>
      <w:r/>
      <w:r>
        <w:rPr>
          <w:b/>
        </w:rPr>
        <w:t>Resultado:</w:t>
      </w:r>
      <w:r>
        <w:t xml:space="preserve"> objetivo físico cumplido. </w:t>
      </w:r>
      <w:r>
        <w:rPr>
          <w:b/>
        </w:rPr>
        <w:t>Puntaje ilustrativo:</w:t>
      </w:r>
      <w:r>
        <w:t xml:space="preserve"> 37/45: procedimiento 15/18; comprensión 10,5/14; resultado 9/9; eficiencia 2,5/4.</w:t>
        <w:br/>
      </w:r>
      <w:r>
        <w:rPr>
          <w:b/>
        </w:rPr>
        <w:t>Resumen:</w:t>
      </w:r>
      <w:r>
        <w:t xml:space="preserve"> comparó lanzamientos y justificó el ajuste final. Su predicción quedó parcialmente explicada. Se registraron dos intentos fallidos computables según la regla propuesta.</w:t>
      </w:r>
    </w:p>
    <w:p>
      <w:pPr/>
      <w:r>
        <w:t>Se propone un resumen de hasta 150 palabras, acompañado del resultado y el desglose de puntos. El registro detallado se conserva para trazabilidad y revisión docente.</w:t>
      </w:r>
    </w:p>
    <w:p>
      <w:pPr>
        <w:pStyle w:val="Heading2"/>
      </w:pPr>
      <w:r>
        <w:t>Cierre incompleto y recuperación</w:t>
      </w:r>
    </w:p>
    <w:p>
      <w:pPr/>
      <w:r>
        <w:t>Se conservan sesiones incompletas y notas provisionales identificadas. Si falla el resumen, se ofrece un texto básico derivado de eventos. Los reintentos de red mantienen la identidad de la entrega.</w:t>
      </w:r>
    </w:p>
    <w:p>
      <w:pPr>
        <w:pStyle w:val="Heading2"/>
      </w:pPr>
      <w:r>
        <w:t>Datos mínimos y acceso</w:t>
      </w:r>
    </w:p>
    <w:p>
      <w:pPr/>
      <w:r>
        <w:t>La base registra cursos, fuentes, sesiones, acciones, diálogos y reportes. El backend y las políticas por fila limitan el acceso del estudiante a sus intentos y el de la profesora a su curso. [3, 4]</w:t>
      </w:r>
    </w:p>
    <w:p>
      <w:pPr/>
      <w:r>
        <w:t>Las claves permanecen en el servidor y el audio se descarta tras transcribirlo por defecto. Acceso y conservación de datos se acuerdan con el colegio antes del piloto.</w:t>
      </w:r>
    </w:p>
    <w:p>
      <w:pPr>
        <w:pStyle w:val="Heading1"/>
        <w:pageBreakBefore/>
        <w:spacing w:before="0"/>
      </w:pPr>
      <w:r>
        <w:t>Validación del MVP y del trabajo de grado</w:t>
      </w:r>
    </w:p>
    <w:p>
      <w:pPr/>
      <w:r>
        <w:t>Los criterios cubren funcionamiento, coherencia física y fidelidad de la evaluación sobre 45 puntos. Los instrumentos se revisarán con la profesora y el tutor.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color="D5DCE3"/>
          <w:left w:val="single" w:sz="4" w:color="D5DCE3"/>
          <w:bottom w:val="single" w:sz="4" w:color="D5DCE3"/>
          <w:right w:val="single" w:sz="4" w:color="D5DCE3"/>
          <w:insideH w:val="single" w:sz="4" w:color="D5DCE3"/>
          <w:insideV w:val="single" w:sz="4" w:color="D5DCE3"/>
        </w:tblBorders>
        <w:tblInd w:type="dxa" w:w="120"/>
      </w:tblPr>
      <w:tblGrid>
        <w:gridCol w:w="2550"/>
        <w:gridCol w:w="6810"/>
      </w:tblGrid>
      <w:tr>
        <w:trPr>
          <w:cantSplit/>
          <w:tblHeader/>
        </w:trPr>
        <w:tc>
          <w:tcPr>
            <w:tcW w:type="dxa" w:w="255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"/>
            </w:pPr>
            <w:r>
              <w:t>Dimensión</w:t>
            </w:r>
          </w:p>
        </w:tc>
        <w:tc>
          <w:tcPr>
            <w:tcW w:type="dxa" w:w="681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"/>
            </w:pPr>
            <w:r>
              <w:t>Comprobación propuesta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Generación procedural</w:t>
            </w:r>
          </w:p>
        </w:tc>
        <w:tc>
          <w:tcPr>
            <w:tcW w:type="dxa" w:w="681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Distintas configuraciones producen las escenas y controles previstos; cada una conserva fuente, semilla y versión.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Corrección física</w:t>
            </w:r>
          </w:p>
        </w:tc>
        <w:tc>
          <w:tcPr>
            <w:tcW w:type="dxa" w:w="681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Casos de referencia y de frontera contrastan resultados, unidades y tolerancias. Un laboratorio insoluble o inválido no se publica.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RAG</w:t>
            </w:r>
          </w:p>
        </w:tc>
        <w:tc>
          <w:tcPr>
            <w:tcW w:type="dxa" w:w="681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Consultas de evaluación recuperan la bibliografía pertinente; se miden recuperación de fuentes y errores de atribución.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Tutoría socrática</w:t>
            </w:r>
          </w:p>
        </w:tc>
        <w:tc>
          <w:tcPr>
            <w:tcW w:type="dxa" w:w="681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Un conjunto inicial de 20 situaciones revisadas por la profesora comprueba pertinencia, apertura, progresión y apoyo científico.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Calificación y resumen</w:t>
            </w:r>
          </w:p>
        </w:tc>
        <w:tc>
          <w:tcPr>
            <w:tcW w:type="dxa" w:w="681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Suma y límites correctos; deduplicación de intentos; evidencia para cada valoración y afirmación del reporte.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Permisos y estado</w:t>
            </w:r>
          </w:p>
        </w:tc>
        <w:tc>
          <w:tcPr>
            <w:tcW w:type="dxa" w:w="681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Un estudiante no abre borradores, no accede a intentos ajenos y recupera su versión tras una reconexión.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Clase simultánea</w:t>
            </w:r>
          </w:p>
        </w:tc>
        <w:tc>
          <w:tcPr>
            <w:tcW w:type="dxa" w:w="681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Prueba con 30 sesiones, ráfagas de preguntas y voz por turnos; se registran errores, latencia p50/p95, costo y recuperación.</w:t>
            </w:r>
          </w:p>
        </w:tc>
      </w:tr>
    </w:tbl>
    <w:p>
      <w:pPr>
        <w:pStyle w:val="Heading2"/>
      </w:pPr>
      <w:r>
        <w:t>Evaluación académica</w:t>
      </w:r>
    </w:p>
    <w:p>
      <w:pPr/>
      <w:r>
        <w:t>Se propone un trabajo de diseño, construcción y evaluación de un artefacto, con validación docente y piloto. Los objetivos específicos abarcan el modelo pedagógico, RAG y generación, integración del simulador, MONTI y reportes, y evaluación de los criterios definidos.</w:t>
      </w:r>
    </w:p>
    <w:p>
      <w:pPr/>
      <w:r>
        <w:t>La profesora valorará una muestra de las mismas evidencias y se comparará su puntuación con MONTI, por criterio. Se analizarán discrepancias y revisiones. Afirmar mejora del aprendizaje requerirá medidas previas y posteriores y, cuando sea viable, una comparación equivalente.</w:t>
      </w:r>
    </w:p>
    <w:p>
      <w:pPr>
        <w:pStyle w:val="Heading2"/>
      </w:pPr>
      <w:r>
        <w:t>Condiciones para interpretar los resultados</w:t>
      </w:r>
    </w:p>
    <w:p>
      <w:pPr/>
      <w:r>
        <w:t>Una clase de 30 estudiantes constituye un piloto con generalización limitada. Muestra, metodología e instrumentos se acuerdan con el tutor. La memoria incorporará resultados reales, limitaciones y evidencia reproducible.</w:t>
      </w:r>
    </w:p>
    <w:p>
      <w:pPr/>
      <w:r>
        <w:t>Los umbrales de latencia se fijarán en la primera prueba real. El simulador responderá localmente mientras espera a MONTI. Si falla la IA, informará al estudiante y permitirá continuar o pedir apoyo docente.</w:t>
      </w:r>
    </w:p>
    <w:p>
      <w:pPr>
        <w:pStyle w:val="Heading1"/>
        <w:pageBreakBefore/>
        <w:spacing w:before="0"/>
      </w:pPr>
      <w:r>
        <w:t>Ruta de implementación y recursos</w:t>
      </w:r>
    </w:p>
    <w:p>
      <w:pPr/>
      <w:r>
        <w:t>Plan tentativo de ocho semanas, sujeto a la integración del simulador, la curación del capítulo 8 y la validación docente. Se reestima tras la primera prueba técnica.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color="D5DCE3"/>
          <w:left w:val="single" w:sz="4" w:color="D5DCE3"/>
          <w:bottom w:val="single" w:sz="4" w:color="D5DCE3"/>
          <w:right w:val="single" w:sz="4" w:color="D5DCE3"/>
          <w:insideH w:val="single" w:sz="4" w:color="D5DCE3"/>
          <w:insideV w:val="single" w:sz="4" w:color="D5DCE3"/>
        </w:tblBorders>
        <w:tblInd w:type="dxa" w:w="120"/>
      </w:tblPr>
      <w:tblGrid>
        <w:gridCol w:w="1450"/>
        <w:gridCol w:w="3980"/>
        <w:gridCol w:w="3930"/>
      </w:tblGrid>
      <w:tr>
        <w:trPr>
          <w:cantSplit/>
          <w:tblHeader/>
        </w:trPr>
        <w:tc>
          <w:tcPr>
            <w:tcW w:type="dxa" w:w="145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"/>
            </w:pPr>
            <w:r>
              <w:t>Etapa</w:t>
            </w:r>
          </w:p>
        </w:tc>
        <w:tc>
          <w:tcPr>
            <w:tcW w:type="dxa" w:w="398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"/>
            </w:pPr>
            <w:r>
              <w:t>Trabajo</w:t>
            </w:r>
          </w:p>
        </w:tc>
        <w:tc>
          <w:tcPr>
            <w:tcW w:type="dxa" w:w="393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"/>
            </w:pPr>
            <w:r>
              <w:t>Entrega verificable</w:t>
            </w:r>
          </w:p>
        </w:tc>
      </w:tr>
      <w:tr>
        <w:trPr>
          <w:cantSplit/>
        </w:trPr>
        <w:tc>
          <w:tcPr>
            <w:tcW w:type="dxa" w:w="145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Semana 1</w:t>
            </w:r>
          </w:p>
        </w:tc>
        <w:tc>
          <w:tcPr>
            <w:tcW w:type="dxa" w:w="398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Integrar simulador, curar fuentes y revisar criterios físicos.</w:t>
            </w:r>
          </w:p>
        </w:tc>
        <w:tc>
          <w:tcPr>
            <w:tcW w:type="dxa" w:w="393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Simulador compilado; una variable y un evento integrados.</w:t>
            </w:r>
          </w:p>
        </w:tc>
      </w:tr>
      <w:tr>
        <w:trPr>
          <w:cantSplit/>
        </w:trPr>
        <w:tc>
          <w:tcPr>
            <w:tcW w:type="dxa" w:w="145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Semana 2</w:t>
            </w:r>
          </w:p>
        </w:tc>
        <w:tc>
          <w:tcPr>
            <w:tcW w:type="dxa" w:w="398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Crear cuentas, sesión, espera y publicación.</w:t>
            </w:r>
          </w:p>
        </w:tc>
        <w:tc>
          <w:tcPr>
            <w:tcW w:type="dxa" w:w="393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Docente publica y estudiante accede al laboratorio.</w:t>
            </w:r>
          </w:p>
        </w:tc>
      </w:tr>
      <w:tr>
        <w:trPr>
          <w:cantSplit/>
        </w:trPr>
        <w:tc>
          <w:tcPr>
            <w:tcW w:type="dxa" w:w="145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Semana 3</w:t>
            </w:r>
          </w:p>
        </w:tc>
        <w:tc>
          <w:tcPr>
            <w:tcW w:type="dxa" w:w="398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Preparar corpus, RAG, LabSpec y validador.</w:t>
            </w:r>
          </w:p>
        </w:tc>
        <w:tc>
          <w:tcPr>
            <w:tcW w:type="dxa" w:w="393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Un laboratorio generado, validado y reproducible.</w:t>
            </w:r>
          </w:p>
        </w:tc>
      </w:tr>
      <w:tr>
        <w:trPr>
          <w:cantSplit/>
        </w:trPr>
        <w:tc>
          <w:tcPr>
            <w:tcW w:type="dxa" w:w="145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Semana 4</w:t>
            </w:r>
          </w:p>
        </w:tc>
        <w:tc>
          <w:tcPr>
            <w:tcW w:type="dxa" w:w="398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Capturar eventos y añadir tutoría por texto.</w:t>
            </w:r>
          </w:p>
        </w:tc>
        <w:tc>
          <w:tcPr>
            <w:tcW w:type="dxa" w:w="393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MONTI pregunta usando una acción real del estudiante.</w:t>
            </w:r>
          </w:p>
        </w:tc>
      </w:tr>
      <w:tr>
        <w:trPr>
          <w:cantSplit/>
        </w:trPr>
        <w:tc>
          <w:tcPr>
            <w:tcW w:type="dxa" w:w="145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Semana 5</w:t>
            </w:r>
          </w:p>
        </w:tc>
        <w:tc>
          <w:tcPr>
            <w:tcW w:type="dxa" w:w="398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Añadir personaje y voz por turnos.</w:t>
            </w:r>
          </w:p>
        </w:tc>
        <w:tc>
          <w:tcPr>
            <w:tcW w:type="dxa" w:w="393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Interacción por micrófono, audio y ventana de texto.</w:t>
            </w:r>
          </w:p>
        </w:tc>
      </w:tr>
      <w:tr>
        <w:trPr>
          <w:cantSplit/>
        </w:trPr>
        <w:tc>
          <w:tcPr>
            <w:tcW w:type="dxa" w:w="145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Semana 6</w:t>
            </w:r>
          </w:p>
        </w:tc>
        <w:tc>
          <w:tcPr>
            <w:tcW w:type="dxa" w:w="398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Aplicar rúbrica 18/14/9/4 y producir reportes.</w:t>
            </w:r>
          </w:p>
        </w:tc>
        <w:tc>
          <w:tcPr>
            <w:tcW w:type="dxa" w:w="393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Puntaje /45, resultado y resumen exportable.</w:t>
            </w:r>
          </w:p>
        </w:tc>
      </w:tr>
      <w:tr>
        <w:trPr>
          <w:cantSplit/>
        </w:trPr>
        <w:tc>
          <w:tcPr>
            <w:tcW w:type="dxa" w:w="145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Semana 7</w:t>
            </w:r>
          </w:p>
        </w:tc>
        <w:tc>
          <w:tcPr>
            <w:tcW w:type="dxa" w:w="398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Evaluar Física, tutoría y 30 sesiones.</w:t>
            </w:r>
          </w:p>
        </w:tc>
        <w:tc>
          <w:tcPr>
            <w:tcW w:type="dxa" w:w="393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Registro de pruebas, errores y correcciones.</w:t>
            </w:r>
          </w:p>
        </w:tc>
      </w:tr>
      <w:tr>
        <w:trPr>
          <w:cantSplit/>
        </w:trPr>
        <w:tc>
          <w:tcPr>
            <w:tcW w:type="dxa" w:w="145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Semana 8</w:t>
            </w:r>
          </w:p>
        </w:tc>
        <w:tc>
          <w:tcPr>
            <w:tcW w:type="dxa" w:w="398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Ejecutar piloto y cerrar documentación.</w:t>
            </w:r>
          </w:p>
        </w:tc>
        <w:tc>
          <w:tcPr>
            <w:tcW w:type="dxa" w:w="393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Datos reales, análisis, manuales y demostración.</w:t>
            </w:r>
          </w:p>
        </w:tc>
      </w:tr>
    </w:tbl>
    <w:p>
      <w:pPr>
        <w:pStyle w:val="Heading2"/>
      </w:pPr>
      <w:r>
        <w:t>Infraestructura propuesta</w:t>
      </w:r>
    </w:p>
    <w:p>
      <w:pPr/>
      <w:r>
        <w:t>El navegador ejecuta el simulador y la interfaz React. FastAPI opera en un servicio con HTTPS; Supabase gestiona datos e identidad. El alojamiento se elige según recursos y requisitos institucionales. Docker permite reproducir el backend.</w:t>
      </w:r>
    </w:p>
    <w:p>
      <w:pPr/>
      <w:r>
        <w:t>Una tabla de trabajos persistentes en PostgreSQL y un proceso del backend coordinan generación y reportes con reintentos limitados y recuperación tras reinicios. El panel empieza con consultas periódicas, sujetas a verificación en la prueba de carga.</w:t>
      </w:r>
    </w:p>
    <w:p>
      <w:pPr>
        <w:pStyle w:val="Heading2"/>
      </w:pPr>
      <w:r>
        <w:t>Costo: qué se debe presupuestar</w:t>
      </w:r>
    </w:p>
    <w:p>
      <w:pPr/>
      <w:r>
        <w:t>El presupuesto incluye alojamiento, datos, almacenamiento, texto, voz y audífonos con micrófono. Depende de la frecuencia de clases, duración del audio, contexto y límites de la cuenta del proveedor.</w:t>
      </w:r>
    </w:p>
    <w:p>
      <w:pPr>
        <w:pStyle w:val="Meta"/>
      </w:pPr>
      <w:r>
        <w:t>Como referencia, GPT-5.4 mini publica USD 0,75 por millón de tokens de entrada y USD 4,50 por millón de salida. [7] El presupuesto debe sumar voz, generación, resúmenes, embeddings, reintentos e infraestructura. Se medirá consumo por sesión y se aplicarán límites. Tarifas consultadas el 7 de septiembre de 2026.</w:t>
      </w:r>
    </w:p>
    <w:p>
      <w:pPr>
        <w:pStyle w:val="Heading1"/>
        <w:pageBreakBefore/>
        <w:spacing w:before="0"/>
      </w:pPr>
      <w:r>
        <w:t>Decisiones pendientes y colaboración</w:t>
      </w:r>
    </w:p>
    <w:p>
      <w:pPr>
        <w:pStyle w:val="Heading2"/>
      </w:pPr>
      <w:r>
        <w:t>Información necesaria para la primera implementación</w:t>
      </w:r>
    </w:p>
    <w:p>
      <w:pPr>
        <w:pStyle w:val="BulletM"/>
        <w:numPr>
          <w:ilvl w:val="0"/>
          <w:numId w:val="60"/>
        </w:numPr>
      </w:pPr>
      <w:r/>
      <w:r>
        <w:rPr>
          <w:b/>
        </w:rPr>
        <w:t>Código del simulador.</w:t>
      </w:r>
      <w:r>
        <w:t xml:space="preserve"> PG_AdaptaLab-2D fue recibido y revisado; solo contiene el README. Falta incorporar el simulador original o elegir una base como PhET Projectile Motion. [13]</w:t>
      </w:r>
    </w:p>
    <w:p>
      <w:pPr>
        <w:pStyle w:val="BulletM"/>
        <w:numPr>
          <w:ilvl w:val="0"/>
          <w:numId w:val="60"/>
        </w:numPr>
      </w:pPr>
      <w:r/>
      <w:r>
        <w:rPr>
          <w:b/>
        </w:rPr>
        <w:t>Bibliografía y unidad.</w:t>
      </w:r>
      <w:r>
        <w:t xml:space="preserve"> Se recibió el libro de RACSO y se localizó el capítulo 8. El alcance elegido es movimiento parabólico de 4.º; falta validar la selección de ejercicios con la profesora.</w:t>
      </w:r>
    </w:p>
    <w:p>
      <w:pPr>
        <w:pStyle w:val="BulletM"/>
        <w:numPr>
          <w:ilvl w:val="0"/>
          <w:numId w:val="60"/>
        </w:numPr>
      </w:pPr>
      <w:r/>
      <w:r>
        <w:rPr>
          <w:b/>
        </w:rPr>
        <w:t>Evaluación.</w:t>
      </w:r>
      <w:r>
        <w:t xml:space="preserve"> Se conserva la distribución 18/14/9/4. Las propuestas de este documento concretan descriptores, tolerancias y conteo de intentos para revisarlos antes de una sesión evaluada.</w:t>
      </w:r>
    </w:p>
    <w:p>
      <w:pPr>
        <w:pStyle w:val="Heading2"/>
      </w:pPr>
      <w:r>
        <w:t>Decisiones que podemos resolver durante el arranque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color="D5DCE3"/>
          <w:left w:val="single" w:sz="4" w:color="D5DCE3"/>
          <w:bottom w:val="single" w:sz="4" w:color="D5DCE3"/>
          <w:right w:val="single" w:sz="4" w:color="D5DCE3"/>
          <w:insideH w:val="single" w:sz="4" w:color="D5DCE3"/>
          <w:insideV w:val="single" w:sz="4" w:color="D5DCE3"/>
        </w:tblBorders>
        <w:tblInd w:type="dxa" w:w="120"/>
      </w:tblPr>
      <w:tblGrid>
        <w:gridCol w:w="2870"/>
        <w:gridCol w:w="6490"/>
      </w:tblGrid>
      <w:tr>
        <w:trPr>
          <w:cantSplit/>
          <w:tblHeader/>
        </w:trPr>
        <w:tc>
          <w:tcPr>
            <w:tcW w:type="dxa" w:w="287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"/>
            </w:pPr>
            <w:r>
              <w:t>Decisión</w:t>
            </w:r>
          </w:p>
        </w:tc>
        <w:tc>
          <w:tcPr>
            <w:tcW w:type="dxa" w:w="649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"/>
            </w:pPr>
            <w:r>
              <w:t>Propuesta inicial</w:t>
            </w:r>
          </w:p>
        </w:tc>
      </w:tr>
      <w:tr>
        <w:trPr>
          <w:cantSplit/>
        </w:trPr>
        <w:tc>
          <w:tcPr>
            <w:tcW w:type="dxa" w:w="287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Piloto y actividad</w:t>
            </w:r>
          </w:p>
        </w:tc>
        <w:tc>
          <w:tcPr>
            <w:tcW w:type="dxa" w:w="649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4.º de secundaria; 30 alumnos como escenario por confirmar; actividad común e historial individual.</w:t>
            </w:r>
          </w:p>
        </w:tc>
      </w:tr>
      <w:tr>
        <w:trPr>
          <w:cantSplit/>
        </w:trPr>
        <w:tc>
          <w:tcPr>
            <w:tcW w:type="dxa" w:w="287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Dificultad</w:t>
            </w:r>
          </w:p>
        </w:tc>
        <w:tc>
          <w:tcPr>
            <w:tcW w:type="dxa" w:w="649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Tres niveles con reglas concretas; fijada durante el intento.</w:t>
            </w:r>
          </w:p>
        </w:tc>
      </w:tr>
      <w:tr>
        <w:trPr>
          <w:cantSplit/>
        </w:trPr>
        <w:tc>
          <w:tcPr>
            <w:tcW w:type="dxa" w:w="287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Reporte</w:t>
            </w:r>
          </w:p>
        </w:tc>
        <w:tc>
          <w:tcPr>
            <w:tcW w:type="dxa" w:w="649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PDF breve individual y lista docente con resultado; CSV consolidado.</w:t>
            </w:r>
          </w:p>
        </w:tc>
      </w:tr>
      <w:tr>
        <w:trPr>
          <w:cantSplit/>
        </w:trPr>
        <w:tc>
          <w:tcPr>
            <w:tcW w:type="dxa" w:w="287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Cuentas</w:t>
            </w:r>
          </w:p>
        </w:tc>
        <w:tc>
          <w:tcPr>
            <w:tcW w:type="dxa" w:w="649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Docente y estudiantes autenticados; elegir credenciales existentes o provisión para el piloto.</w:t>
            </w:r>
          </w:p>
        </w:tc>
      </w:tr>
      <w:tr>
        <w:trPr>
          <w:cantSplit/>
        </w:trPr>
        <w:tc>
          <w:tcPr>
            <w:tcW w:type="dxa" w:w="287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Voz y personaje</w:t>
            </w:r>
          </w:p>
        </w:tc>
        <w:tc>
          <w:tcPr>
            <w:tcW w:type="dxa" w:w="649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Pulsar para hablar, audífonos y sprite animado que pueda señalar controles.</w:t>
            </w:r>
          </w:p>
        </w:tc>
      </w:tr>
      <w:tr>
        <w:trPr>
          <w:cantSplit/>
        </w:trPr>
        <w:tc>
          <w:tcPr>
            <w:tcW w:type="dxa" w:w="287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Presupuesto y fecha</w:t>
            </w:r>
          </w:p>
        </w:tc>
        <w:tc>
          <w:tcPr>
            <w:tcW w:type="dxa" w:w="649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Confirmar límite de gasto, cuentas disponibles y plazo académico.</w:t>
            </w:r>
          </w:p>
        </w:tc>
      </w:tr>
      <w:tr>
        <w:trPr>
          <w:cantSplit/>
        </w:trPr>
        <w:tc>
          <w:tcPr>
            <w:tcW w:type="dxa" w:w="287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Formato de tesis</w:t>
            </w:r>
          </w:p>
        </w:tc>
        <w:tc>
          <w:tcPr>
            <w:tcW w:type="dxa" w:w="649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Compartir plantilla UPB, estructura exigida y observaciones del tutor.</w:t>
            </w:r>
          </w:p>
        </w:tc>
      </w:tr>
    </w:tbl>
    <w:p>
      <w:pPr>
        <w:pStyle w:val="Heading2"/>
      </w:pPr>
      <w:r>
        <w:t>Qué puedo realizar contigo</w:t>
      </w:r>
    </w:p>
    <w:p>
      <w:pPr/>
      <w:r>
        <w:t>Puedo diseñar y programar la aplicación, integrar RAG, simulador y MONTI, construir reportes y preparar pruebas, despliegue y documentación, con los archivos y accesos necesarios. Tú y la profesora validan contenidos, dificultad, rúbrica y aula; el tutor confirma enfoque y formato. Con ustedes se gestionan cuentas, presupuesto y piloto. La calidad se demuestra con evidencia real.</w:t>
      </w:r>
    </w:p>
    <w:p>
      <w:pPr>
        <w:pStyle w:val="Heading2"/>
      </w:pPr>
      <w:r>
        <w:t>Documento profesional del proyecto de grado</w:t>
      </w:r>
    </w:p>
    <w:p>
      <w:pPr/>
      <w:r>
        <w:t>La memoria incorporará problema, objetivos, fundamentos, metodología, arquitectura, implementación, resultados y conclusiones según el formato UPB. Se completará con las mediciones obtenidas.</w:t>
      </w:r>
    </w:p>
    <w:p>
      <w:pPr>
        <w:pStyle w:val="Callout"/>
        <w:shd w:fill="F2F4F7"/>
      </w:pPr>
      <w:r/>
      <w:r>
        <w:rPr>
          <w:b/>
        </w:rPr>
        <w:t>Primera prueba técnica:</w:t>
      </w:r>
      <w:r>
        <w:t xml:space="preserve"> ejecutar el simulador, generar una configuración, capturar una acción y obtener una pregunta contextual de MONTI.</w:t>
      </w:r>
    </w:p>
    <w:p>
      <w:pPr>
        <w:pStyle w:val="Heading1"/>
        <w:pageBreakBefore/>
        <w:spacing w:before="0"/>
      </w:pPr>
      <w:r>
        <w:t>Alcance curricular y bibliografía del MVP</w:t>
      </w:r>
    </w:p>
    <w:p>
      <w:pPr/>
      <w:r>
        <w:t xml:space="preserve">La selección del autor fija el MVP en </w:t>
      </w:r>
      <w:r>
        <w:rPr>
          <w:b/>
        </w:rPr>
        <w:t>4.º de secundaria: cinemática y movimiento parabólico</w:t>
      </w:r>
      <w:r>
        <w:t>. La correspondencia curricular comunicada queda registrada como contexto institucional: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color="D5DCE3"/>
          <w:left w:val="single" w:sz="4" w:color="D5DCE3"/>
          <w:bottom w:val="single" w:sz="4" w:color="D5DCE3"/>
          <w:right w:val="single" w:sz="4" w:color="D5DCE3"/>
          <w:insideH w:val="single" w:sz="4" w:color="D5DCE3"/>
          <w:insideV w:val="single" w:sz="4" w:color="D5DCE3"/>
        </w:tblBorders>
        <w:tblInd w:type="dxa" w:w="120"/>
      </w:tblPr>
      <w:tblGrid>
        <w:gridCol w:w="950"/>
        <w:gridCol w:w="6240"/>
        <w:gridCol w:w="2170"/>
      </w:tblGrid>
      <w:tr>
        <w:trPr>
          <w:cantSplit/>
          <w:tblHeader/>
        </w:trPr>
        <w:tc>
          <w:tcPr>
            <w:tcW w:type="dxa" w:w="95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"/>
            </w:pPr>
            <w:r>
              <w:t>Curso</w:t>
            </w:r>
          </w:p>
        </w:tc>
        <w:tc>
          <w:tcPr>
            <w:tcW w:type="dxa" w:w="624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"/>
            </w:pPr>
            <w:r>
              <w:t>Contenidos comunicados</w:t>
            </w:r>
          </w:p>
        </w:tc>
        <w:tc>
          <w:tcPr>
            <w:tcW w:type="dxa" w:w="217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"/>
            </w:pPr>
            <w:r>
              <w:t>Alcance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3.º</w:t>
            </w:r>
          </w:p>
        </w:tc>
        <w:tc>
          <w:tcPr>
            <w:tcW w:type="dxa" w:w="624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Vectores.</w:t>
            </w:r>
          </w:p>
        </w:tc>
        <w:tc>
          <w:tcPr>
            <w:tcW w:type="dxa" w:w="217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Antecedente.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4.º</w:t>
            </w:r>
          </w:p>
        </w:tc>
        <w:tc>
          <w:tcPr>
            <w:tcW w:type="dxa" w:w="624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Cinemática y movimiento parabólico.</w:t>
            </w:r>
          </w:p>
        </w:tc>
        <w:tc>
          <w:tcPr>
            <w:tcW w:type="dxa" w:w="217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MVP elegido.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5.º</w:t>
            </w:r>
          </w:p>
        </w:tc>
        <w:tc>
          <w:tcPr>
            <w:tcW w:type="dxa" w:w="624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Trabajo, energía, potencia, estática y dinámica.</w:t>
            </w:r>
          </w:p>
        </w:tc>
        <w:tc>
          <w:tcPr>
            <w:tcW w:type="dxa" w:w="217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Ampliación futura.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6.º</w:t>
            </w:r>
          </w:p>
        </w:tc>
        <w:tc>
          <w:tcPr>
            <w:tcW w:type="dxa" w:w="624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Fuerza eléctrica, electrostática y electrodinámica.</w:t>
            </w:r>
          </w:p>
        </w:tc>
        <w:tc>
          <w:tcPr>
            <w:tcW w:type="dxa" w:w="217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Ampliación futura.</w:t>
            </w:r>
          </w:p>
        </w:tc>
      </w:tr>
    </w:tbl>
    <w:p>
      <w:pPr>
        <w:pStyle w:val="Heading2"/>
      </w:pPr>
      <w:r>
        <w:t>Base documental recibida</w:t>
      </w:r>
    </w:p>
    <w:p>
      <w:pPr/>
      <w:r>
        <w:t xml:space="preserve">Se revisó </w:t>
      </w:r>
      <w:r>
        <w:rPr>
          <w:b/>
        </w:rPr>
        <w:t>Problemas de física y cómo resolverlos</w:t>
      </w:r>
      <w:r>
        <w:t>, dirigido por Félix Aucallanchi Velásquez, RACSO Editores. La portada indica edición 2009 y el PDF contiene 916 páginas. El capítulo 8 presenta teoría en las páginas impresas 61–62 y problemas hasta la 67; corresponden a las páginas 62–68 del PDF. [12]</w:t>
      </w:r>
    </w:p>
    <w:p>
      <w:pPr/>
      <w:r>
        <w:t xml:space="preserve">La nota de la página impresa 63 establece </w:t>
      </w:r>
      <w:r>
        <w:rPr>
          <w:b/>
        </w:rPr>
        <w:t>g = 10 m/s²</w:t>
      </w:r>
      <w:r>
        <w:t>, salvo indicación contraria. Se propone conservar esa convención en el laboratorio. La formulación inicial usa unidades SI, gravedad constante y ausencia de resistencia del aire.</w:t>
      </w:r>
    </w:p>
    <w:p>
      <w:pPr>
        <w:pStyle w:val="Heading2"/>
      </w:pPr>
      <w:r>
        <w:t>Preparación del RAG</w:t>
      </w:r>
    </w:p>
    <w:p>
      <w:pPr/>
      <w:r>
        <w:t>El corpus inicial incluirá teoría y problemas pertinentes de este capítulo, con ID de obra, página impresa, página PDF, sección, tipo de fragmento y versión. Los ejemplos 8.7, 8.9 y 8.11 orientan lanzamiento horizontal, componentes y trayectoria; su dificultad se revisará con la profesora.</w:t>
      </w:r>
    </w:p>
    <w:p>
      <w:pPr/>
      <w:r>
        <w:t>El OCR requiere curación: en el problema 8.8 reconoce 120 km/h donde la imagen indica 720 km/h. Cada cifra, fórmula y figura usada para generar debe contrastarse con el original. Las resoluciones tendrán acceso diferenciado para validación; MONTI recuperará ayudas y conceptos adecuados al momento de la actividad.</w:t>
      </w:r>
    </w:p>
    <w:p>
      <w:pPr>
        <w:pStyle w:val="Meta"/>
      </w:pPr>
      <w:r>
        <w:t>La revisión realizada localiza y verifica material inicial; la ingesta, el índice vectorial y la evaluación de recuperación todavía deben implementarse.</w:t>
      </w:r>
    </w:p>
    <w:p>
      <w:pPr>
        <w:pStyle w:val="Heading1"/>
        <w:pageBreakBefore/>
        <w:spacing w:before="0"/>
      </w:pPr>
      <w:r>
        <w:t>Rúbrica de evaluación: 45 puntos</w:t>
      </w:r>
    </w:p>
    <w:p>
      <w:pPr/>
      <w:r>
        <w:t xml:space="preserve">La distribución </w:t>
      </w:r>
      <w:r>
        <w:rPr>
          <w:b/>
        </w:rPr>
        <w:t>18/14/9/4</w:t>
      </w:r>
      <w:r>
        <w:t xml:space="preserve"> sustituye la propuesta anterior. El total de esta actividad es </w:t>
      </w:r>
      <w:r>
        <w:rPr>
          <w:b/>
        </w:rPr>
        <w:t>45 puntos</w:t>
      </w:r>
      <w:r>
        <w:t>. La siguiente desagregación es una propuesta operativa para revisión docente; no fija un umbral de aprobación.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color="D5DCE3"/>
          <w:left w:val="single" w:sz="4" w:color="D5DCE3"/>
          <w:bottom w:val="single" w:sz="4" w:color="D5DCE3"/>
          <w:right w:val="single" w:sz="4" w:color="D5DCE3"/>
          <w:insideH w:val="single" w:sz="4" w:color="D5DCE3"/>
          <w:insideV w:val="single" w:sz="4" w:color="D5DCE3"/>
        </w:tblBorders>
        <w:tblInd w:type="dxa" w:w="120"/>
      </w:tblPr>
      <w:tblGrid>
        <w:gridCol w:w="2300"/>
        <w:gridCol w:w="760"/>
        <w:gridCol w:w="6300"/>
      </w:tblGrid>
      <w:tr>
        <w:trPr>
          <w:cantSplit/>
          <w:tblHeader/>
        </w:trPr>
        <w:tc>
          <w:tcPr>
            <w:tcW w:type="dxa" w:w="23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"/>
            </w:pPr>
            <w:r>
              <w:t>Dimensión</w:t>
            </w:r>
          </w:p>
        </w:tc>
        <w:tc>
          <w:tcPr>
            <w:tcW w:type="dxa" w:w="7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"/>
            </w:pPr>
            <w:r>
              <w:t>Máx.</w:t>
            </w:r>
          </w:p>
        </w:tc>
        <w:tc>
          <w:tcPr>
            <w:tcW w:type="dxa" w:w="63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"/>
            </w:pPr>
            <w:r>
              <w:t>Criterios propuestos y evidencia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Procedimiento técnico</w:t>
            </w:r>
          </w:p>
        </w:tc>
        <w:tc>
          <w:tcPr>
            <w:tcW w:type="dxa" w:w="7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18</w:t>
            </w:r>
          </w:p>
        </w:tc>
        <w:tc>
          <w:tcPr>
            <w:tcW w:type="dxa" w:w="63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6: identifica variables y unidades.</w:t>
              <w:br/>
              <w:t>6: sigue un plan coherente y compara pruebas.</w:t>
              <w:br/>
              <w:t>6: manipula controles e instrumentos y registra observaciones. Se contrastan acciones y explicaciones del procedimiento.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Comprensión y justificación</w:t>
            </w:r>
          </w:p>
        </w:tc>
        <w:tc>
          <w:tcPr>
            <w:tcW w:type="dxa" w:w="7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14</w:t>
            </w:r>
          </w:p>
        </w:tc>
        <w:tc>
          <w:tcPr>
            <w:tcW w:type="dxa" w:w="63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7: explica la relación causa–efecto de sus ajustes.</w:t>
              <w:br/>
              <w:t>7: predice otra condición y justifica la predicción con física y evidencia. Se usan las respuestas dadas a MONTI.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Resultado físico</w:t>
            </w:r>
          </w:p>
        </w:tc>
        <w:tc>
          <w:tcPr>
            <w:tcW w:type="dxa" w:w="7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9</w:t>
            </w:r>
          </w:p>
        </w:tc>
        <w:tc>
          <w:tcPr>
            <w:tcW w:type="dxa" w:w="63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El servidor verifica el objetivo con el modelo y la tolerancia publicados. Para el primer objetivo único se propone 9 si se cumple y 0 si no se cumple.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Eficiencia e intentos</w:t>
            </w:r>
          </w:p>
        </w:tc>
        <w:tc>
          <w:tcPr>
            <w:tcW w:type="dxa" w:w="7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4</w:t>
            </w:r>
          </w:p>
        </w:tc>
        <w:tc>
          <w:tcPr>
            <w:tcW w:type="dxa" w:w="63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Comienza en 4 y aplica descuentos progresivos por fallos o reinicios computables. El servidor calcula el componente según la regla versionada.</w:t>
            </w:r>
          </w:p>
        </w:tc>
      </w:tr>
    </w:tbl>
    <w:p>
      <w:pPr>
        <w:pStyle w:val="Heading2"/>
      </w:pPr>
      <w:r>
        <w:t>Descriptores para procedimiento y comprensión</w:t>
      </w:r>
    </w:p>
    <w:p>
      <w:pPr/>
      <w:r>
        <w:t xml:space="preserve">Cada subcriterio admite inicialmente tres niveles: </w:t>
      </w:r>
      <w:r>
        <w:rPr>
          <w:b/>
        </w:rPr>
        <w:t>0 %</w:t>
      </w:r>
      <w:r>
        <w:t xml:space="preserve">, evidencia solicitada pero ausente o incompatible con el criterio; </w:t>
      </w:r>
      <w:r>
        <w:rPr>
          <w:b/>
        </w:rPr>
        <w:t>50 %</w:t>
      </w:r>
      <w:r>
        <w:t xml:space="preserve">, evidencia pertinente pero incompleta; </w:t>
      </w:r>
      <w:r>
        <w:rPr>
          <w:b/>
        </w:rPr>
        <w:t>100 %</w:t>
      </w:r>
      <w:r>
        <w:t>, evidencia suficiente y consistente. Así, un criterio de 6 admite 0/3/6 y uno de 7 admite 0/3,5/7. Los ejemplos de cada nivel se calibrarán con la profesora.</w:t>
      </w:r>
    </w:p>
    <w:p>
      <w:pPr/>
      <w:r>
        <w:t>La falta de registro por un fallo técnico deja el criterio pendiente de revisión. Pedir ayuda a MONTI no resta puntos por sí mismo. Se aceptan procedimientos alternativos válidos; la cantidad de clics o una secuencia rígida no demuestran comprensión.</w:t>
      </w:r>
    </w:p>
    <w:p>
      <w:pPr>
        <w:pStyle w:val="Heading2"/>
      </w:pPr>
      <w:r>
        <w:t>Responsabilidad del sistema</w:t>
      </w:r>
    </w:p>
    <w:p>
      <w:pPr/>
      <w:r>
        <w:t>El backend valida los eventos y calcula resultado, descuentos y suma. MONTI propone valoraciones pedagógicas acotadas, indicando criterio, evidencia y explicación. La profesora puede revisarlas; se conservan la valoración inicial, el cambio y su motivo. El total se redondea al final y nunca supera 45.</w:t>
      </w:r>
    </w:p>
    <w:p>
      <w:pPr>
        <w:pStyle w:val="Heading1"/>
        <w:pageBreakBefore/>
        <w:spacing w:before="0"/>
      </w:pPr>
      <w:r>
        <w:t>Intentos, reinicios y cierre de la evaluación</w:t>
      </w:r>
    </w:p>
    <w:p>
      <w:pPr/>
      <w:r>
        <w:t xml:space="preserve">Se conserva el criterio del autor de aplicar </w:t>
      </w:r>
      <w:r>
        <w:rPr>
          <w:b/>
        </w:rPr>
        <w:t>penalizaciones progresivas</w:t>
      </w:r>
      <w:r>
        <w:t>. Para concretarlo se propone la siguiente política, pendiente de validación docente antes de usarla para calificar.</w:t>
      </w:r>
    </w:p>
    <w:p>
      <w:pPr>
        <w:pStyle w:val="Heading2"/>
      </w:pPr>
      <w:r>
        <w:t>Qué se considera un intento computable</w:t>
      </w:r>
    </w:p>
    <w:p>
      <w:pPr/>
      <w:r>
        <w:t>Se recomienda distinguir una fase inicial de exploración de la fase evaluada. En exploración se registran lanzamientos y reinicios sin descuento. En evaluación cuenta una entrega fallida validada por el servidor o un reinicio voluntario que abandona una corrida aún no contabilizada. Esta distinción debe mostrarse al estudiante.</w:t>
      </w:r>
    </w:p>
    <w:p>
      <w:pPr/>
      <w:r>
        <w:t>Un mismo fallo seguido de su reinicio cuenta una sola vez mediante el ID de corrida. Reenvíos de red y reinicios causados por errores técnicos no suman penalizaciones. Recargar la página recupera el historial del servidor. La política quedará fijada al publicar la sesión.</w:t>
      </w:r>
    </w:p>
    <w:p>
      <w:pPr>
        <w:pStyle w:val="Heading2"/>
      </w:pPr>
      <w:r>
        <w:t>Regla progresiva propuesta</w:t>
      </w:r>
    </w:p>
    <w:p>
      <w:pPr/>
      <w:r>
        <w:t xml:space="preserve">Si n es el número de intentos computables, el componente de eficiencia se calcula como </w:t>
      </w:r>
      <w:r>
        <w:rPr>
          <w:b/>
        </w:rPr>
        <w:t>E(n) = máx(0; 4 − 0,25 × n × (n + 1))</w:t>
      </w:r>
      <w:r>
        <w:t>. Los descuentos sucesivos son 0,5; 1; 1,5; 2 puntos, limitados al máximo de este componente.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color="D5DCE3"/>
          <w:left w:val="single" w:sz="4" w:color="D5DCE3"/>
          <w:bottom w:val="single" w:sz="4" w:color="D5DCE3"/>
          <w:right w:val="single" w:sz="4" w:color="D5DCE3"/>
          <w:insideH w:val="single" w:sz="4" w:color="D5DCE3"/>
          <w:insideV w:val="single" w:sz="4" w:color="D5DCE3"/>
        </w:tblBorders>
        <w:tblInd w:type="dxa" w:w="120"/>
      </w:tblPr>
      <w:tblGrid>
        <w:gridCol w:w="5300"/>
        <w:gridCol w:w="4060"/>
      </w:tblGrid>
      <w:tr>
        <w:trPr>
          <w:cantSplit/>
          <w:tblHeader/>
        </w:trPr>
        <w:tc>
          <w:tcPr>
            <w:tcW w:type="dxa" w:w="53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"/>
            </w:pPr>
            <w:r>
              <w:t>Intentos computables (n)</w:t>
            </w:r>
          </w:p>
        </w:tc>
        <w:tc>
          <w:tcPr>
            <w:tcW w:type="dxa" w:w="40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"/>
            </w:pPr>
            <w:r>
              <w:t>Puntos de eficiencia</w:t>
            </w:r>
          </w:p>
        </w:tc>
      </w:tr>
      <w:tr>
        <w:trPr>
          <w:cantSplit/>
        </w:trPr>
        <w:tc>
          <w:tcPr>
            <w:tcW w:type="dxa" w:w="53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0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4</w:t>
            </w:r>
          </w:p>
        </w:tc>
      </w:tr>
      <w:tr>
        <w:trPr>
          <w:cantSplit/>
        </w:trPr>
        <w:tc>
          <w:tcPr>
            <w:tcW w:type="dxa" w:w="53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1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3,5</w:t>
            </w:r>
          </w:p>
        </w:tc>
      </w:tr>
      <w:tr>
        <w:trPr>
          <w:cantSplit/>
        </w:trPr>
        <w:tc>
          <w:tcPr>
            <w:tcW w:type="dxa" w:w="53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2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2,5</w:t>
            </w:r>
          </w:p>
        </w:tc>
      </w:tr>
      <w:tr>
        <w:trPr>
          <w:cantSplit/>
        </w:trPr>
        <w:tc>
          <w:tcPr>
            <w:tcW w:type="dxa" w:w="53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3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530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4 o más</w:t>
            </w:r>
          </w:p>
        </w:tc>
        <w:tc>
          <w:tcPr>
            <w:tcW w:type="dxa" w:w="406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0</w:t>
            </w:r>
          </w:p>
        </w:tc>
      </w:tr>
    </w:tbl>
    <w:p>
      <w:pPr>
        <w:pStyle w:val="Heading2"/>
      </w:pPr>
      <w:r>
        <w:t>Resultado alcanzado y puntuación total</w:t>
      </w:r>
    </w:p>
    <w:p>
      <w:pPr/>
      <w:r>
        <w:t>Cumplir el objetivo activa la verificación de los 9 puntos físicos y el reporte. La puntuación total también incorpora el procedimiento, la justificación y la eficiencia. Si una respuesta o evidencia no llegó por una incidencia técnica, se entrega el resumen con la nota provisional identificada.</w:t>
      </w:r>
    </w:p>
    <w:p>
      <w:pPr/>
      <w:r>
        <w:t xml:space="preserve">Ejemplo de cálculo: </w:t>
      </w:r>
      <w:r>
        <w:rPr>
          <w:b/>
        </w:rPr>
        <w:t>15 + 10,5 + 9 + 2,5 = 37/45</w:t>
      </w:r>
      <w:r>
        <w:t>. El objetivo físico se cumplió, hubo dos fallos computables y existe evidencia parcial en dos subcriterios. Es una ilustración de la regla, no un resultado real de estudiantes.</w:t>
      </w:r>
    </w:p>
    <w:p>
      <w:pPr>
        <w:pStyle w:val="Meta"/>
      </w:pPr>
      <w:r>
        <w:t>Antes del piloto se deben validar la distinción exploración/evaluación, los descuentos y el tratamiento de entregas incompletas. Los cambios se aplicarán a una nueva versión de sesión.</w:t>
      </w:r>
    </w:p>
    <w:p>
      <w:pPr>
        <w:pStyle w:val="Heading1"/>
        <w:pageBreakBefore/>
        <w:spacing w:before="0"/>
      </w:pPr>
      <w:r>
        <w:t>Primer laboratorio y criterios físicos propuestos</w:t>
      </w:r>
    </w:p>
    <w:p>
      <w:pPr/>
      <w:r/>
      <w:r>
        <w:rPr>
          <w:b/>
        </w:rPr>
        <w:t>Actividad inicial:</w:t>
      </w:r>
      <w:r>
        <w:t xml:space="preserve"> ajustar el lanzamiento de una pelota para alcanzar una marca en el suelo y explicar el procedimiento. Es un caso de diseño derivado del modelo del capítulo 8; todavía no ha sido generado por un RAG ni ejecutado en el simulador.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color="D5DCE3"/>
          <w:left w:val="single" w:sz="4" w:color="D5DCE3"/>
          <w:bottom w:val="single" w:sz="4" w:color="D5DCE3"/>
          <w:right w:val="single" w:sz="4" w:color="D5DCE3"/>
          <w:insideH w:val="single" w:sz="4" w:color="D5DCE3"/>
          <w:insideV w:val="single" w:sz="4" w:color="D5DCE3"/>
        </w:tblBorders>
        <w:tblInd w:type="dxa" w:w="120"/>
      </w:tblPr>
      <w:tblGrid>
        <w:gridCol w:w="2710"/>
        <w:gridCol w:w="6650"/>
      </w:tblGrid>
      <w:tr>
        <w:trPr>
          <w:cantSplit/>
          <w:tblHeader/>
        </w:trPr>
        <w:tc>
          <w:tcPr>
            <w:tcW w:type="dxa" w:w="271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"/>
            </w:pPr>
            <w:r>
              <w:t>Elemento</w:t>
            </w:r>
          </w:p>
        </w:tc>
        <w:tc>
          <w:tcPr>
            <w:tcW w:type="dxa" w:w="665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"/>
            </w:pPr>
            <w:r>
              <w:t>Propuesta concreta</w:t>
            </w:r>
          </w:p>
        </w:tc>
      </w:tr>
      <w:tr>
        <w:trPr>
          <w:cantSplit/>
        </w:trPr>
        <w:tc>
          <w:tcPr>
            <w:tcW w:type="dxa" w:w="271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Configuración docente</w:t>
            </w:r>
          </w:p>
        </w:tc>
        <w:tc>
          <w:tcPr>
            <w:tcW w:type="dxa" w:w="665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Grupo de 4.º y dificultad; tema y objetivo inicial fijados.</w:t>
            </w:r>
          </w:p>
        </w:tc>
      </w:tr>
      <w:tr>
        <w:trPr>
          <w:cantSplit/>
        </w:trPr>
        <w:tc>
          <w:tcPr>
            <w:tcW w:type="dxa" w:w="271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Escena generada</w:t>
            </w:r>
          </w:p>
        </w:tc>
        <w:tc>
          <w:tcPr>
            <w:tcW w:type="dxa" w:w="665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Lanzador, pelota, objetivo, ejes, escala y trayectoria; plataforma si cambia la altura inicial.</w:t>
            </w:r>
          </w:p>
        </w:tc>
      </w:tr>
      <w:tr>
        <w:trPr>
          <w:cantSplit/>
        </w:trPr>
        <w:tc>
          <w:tcPr>
            <w:tcW w:type="dxa" w:w="271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Interacción</w:t>
            </w:r>
          </w:p>
        </w:tc>
        <w:tc>
          <w:tcPr>
            <w:tcW w:type="dxa" w:w="665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Ángulo y, según nivel, rapidez; lanzar, pausar, reiniciar, medir y entregar. MONTI consulta las acciones.</w:t>
            </w:r>
          </w:p>
        </w:tc>
      </w:tr>
      <w:tr>
        <w:trPr>
          <w:cantSplit/>
        </w:trPr>
        <w:tc>
          <w:tcPr>
            <w:tcW w:type="dxa" w:w="271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Variación por dificultad</w:t>
            </w:r>
          </w:p>
        </w:tc>
        <w:tc>
          <w:tcPr>
            <w:tcW w:type="dxa" w:w="6650"/>
            <w:vAlign w:val="center"/>
            <w:shd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t>Básica: variar ángulo. Media: variar ángulo y rapidez. Avanzada: añadir altura inicial dada y solicitar una predicción justificada.</w:t>
            </w:r>
          </w:p>
        </w:tc>
      </w:tr>
    </w:tbl>
    <w:p>
      <w:pPr>
        <w:pStyle w:val="Heading2"/>
      </w:pPr>
      <w:r>
        <w:t>Caso de referencia para la primera validación</w:t>
      </w:r>
    </w:p>
    <w:p>
      <w:pPr/>
      <w:r>
        <w:t xml:space="preserve">Se propone x₀ = y₀ = 0, v₀ = 20 m/s, θ = 45° y g = 10 m/s². Con el suelo en y = 0, el cálculo independiente da </w:t>
      </w:r>
      <w:r>
        <w:rPr>
          <w:b/>
        </w:rPr>
        <w:t>alcance 40 m, altura máxima 10 m y tiempo de vuelo 2,8284 s</w:t>
      </w:r>
      <w:r>
        <w:t>. La marca objetivo se ubica a 40 m.</w:t>
      </w:r>
    </w:p>
    <w:p>
      <w:pPr/>
      <w:r>
        <w:t>El modelo usa x(t) = x₀ + v₀ cos(θ)t e y(t) = y₀ + v₀ sen(θ)t − ½gt². Para alturas inicial y final iguales se pueden usar las relaciones de alcance y tiempo del libro; con alturas distintas se calcula el instante de llegada desde y(t). [12]</w:t>
      </w:r>
    </w:p>
    <w:p>
      <w:pPr>
        <w:pStyle w:val="Heading2"/>
      </w:pPr>
      <w:r>
        <w:t>Aceptación y tolerancias</w:t>
      </w:r>
    </w:p>
    <w:p>
      <w:pPr/>
      <w:r>
        <w:t xml:space="preserve">Para este primer objetivo se propone aceptar </w:t>
      </w:r>
      <w:r>
        <w:rPr>
          <w:b/>
        </w:rPr>
        <w:t>|x de impacto − 40 m| ≤ 0,50 m</w:t>
      </w:r>
      <w:r>
        <w:t>. La tolerancia es una decisión del diseño que debe revisar la profesora. El servidor recalcula el impacto desde las condiciones registradas; no confía en la etiqueta de acierto del navegador.</w:t>
      </w:r>
    </w:p>
    <w:p>
      <w:pPr/>
      <w:r>
        <w:t>Se acepta cualquier configuración permitida que cumpla el objetivo. Las respuestas numéricas adicionales tendrán unidades y tolerancias propias, coherentes con la precisión de los controles. Consigna, límites, rúbrica y tolerancias se fijan antes de publicar; pueden ajustarse entre versiones.</w:t>
      </w:r>
    </w:p>
    <w:p>
      <w:pPr>
        <w:pStyle w:val="Meta"/>
      </w:pPr>
      <w:r>
        <w:t>Pregunta de MONTI: «¿Qué diferencias esperas entre las trayectorias a 30° y 60° con la misma rapidez, y cómo las explicarías?». La consigna permite valorar alcance, altura y componentes sin dar por demostrada la comprensión a partir de un acierto.</w:t>
      </w:r>
    </w:p>
    <w:p>
      <w:pPr>
        <w:pStyle w:val="Heading1"/>
        <w:pageBreakBefore/>
        <w:spacing w:before="0"/>
      </w:pPr>
      <w:r>
        <w:t>Referencias técnicas consultadas</w:t>
      </w:r>
    </w:p>
    <w:p>
      <w:pPr>
        <w:pStyle w:val="Meta"/>
      </w:pPr>
      <w:r>
        <w:t>Fuentes primarias consultadas el 7 de septiembre de 2026. Sustentan las capacidades de las herramientas. La arquitectura, el alcance y los criterios de validación de este documento son propuestas para MONTI; no representan un sistema ya implementado.</w:t>
      </w:r>
    </w:p>
    <w:p>
      <w:pPr>
        <w:pStyle w:val="Source"/>
      </w:pPr>
      <w:r>
        <w:rPr>
          <w:b/>
        </w:rPr>
        <w:t xml:space="preserve">[1] </w:t>
      </w:r>
      <w:hyperlink r:id="rId12">
        <w:r>
          <w:rPr>
            <w:color w:val="2E74B5"/>
            <w:u w:val="single"/>
          </w:rPr>
          <w:t>Vite — Getting Started</w:t>
        </w:r>
      </w:hyperlink>
      <w:r>
        <w:t>. Herramienta de desarrollo y compilación; plantillas React y TypeScript.</w:t>
      </w:r>
    </w:p>
    <w:p>
      <w:pPr>
        <w:pStyle w:val="Source"/>
      </w:pPr>
      <w:r>
        <w:rPr>
          <w:b/>
        </w:rPr>
        <w:t xml:space="preserve">[2] </w:t>
      </w:r>
      <w:hyperlink r:id="rId13">
        <w:r>
          <w:rPr>
            <w:color w:val="2E74B5"/>
            <w:u w:val="single"/>
          </w:rPr>
          <w:t>FastAPI — Features</w:t>
        </w:r>
      </w:hyperlink>
      <w:r>
        <w:t>. Integración con Pydantic, esquemas y validación de datos.</w:t>
      </w:r>
    </w:p>
    <w:p>
      <w:pPr>
        <w:pStyle w:val="Source"/>
      </w:pPr>
      <w:r>
        <w:rPr>
          <w:b/>
        </w:rPr>
        <w:t xml:space="preserve">[3] </w:t>
      </w:r>
      <w:hyperlink r:id="rId14">
        <w:r>
          <w:rPr>
            <w:color w:val="2E74B5"/>
            <w:u w:val="single"/>
          </w:rPr>
          <w:t>Supabase — Auth</w:t>
        </w:r>
      </w:hyperlink>
      <w:r>
        <w:t>. Autenticación y administración de usuarios.</w:t>
      </w:r>
    </w:p>
    <w:p>
      <w:pPr>
        <w:pStyle w:val="Source"/>
      </w:pPr>
      <w:r>
        <w:rPr>
          <w:b/>
        </w:rPr>
        <w:t xml:space="preserve">[4] </w:t>
      </w:r>
      <w:hyperlink r:id="rId15">
        <w:r>
          <w:rPr>
            <w:color w:val="2E74B5"/>
            <w:u w:val="single"/>
          </w:rPr>
          <w:t>Supabase — Row Level Security</w:t>
        </w:r>
      </w:hyperlink>
      <w:r>
        <w:t>. Políticas de acceso a filas integradas con identidad.</w:t>
      </w:r>
    </w:p>
    <w:p>
      <w:pPr>
        <w:pStyle w:val="Source"/>
      </w:pPr>
      <w:r>
        <w:rPr>
          <w:b/>
        </w:rPr>
        <w:t xml:space="preserve">[5] </w:t>
      </w:r>
      <w:hyperlink r:id="rId16">
        <w:r>
          <w:rPr>
            <w:color w:val="2E74B5"/>
            <w:u w:val="single"/>
          </w:rPr>
          <w:t>Supabase — pgvector</w:t>
        </w:r>
      </w:hyperlink>
      <w:r>
        <w:t>. Almacenamiento y consulta de representaciones vectoriales en PostgreSQL.</w:t>
      </w:r>
    </w:p>
    <w:p>
      <w:pPr>
        <w:pStyle w:val="Source"/>
      </w:pPr>
      <w:r>
        <w:rPr>
          <w:b/>
        </w:rPr>
        <w:t xml:space="preserve">[6] </w:t>
      </w:r>
      <w:hyperlink r:id="rId17">
        <w:r>
          <w:rPr>
            <w:color w:val="2E74B5"/>
            <w:u w:val="single"/>
          </w:rPr>
          <w:t>OpenAI — text-embedding-3-small</w:t>
        </w:r>
      </w:hyperlink>
      <w:r>
        <w:t>. Modelo de embeddings para recuperar contenido relacionado.</w:t>
      </w:r>
    </w:p>
    <w:p>
      <w:pPr>
        <w:pStyle w:val="Source"/>
      </w:pPr>
      <w:r>
        <w:rPr>
          <w:b/>
        </w:rPr>
        <w:t xml:space="preserve">[7] </w:t>
      </w:r>
      <w:hyperlink r:id="rId18">
        <w:r>
          <w:rPr>
            <w:color w:val="2E74B5"/>
            <w:u w:val="single"/>
          </w:rPr>
          <w:t>OpenAI — GPT-5.4 mini</w:t>
        </w:r>
      </w:hyperlink>
      <w:r>
        <w:t>. Capacidades, Structured Outputs, tarifas y versiones del modelo candidato.</w:t>
      </w:r>
    </w:p>
    <w:p>
      <w:pPr>
        <w:pStyle w:val="Source"/>
      </w:pPr>
      <w:r>
        <w:rPr>
          <w:b/>
        </w:rPr>
        <w:t xml:space="preserve">[8] </w:t>
      </w:r>
      <w:hyperlink r:id="rId19">
        <w:r>
          <w:rPr>
            <w:color w:val="2E74B5"/>
            <w:u w:val="single"/>
          </w:rPr>
          <w:t>OpenAI — Structured model outputs</w:t>
        </w:r>
      </w:hyperlink>
      <w:r>
        <w:t>. Generación conforme a un esquema; limitaciones sobre errores de contenido.</w:t>
      </w:r>
    </w:p>
    <w:p>
      <w:pPr>
        <w:pStyle w:val="Source"/>
      </w:pPr>
      <w:r>
        <w:rPr>
          <w:b/>
        </w:rPr>
        <w:t xml:space="preserve">[9] </w:t>
      </w:r>
      <w:hyperlink r:id="rId20">
        <w:r>
          <w:rPr>
            <w:color w:val="2E74B5"/>
            <w:u w:val="single"/>
          </w:rPr>
          <w:t>OpenAI — File transcription</w:t>
        </w:r>
      </w:hyperlink>
      <w:r>
        <w:t>. Conversión de audio a texto e integración de transcripción.</w:t>
      </w:r>
    </w:p>
    <w:p>
      <w:pPr>
        <w:pStyle w:val="Source"/>
      </w:pPr>
      <w:r>
        <w:rPr>
          <w:b/>
        </w:rPr>
        <w:t xml:space="preserve">[10] </w:t>
      </w:r>
      <w:hyperlink r:id="rId21">
        <w:r>
          <w:rPr>
            <w:color w:val="2E74B5"/>
            <w:u w:val="single"/>
          </w:rPr>
          <w:t>OpenAI — Text to speech</w:t>
        </w:r>
      </w:hyperlink>
      <w:r>
        <w:t>. Generación de audio a partir de texto y control de la expresión de voz.</w:t>
      </w:r>
    </w:p>
    <w:p>
      <w:pPr>
        <w:pStyle w:val="Source"/>
      </w:pPr>
      <w:r>
        <w:rPr>
          <w:b/>
        </w:rPr>
        <w:t xml:space="preserve">[11] </w:t>
      </w:r>
      <w:hyperlink r:id="rId22">
        <w:r>
          <w:rPr>
            <w:color w:val="2E74B5"/>
            <w:u w:val="single"/>
          </w:rPr>
          <w:t>MDN — Window.postMessage()</w:t>
        </w:r>
      </w:hyperlink>
      <w:r>
        <w:t>. Comunicación entre ventanas o iframe y comprobación del origen.</w:t>
      </w:r>
    </w:p>
    <w:p>
      <w:pPr>
        <w:pStyle w:val="Source"/>
      </w:pPr>
      <w:r>
        <w:rPr>
          <w:b/>
        </w:rPr>
        <w:t xml:space="preserve">[12] </w:t>
      </w:r>
      <w:r>
        <w:t>Aucallanchi Velásquez, F. (Dir.). Problemas de física y cómo resolverlos</w:t>
      </w:r>
      <w:r>
        <w:t>. RACSO, edición 2009 según portada. Cap. 8, pp. 61–67; resolución 8.7, p. 445. PDF aportado por el autor.</w:t>
      </w:r>
    </w:p>
    <w:p>
      <w:pPr>
        <w:pStyle w:val="Source"/>
      </w:pPr>
      <w:r>
        <w:rPr>
          <w:b/>
        </w:rPr>
        <w:t xml:space="preserve">[13] </w:t>
      </w:r>
      <w:hyperlink r:id="rId23">
        <w:r>
          <w:rPr>
            <w:color w:val="2E74B5"/>
          </w:rPr>
          <w:t>PhET — Projectile Motion</w:t>
        </w:r>
      </w:hyperlink>
      <w:r>
        <w:t>. Repositorio del simulador candidato; su integración y dependencias requieren una prueba técnica.</w:t>
      </w:r>
    </w:p>
    <w:p>
      <w:pPr>
        <w:pStyle w:val="Heading2"/>
      </w:pPr>
      <w:r>
        <w:t>Fuentes del diseño pedagógico y del alcance</w:t>
      </w:r>
    </w:p>
    <w:p>
      <w:pPr/>
      <w:r>
        <w:t>El autor aportó requisitos, currículo por curso, imágenes, repositorio y la ponderación vigente. El PDF de RACSO sustenta el alcance físico inicial. La selección del simulador y la plantilla UPB siguen pendientes.</w:t>
      </w:r>
    </w:p>
    <w:p>
      <w:pPr>
        <w:pStyle w:val="Meta"/>
      </w:pPr>
      <w:r>
        <w:t>Para la memoria de grado se completará el marco teórico con fuentes sobre generación procedural, recuperación aumentada, tutoría inteligente, método socrático y evaluación educativa. El estilo de referencias se ajustará a la plantilla institucional.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Footer"/>
      <w:jc w:val="right"/>
    </w:pPr>
    <w:r>
      <w:t xml:space="preserve">Propuesta v1.1  |  07 septiembre 2026  |  </w:t>
    </w: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Footer"/>
    </w:pPr>
    <w:r>
      <w:t>MONTI  /  PROPUESTA TÉCNICA Y ALCANCE DEL MVP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6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before="0" w:after="160" w:line="280" w:lineRule="auto"/>
      </w:pPr>
    </w:lvl>
  </w:abstractNum>
  <w:num w:numId="60">
    <w:abstractNumId w:val="60"/>
  </w:num>
  <w:abstractNum w:abstractNumId="6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160" w:line="280" w:lineRule="auto"/>
      </w:pPr>
    </w:lvl>
  </w:abstractNum>
  <w:num w:numId="61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  <w:jc w:val="left"/>
    </w:pPr>
    <w:rPr>
      <w:rFonts w:ascii="Calibri" w:hAnsi="Calibri" w:eastAsia="Calibri"/>
      <w:b w:val="0"/>
      <w:i w:val="0"/>
      <w:color w:val="24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 w:line="264" w:lineRule="auto"/>
      <w:jc w:val="left"/>
      <w:outlineLvl w:val="0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64" w:lineRule="auto"/>
      <w:jc w:val="left"/>
      <w:outlineLvl w:val="1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 w:line="264" w:lineRule="auto"/>
      <w:jc w:val="left"/>
      <w:outlineLvl w:val="2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00" w:line="264" w:lineRule="auto" w:before="0"/>
      <w:contextualSpacing/>
      <w:jc w:val="left"/>
    </w:pPr>
    <w:rPr>
      <w:rFonts w:asciiTheme="majorHAnsi" w:eastAsiaTheme="majorEastAsia" w:hAnsiTheme="majorHAnsi" w:cstheme="majorBidi" w:ascii="Calibri" w:hAnsi="Calibri" w:eastAsia="Calibri"/>
      <w:b/>
      <w:i w:val="0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240" w:line="264" w:lineRule="auto"/>
      <w:jc w:val="left"/>
    </w:pPr>
    <w:rPr>
      <w:rFonts w:asciiTheme="majorHAnsi" w:eastAsiaTheme="majorEastAsia" w:hAnsiTheme="majorHAnsi" w:cstheme="majorBidi" w:ascii="Calibri" w:hAnsi="Calibri" w:eastAsia="Calibri"/>
      <w:b w:val="0"/>
      <w:i w:val="0"/>
      <w:iCs/>
      <w:color w:val="52647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64" w:lineRule="auto" w:before="80" w:after="80"/>
      <w:jc w:val="left"/>
    </w:pPr>
    <w:rPr>
      <w:rFonts w:ascii="Calibri" w:hAnsi="Calibri" w:eastAsia="Calibri"/>
      <w:b w:val="0"/>
      <w:bCs/>
      <w:i w:val="0"/>
      <w:color w:val="52647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widowControl/>
      <w:spacing w:before="0" w:after="60" w:line="264" w:lineRule="auto"/>
      <w:jc w:val="left"/>
    </w:pPr>
    <w:rPr>
      <w:rFonts w:ascii="Calibri" w:hAnsi="Calibri" w:eastAsia="Calibri"/>
      <w:b w:val="0"/>
      <w:i w:val="0"/>
      <w:color w:val="243445"/>
      <w:sz w:val="20"/>
    </w:rPr>
  </w:style>
  <w:style w:type="paragraph" w:customStyle="1" w:styleId="TableHead">
    <w:name w:val="TableHead"/>
    <w:pPr>
      <w:widowControl/>
      <w:spacing w:before="0" w:after="60" w:line="264" w:lineRule="auto"/>
      <w:jc w:val="left"/>
    </w:pPr>
    <w:rPr>
      <w:rFonts w:ascii="Calibri" w:hAnsi="Calibri" w:eastAsia="Calibri"/>
      <w:b/>
      <w:i w:val="0"/>
      <w:color w:val="243445"/>
      <w:sz w:val="20"/>
    </w:rPr>
  </w:style>
  <w:style w:type="paragraph" w:customStyle="1" w:styleId="Meta">
    <w:name w:val="Meta"/>
    <w:pPr>
      <w:widowControl/>
      <w:spacing w:before="0" w:after="60" w:line="264" w:lineRule="auto"/>
      <w:jc w:val="left"/>
    </w:pPr>
    <w:rPr>
      <w:rFonts w:ascii="Calibri" w:hAnsi="Calibri" w:eastAsia="Calibri"/>
      <w:b w:val="0"/>
      <w:i w:val="0"/>
      <w:color w:val="526475"/>
      <w:sz w:val="20"/>
    </w:rPr>
  </w:style>
  <w:style w:type="paragraph" w:customStyle="1" w:styleId="Code">
    <w:name w:val="Code"/>
    <w:pPr>
      <w:widowControl/>
      <w:spacing w:before="0" w:after="0" w:line="252" w:lineRule="auto"/>
      <w:jc w:val="left"/>
    </w:pPr>
    <w:rPr>
      <w:rFonts w:ascii="Consolas" w:hAnsi="Consolas" w:eastAsia="Consolas"/>
      <w:b w:val="0"/>
      <w:i w:val="0"/>
      <w:color w:val="243445"/>
      <w:sz w:val="18"/>
    </w:rPr>
  </w:style>
  <w:style w:type="paragraph" w:customStyle="1" w:styleId="Source">
    <w:name w:val="Source"/>
    <w:pPr>
      <w:widowControl/>
      <w:spacing w:before="0" w:after="160" w:line="264" w:lineRule="auto"/>
      <w:jc w:val="left"/>
    </w:pPr>
    <w:rPr>
      <w:rFonts w:ascii="Calibri" w:hAnsi="Calibri" w:eastAsia="Calibri"/>
      <w:b w:val="0"/>
      <w:i w:val="0"/>
      <w:color w:val="243445"/>
      <w:sz w:val="20"/>
    </w:rPr>
  </w:style>
  <w:style w:type="paragraph" w:customStyle="1" w:styleId="Callout">
    <w:name w:val="Callout"/>
    <w:pPr>
      <w:widowControl/>
      <w:spacing w:before="120" w:after="160" w:line="264" w:lineRule="auto"/>
      <w:jc w:val="left"/>
    </w:pPr>
    <w:rPr>
      <w:rFonts w:ascii="Calibri" w:hAnsi="Calibri" w:eastAsia="Calibri"/>
      <w:b w:val="0"/>
      <w:i w:val="0"/>
      <w:color w:val="243445"/>
      <w:sz w:val="22"/>
    </w:rPr>
  </w:style>
  <w:style w:type="paragraph" w:customStyle="1" w:styleId="HeaderFooter">
    <w:name w:val="HeaderFooter"/>
    <w:pPr>
      <w:widowControl/>
      <w:spacing w:before="0" w:after="0" w:line="240" w:lineRule="auto"/>
      <w:jc w:val="left"/>
    </w:pPr>
    <w:rPr>
      <w:rFonts w:ascii="Calibri" w:hAnsi="Calibri" w:eastAsia="Calibri"/>
      <w:b w:val="0"/>
      <w:i w:val="0"/>
      <w:color w:val="526475"/>
      <w:sz w:val="18"/>
    </w:rPr>
  </w:style>
  <w:style w:type="paragraph" w:customStyle="1" w:styleId="BulletM">
    <w:name w:val="BulletM"/>
    <w:pPr>
      <w:widowControl/>
      <w:spacing w:before="0" w:after="160" w:line="280" w:lineRule="auto"/>
      <w:ind w:left="720" w:hanging="360"/>
      <w:jc w:val="left"/>
    </w:pPr>
    <w:rPr>
      <w:rFonts w:ascii="Calibri" w:hAnsi="Calibri" w:eastAsia="Calibri"/>
      <w:b w:val="0"/>
      <w:i w:val="0"/>
      <w:color w:val="243445"/>
      <w:sz w:val="22"/>
    </w:rPr>
  </w:style>
  <w:style w:type="paragraph" w:customStyle="1" w:styleId="NumberM">
    <w:name w:val="NumberM"/>
    <w:pPr>
      <w:widowControl/>
      <w:spacing w:before="0" w:after="160" w:line="280" w:lineRule="auto"/>
      <w:ind w:left="720" w:hanging="360"/>
      <w:jc w:val="left"/>
    </w:pPr>
    <w:rPr>
      <w:rFonts w:ascii="Calibri" w:hAnsi="Calibri" w:eastAsia="Calibri"/>
      <w:b w:val="0"/>
      <w:i w:val="0"/>
      <w:color w:val="243445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vite.dev/guide/" TargetMode="External"/><Relationship Id="rId13" Type="http://schemas.openxmlformats.org/officeDocument/2006/relationships/hyperlink" Target="https://fastapi.tiangolo.com/features/" TargetMode="External"/><Relationship Id="rId14" Type="http://schemas.openxmlformats.org/officeDocument/2006/relationships/hyperlink" Target="https://supabase.com/docs/guides/auth" TargetMode="External"/><Relationship Id="rId15" Type="http://schemas.openxmlformats.org/officeDocument/2006/relationships/hyperlink" Target="https://supabase.com/docs/guides/database/postgres/row-level-security" TargetMode="External"/><Relationship Id="rId16" Type="http://schemas.openxmlformats.org/officeDocument/2006/relationships/hyperlink" Target="https://supabase.com/docs/guides/database/extensions/pgvector" TargetMode="External"/><Relationship Id="rId17" Type="http://schemas.openxmlformats.org/officeDocument/2006/relationships/hyperlink" Target="https://developers.openai.com/api/docs/models/text-embedding-3-small" TargetMode="External"/><Relationship Id="rId18" Type="http://schemas.openxmlformats.org/officeDocument/2006/relationships/hyperlink" Target="https://developers.openai.com/api/docs/models/gpt-5.4-mini" TargetMode="External"/><Relationship Id="rId19" Type="http://schemas.openxmlformats.org/officeDocument/2006/relationships/hyperlink" Target="https://developers.openai.com/api/docs/guides/structured-outputs" TargetMode="External"/><Relationship Id="rId20" Type="http://schemas.openxmlformats.org/officeDocument/2006/relationships/hyperlink" Target="https://developers.openai.com/api/docs/guides/speech-to-text" TargetMode="External"/><Relationship Id="rId21" Type="http://schemas.openxmlformats.org/officeDocument/2006/relationships/hyperlink" Target="https://developers.openai.com/api/docs/guides/text-to-speech" TargetMode="External"/><Relationship Id="rId22" Type="http://schemas.openxmlformats.org/officeDocument/2006/relationships/hyperlink" Target="https://developer.mozilla.org/en-US/docs/Web/API/Window/postMessage" TargetMode="External"/><Relationship Id="rId23" Type="http://schemas.openxmlformats.org/officeDocument/2006/relationships/hyperlink" Target="https://github.com/phetsims/projectile-mo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MONTI — Propuesta técnica y alcance del MVP</dc:title>
  <dc:subject>MVP de 4.º de secundaria: movimiento parabólico y evaluación sobre 45 puntos</dc:subject>
  <dc:creator>Proyecto MONTI</dc:creator>
  <cp:keywords>MONTI, Física, RAG, generación procedural, evaluación socrática, MVP</cp:keywords>
  <dc:description>Actualización por instrucciones del autor: bibliografía RACSO y rúbrica 18/14/9/4.</dc:description>
  <cp:lastModifiedBy/>
  <cp:revision>1</cp:revision>
  <dcterms:created xsi:type="dcterms:W3CDTF">2013-12-23T23:15:00Z</dcterms:created>
  <dcterms:modified xsi:type="dcterms:W3CDTF">2026-09-07T15:30:00Z</dcterms:modified>
  <cp:category/>
</cp:coreProperties>
</file>