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6B52"/>
        </w:rPr>
        <w:t>Les vélis pour la Communauté de communes du Clunisois</w:t>
      </w:r>
    </w:p>
    <w:p>
      <w:r>
        <w:rPr>
          <w:i/>
        </w:rPr>
        <w:t>Utiliser des vélis dans sa flotte · Utiliser des vélis pour développer la mobilité inclusive</w:t>
      </w:r>
    </w:p>
    <w:p>
      <w:pPr>
        <w:pStyle w:val="Heading1"/>
      </w:pPr>
      <w:r>
        <w:rPr>
          <w:color w:val="1F6B52"/>
        </w:rPr>
        <w:t>En bref</w:t>
      </w:r>
    </w:p>
    <w:p>
      <w:pPr>
        <w:jc w:val="both"/>
      </w:pPr>
      <w:r>
        <w:t>Pour la Communauté de communes du Clunisois, intégrer des vélis à la flotte de service est une façon rapide et mesurable de réduire les coûts et les émissions des déplacements des agents, tout en répondant aux obligations de verdissement.</w:t>
      </w:r>
    </w:p>
    <w:p>
      <w:pPr>
        <w:jc w:val="both"/>
      </w:pPr>
      <w:r>
        <w:t>Pour la Communauté de communes du Clunisois, les vélis peuvent rendre l'emploi, les soins et les services accessibles aux habitants qui n'ont pas ou plus accès à la voiture.</w:t>
      </w:r>
    </w:p>
    <w:p>
      <w:pPr>
        <w:jc w:val="both"/>
      </w:pPr>
      <w:r>
        <w:t>Les enjeux sont clairs : maîtriser le budget de fonctionnement du parc (énergie, entretien, assurance) ; atteindre les objectifs de verdissement des flottes publiques ; donner l'exemple auprès des habitants et des entreprises du territoire ; garder des véhicules adaptés aux missions courtes et répétées des services ; réduire le renoncement aux déplacements, à l'emploi et aux soins ; proposer une solution plus économique qu'une voiture aux ménages modestes ; et compléter l'offre des acteurs de la mobilité solidaire.</w:t>
      </w:r>
    </w:p>
    <w:p>
      <w:pPr>
        <w:pStyle w:val="Heading1"/>
      </w:pPr>
      <w:r>
        <w:rPr>
          <w:color w:val="1F6B52"/>
        </w:rPr>
        <w:t>Les arguments clés</w:t>
      </w:r>
    </w:p>
    <w:p>
      <w:pPr>
        <w:jc w:val="both"/>
      </w:pPr>
      <w:r>
        <w:t>Depuis la loi de finances 2026, les véhicules des catégories L6e et L7e sont intégrés dans la définition des véhicules à faibles et très faibles émissions du code de l'environnement : ils comptent dans les objectifs de verdissement des flottes professionnelles et publiques [1, art. L224-6-1 et L224-6-2]. Par ailleurs, 15 millions de personnes sont en situation de précarité mobilité (baromètre Wimoov 2025) ; la moitié des personnes en insertion a déjà refusé un emploi faute de solution de mobilité, et 28 % de celles qui en ont trouvé un l'ont abandonné pour cette raison [2, p. 3]. De plus, la fiche CEE TRA-EQ-130 finance l'achat ou la location d'au moins 24 mois d'un quadricycle électrique neuf L6e ou L7e ; selon le barème retenu dans le Bilan XD, la prime atteint environ 1 205 € pour un L7e et 683 € pour un L6e acquis par une collectivité, 1 021 € et 578 € pour une personne morale, 510 € et 266 € pour un particulier [3, montants calculés dans le Bilan XD, p. 131] (montants en € dépendant du prix des CEE au moment de l'opération).</w:t>
      </w:r>
    </w:p>
    <w:p>
      <w:pPr>
        <w:jc w:val="both"/>
      </w:pPr>
      <w:r>
        <w:t>Les Français dépensent en moyenne 107 € par mois pour leurs trajets domicile-travail, 130 € en périurbain et 139 € en zone rurale ; les ouvriers sont la profession qui dépense le plus (115 €) [2, p. 3 (IPSOS, 2019)]. Par ailleurs, le coût d'usage d'un véli est inférieur à 1 € aux 100 km pour les vélos augmentés, d'environ 1 € pour les quadricycles légers carénés à pédalage et de 1 à 2 € aux 100 km pour les quadricycles électriques L6e et L7e [4, p. 3] (estimation). De plus, la simplicité des vélis réduit leur coût d'exploitation et celui de l'accompagnement des personnes éloignées de l'emploi, qui accèdent ainsi à des zones d'emploi plus larges [2, p. 8-9].</w:t>
      </w:r>
    </w:p>
    <w:p>
      <w:pPr>
        <w:pStyle w:val="Heading1"/>
      </w:pPr>
      <w:r>
        <w:rPr>
          <w:color w:val="1F6B52"/>
        </w:rPr>
        <w:t>Ce que montrent les expérimentations de terrain</w:t>
      </w:r>
    </w:p>
    <w:p>
      <w:pPr>
        <w:jc w:val="both"/>
      </w:pPr>
      <w:r>
        <w:t>Grâce aux véhicules disponibles à la location et aux prototypes issus des AAP, des expérimentations de 30 vélis ont été menées dans plus de vingt territoires ruraux et périurbains pour faire essayer, échanger entre acteurs et comprendre les changements de pratiques [2, p. 6]. Sur 654 carnets de bord renseignés pour les trajets professionnels, domicile-travail, courses et santé (4 territoires, 12 modèles de vélis), 93 % des testeurs tirent un bilan positif ou très positif de leur trajet [5] (retours déclaratifs de testeurs volontaires). Pour les trajets professionnels, domicile-travail, courses et santé, les bénéfices les plus cités dans 643 carnets sont l'agilité et la facilité à se garer (55 %), le plaisir d'observer le paysage (40 %) et le bien-être (37 %) [5].</w:t>
      </w:r>
    </w:p>
    <w:p>
      <w:pPr>
        <w:jc w:val="both"/>
      </w:pPr>
      <w:r>
        <w:t>Pour les trajets professionnels, domicile-travail, courses et santé, 56 % des carnets ne signalent aucune difficulté ; les difficultés les plus citées sont le manque de visibilité vis-à-vis des autres usagers (14 % des carnets) et une limite du véhicule (puissance, équipement) (9 %) [5]. Par temps de pluie, 88 % des 82 trajets renseignés (les trajets professionnels, domicile-travail, courses et santé) restent jugés positifs ou très positifs par les testeurs [5].</w:t>
      </w:r>
    </w:p>
    <w:p>
      <w:pPr>
        <w:jc w:val="both"/>
      </w:pPr>
      <w:r>
        <w:t>Les testeurs le disent avec leurs mots : « Le soir dans Paris, le Sorean est super rapide... idéal pour sortir de la ville » (testeur·rice, PNR Grand Causses, Sorean) [5] ; « Pour des trajets internes à la ville très pratique et agréable » (testeur·rice, Commune du Teil, Cyclospace) [5] ; « confort vraiment spartiate coffre trés utile entretien facile » (testeur·rice, CC Grand Pic St Loup, BIRO) [5].</w:t>
      </w:r>
    </w:p>
    <w:p>
      <w:pPr>
        <w:jc w:val="both"/>
      </w:pPr>
      <w:r>
        <w:t>Dans les territoires retenus, les résultats sont les suivants : PNR Grand Causses (282 carnets, 95 % de bilans positifs, avec AMI, Acticycle, BIRO, Formidable, Frikar, Karbikes, Midipile, Sorean, Speedbike, WEEZ) ; CC Grand Pic St Loup (215 carnets, 89 % de bilans positifs, avec BIRO, Urbaner, WEEZ) ; Commune du Teil (106 carnets, 96 % de bilans positifs, avec BIRO, Cyclospace, Urbaner, WEEZ) ; CC Clunisois (51 carnets, 94 % de bilans positifs, avec BIRO, Formidable, Urbaner, WEEZ).</w:t>
      </w:r>
    </w:p>
    <w:p>
      <w:pPr>
        <w:pStyle w:val="Heading1"/>
      </w:pPr>
      <w:r>
        <w:rPr>
          <w:color w:val="1F6B52"/>
        </w:rPr>
        <w:t>Des vélis disponibles pour vos usages</w:t>
      </w:r>
    </w:p>
    <w:p>
      <w:pPr>
        <w:jc w:val="both"/>
      </w:pPr>
      <w:r>
        <w:t>66 références de vélis proposées par 40 constructeurs correspondent aux usages visés : prix médian de 10 625 € HT (de 1 200 à 36 000 €), location médiane de 230 € HT par mois pour le véhicule seul, délai de livraison médian de 3 mois [6] (prix, loyers et délais déclarés par les constructeurs, à confirmer par devis).</w:t>
      </w:r>
    </w:p>
    <w:p>
      <w:r>
        <w:rPr>
          <w:i/>
        </w:rPr>
        <w:t>Sélection de 12 modèles (un par constructeur, les plus adaptés aux usages visés) parmi 66 références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7"/>
              </w:rPr>
              <w:t>Véli</w:t>
            </w:r>
          </w:p>
        </w:tc>
        <w:tc>
          <w:tcPr>
            <w:tcW w:type="dxa" w:w="1080"/>
          </w:tcPr>
          <w:p>
            <w:r>
              <w:rPr>
                <w:sz w:val="17"/>
              </w:rPr>
              <w:t>Constructeur</w:t>
            </w:r>
          </w:p>
        </w:tc>
        <w:tc>
          <w:tcPr>
            <w:tcW w:type="dxa" w:w="1080"/>
          </w:tcPr>
          <w:p>
            <w:r>
              <w:rPr>
                <w:sz w:val="17"/>
              </w:rPr>
              <w:t>Catégorie</w:t>
            </w:r>
          </w:p>
        </w:tc>
        <w:tc>
          <w:tcPr>
            <w:tcW w:type="dxa" w:w="1080"/>
          </w:tcPr>
          <w:p>
            <w:r>
              <w:rPr>
                <w:sz w:val="17"/>
              </w:rPr>
              <w:t>Vitesse max (km/h)</w:t>
            </w:r>
          </w:p>
        </w:tc>
        <w:tc>
          <w:tcPr>
            <w:tcW w:type="dxa" w:w="1080"/>
          </w:tcPr>
          <w:p>
            <w:r>
              <w:rPr>
                <w:sz w:val="17"/>
              </w:rPr>
              <w:t>Prix HT (€)</w:t>
            </w:r>
          </w:p>
        </w:tc>
        <w:tc>
          <w:tcPr>
            <w:tcW w:type="dxa" w:w="1080"/>
          </w:tcPr>
          <w:p>
            <w:r>
              <w:rPr>
                <w:sz w:val="17"/>
              </w:rPr>
              <w:t>Location HT (€/mois)</w:t>
            </w:r>
          </w:p>
        </w:tc>
        <w:tc>
          <w:tcPr>
            <w:tcW w:type="dxa" w:w="1080"/>
          </w:tcPr>
          <w:p>
            <w:r>
              <w:rPr>
                <w:sz w:val="17"/>
              </w:rPr>
              <w:t>Délai (mois)</w:t>
            </w:r>
          </w:p>
        </w:tc>
        <w:tc>
          <w:tcPr>
            <w:tcW w:type="dxa" w:w="1080"/>
          </w:tcPr>
          <w:p>
            <w:r>
              <w:rPr>
                <w:sz w:val="17"/>
              </w:rPr>
              <w:t>Commande possible</w:t>
            </w:r>
          </w:p>
        </w:tc>
      </w:tr>
      <w:tr>
        <w:tc>
          <w:tcPr>
            <w:tcW w:type="dxa" w:w="1080"/>
          </w:tcPr>
          <w:p>
            <w:r>
              <w:rPr>
                <w:sz w:val="17"/>
              </w:rPr>
              <w:t>ACT3.1 VAE</w:t>
            </w:r>
          </w:p>
        </w:tc>
        <w:tc>
          <w:tcPr>
            <w:tcW w:type="dxa" w:w="1080"/>
          </w:tcPr>
          <w:p>
            <w:r>
              <w:rPr>
                <w:sz w:val="17"/>
              </w:rPr>
              <w:t>Acticycle</w:t>
            </w:r>
          </w:p>
        </w:tc>
        <w:tc>
          <w:tcPr>
            <w:tcW w:type="dxa" w:w="1080"/>
          </w:tcPr>
          <w:p>
            <w:r>
              <w:rPr>
                <w:sz w:val="17"/>
              </w:rPr>
              <w:t>VAE</w:t>
            </w:r>
          </w:p>
        </w:tc>
        <w:tc>
          <w:tcPr>
            <w:tcW w:type="dxa" w:w="1080"/>
          </w:tcPr>
          <w:p>
            <w:r>
              <w:rPr>
                <w:sz w:val="17"/>
              </w:rPr>
              <w:t>25</w:t>
            </w:r>
          </w:p>
        </w:tc>
        <w:tc>
          <w:tcPr>
            <w:tcW w:type="dxa" w:w="1080"/>
          </w:tcPr>
          <w:p>
            <w:r>
              <w:rPr>
                <w:sz w:val="17"/>
              </w:rPr>
              <w:t>9 917</w:t>
            </w:r>
          </w:p>
        </w:tc>
        <w:tc>
          <w:tcPr>
            <w:tcW w:type="dxa" w:w="1080"/>
          </w:tcPr>
          <w:p>
            <w:r>
              <w:rPr>
                <w:sz w:val="17"/>
              </w:rPr>
              <w:t>200</w:t>
            </w:r>
          </w:p>
        </w:tc>
        <w:tc>
          <w:tcPr>
            <w:tcW w:type="dxa" w:w="1080"/>
          </w:tcPr>
          <w:p>
            <w:r>
              <w:rPr>
                <w:sz w:val="17"/>
              </w:rPr>
              <w:t>6</w:t>
            </w:r>
          </w:p>
        </w:tc>
        <w:tc>
          <w:tcPr>
            <w:tcW w:type="dxa" w:w="1080"/>
          </w:tcPr>
          <w:p>
            <w:r>
              <w:rPr>
                <w:sz w:val="17"/>
              </w:rPr>
              <w:t>26/10/2025</w:t>
            </w:r>
          </w:p>
        </w:tc>
      </w:tr>
      <w:tr>
        <w:tc>
          <w:tcPr>
            <w:tcW w:type="dxa" w:w="1080"/>
          </w:tcPr>
          <w:p>
            <w:r>
              <w:rPr>
                <w:sz w:val="17"/>
              </w:rPr>
              <w:t>BigTetu</w:t>
            </w:r>
          </w:p>
        </w:tc>
        <w:tc>
          <w:tcPr>
            <w:tcW w:type="dxa" w:w="1080"/>
          </w:tcPr>
          <w:p>
            <w:r>
              <w:rPr>
                <w:sz w:val="17"/>
              </w:rPr>
              <w:t>BigTetu Cargo Bikes</w:t>
            </w:r>
          </w:p>
        </w:tc>
        <w:tc>
          <w:tcPr>
            <w:tcW w:type="dxa" w:w="1080"/>
          </w:tcPr>
          <w:p>
            <w:r>
              <w:rPr>
                <w:sz w:val="17"/>
              </w:rPr>
              <w:t>VAE,L1eA</w:t>
            </w:r>
          </w:p>
        </w:tc>
        <w:tc>
          <w:tcPr>
            <w:tcW w:type="dxa" w:w="1080"/>
          </w:tcPr>
          <w:p>
            <w:r>
              <w:rPr>
                <w:sz w:val="17"/>
              </w:rPr>
              <w:t>25</w:t>
            </w:r>
          </w:p>
        </w:tc>
        <w:tc>
          <w:tcPr>
            <w:tcW w:type="dxa" w:w="1080"/>
          </w:tcPr>
          <w:p>
            <w:r>
              <w:rPr>
                <w:sz w:val="17"/>
              </w:rPr>
              <w:t>6 209</w:t>
            </w:r>
          </w:p>
        </w:tc>
        <w:tc>
          <w:tcPr>
            <w:tcW w:type="dxa" w:w="1080"/>
          </w:tcPr>
          <w:p>
            <w:r>
              <w:rPr>
                <w:sz w:val="17"/>
              </w:rPr>
              <w:t>350</w:t>
            </w:r>
          </w:p>
        </w:tc>
        <w:tc>
          <w:tcPr>
            <w:tcW w:type="dxa" w:w="1080"/>
          </w:tcPr>
          <w:p>
            <w:r>
              <w:rPr>
                <w:sz w:val="17"/>
              </w:rPr>
              <w:t>3</w:t>
            </w:r>
          </w:p>
        </w:tc>
        <w:tc>
          <w:tcPr>
            <w:tcW w:type="dxa" w:w="1080"/>
          </w:tcPr>
          <w:p>
            <w:r>
              <w:rPr>
                <w:sz w:val="17"/>
              </w:rPr>
              <w:t>12/2/2026</w:t>
            </w:r>
          </w:p>
        </w:tc>
      </w:tr>
      <w:tr>
        <w:tc>
          <w:tcPr>
            <w:tcW w:type="dxa" w:w="1080"/>
          </w:tcPr>
          <w:p>
            <w:r>
              <w:rPr>
                <w:sz w:val="17"/>
              </w:rPr>
              <w:t>Maillon Daily</w:t>
            </w:r>
          </w:p>
        </w:tc>
        <w:tc>
          <w:tcPr>
            <w:tcW w:type="dxa" w:w="1080"/>
          </w:tcPr>
          <w:p>
            <w:r>
              <w:rPr>
                <w:sz w:val="17"/>
              </w:rPr>
              <w:t>Maillon Mobility</w:t>
            </w:r>
          </w:p>
        </w:tc>
        <w:tc>
          <w:tcPr>
            <w:tcW w:type="dxa" w:w="1080"/>
          </w:tcPr>
          <w:p>
            <w:r>
              <w:rPr>
                <w:sz w:val="17"/>
              </w:rPr>
              <w:t>VAE</w:t>
            </w:r>
          </w:p>
        </w:tc>
        <w:tc>
          <w:tcPr>
            <w:tcW w:type="dxa" w:w="1080"/>
          </w:tcPr>
          <w:p>
            <w:r>
              <w:rPr>
                <w:sz w:val="17"/>
              </w:rPr>
              <w:t>25</w:t>
            </w:r>
          </w:p>
        </w:tc>
        <w:tc>
          <w:tcPr>
            <w:tcW w:type="dxa" w:w="1080"/>
          </w:tcPr>
          <w:p>
            <w:r>
              <w:rPr>
                <w:sz w:val="17"/>
              </w:rPr>
              <w:t>9 000</w:t>
            </w:r>
          </w:p>
        </w:tc>
        <w:tc>
          <w:tcPr>
            <w:tcW w:type="dxa" w:w="1080"/>
          </w:tcPr>
          <w:p>
            <w:r>
              <w:rPr>
                <w:sz w:val="17"/>
              </w:rPr>
              <w:t>220</w:t>
            </w:r>
          </w:p>
        </w:tc>
        <w:tc>
          <w:tcPr>
            <w:tcW w:type="dxa" w:w="1080"/>
          </w:tcPr>
          <w:p>
            <w:r>
              <w:rPr>
                <w:sz w:val="17"/>
              </w:rPr>
              <w:t>4</w:t>
            </w:r>
          </w:p>
        </w:tc>
        <w:tc>
          <w:tcPr>
            <w:tcW w:type="dxa" w:w="1080"/>
          </w:tcPr>
          <w:p>
            <w:r>
              <w:rPr>
                <w:sz w:val="17"/>
              </w:rPr>
              <w:t>1/10/2025</w:t>
            </w:r>
          </w:p>
        </w:tc>
      </w:tr>
      <w:tr>
        <w:tc>
          <w:tcPr>
            <w:tcW w:type="dxa" w:w="1080"/>
          </w:tcPr>
          <w:p>
            <w:r>
              <w:rPr>
                <w:sz w:val="17"/>
              </w:rPr>
              <w:t>XYZ CARGO TRIKE</w:t>
            </w:r>
          </w:p>
        </w:tc>
        <w:tc>
          <w:tcPr>
            <w:tcW w:type="dxa" w:w="1080"/>
          </w:tcPr>
          <w:p>
            <w:r>
              <w:rPr>
                <w:sz w:val="17"/>
              </w:rPr>
              <w:t>WED CARGO</w:t>
            </w:r>
          </w:p>
        </w:tc>
        <w:tc>
          <w:tcPr>
            <w:tcW w:type="dxa" w:w="1080"/>
          </w:tcPr>
          <w:p>
            <w:r>
              <w:rPr>
                <w:sz w:val="17"/>
              </w:rPr>
              <w:t>VAE</w:t>
            </w:r>
          </w:p>
        </w:tc>
        <w:tc>
          <w:tcPr>
            <w:tcW w:type="dxa" w:w="1080"/>
          </w:tcPr>
          <w:p>
            <w:r>
              <w:rPr>
                <w:sz w:val="17"/>
              </w:rPr>
              <w:t>25</w:t>
            </w:r>
          </w:p>
        </w:tc>
        <w:tc>
          <w:tcPr>
            <w:tcW w:type="dxa" w:w="1080"/>
          </w:tcPr>
          <w:p>
            <w:r>
              <w:rPr>
                <w:sz w:val="17"/>
              </w:rPr>
              <w:t>3 625</w:t>
            </w:r>
          </w:p>
        </w:tc>
        <w:tc>
          <w:tcPr>
            <w:tcW w:type="dxa" w:w="1080"/>
          </w:tcPr>
          <w:p>
            <w:r>
              <w:rPr>
                <w:sz w:val="17"/>
              </w:rPr>
              <w:t>180</w:t>
            </w:r>
          </w:p>
        </w:tc>
        <w:tc>
          <w:tcPr>
            <w:tcW w:type="dxa" w:w="1080"/>
          </w:tcPr>
          <w:p>
            <w:r>
              <w:rPr>
                <w:sz w:val="17"/>
              </w:rPr>
              <w:t>2</w:t>
            </w:r>
          </w:p>
        </w:tc>
        <w:tc>
          <w:tcPr>
            <w:tcW w:type="dxa" w:w="1080"/>
          </w:tcPr>
          <w:p>
            <w:r>
              <w:rPr>
                <w:sz w:val="17"/>
              </w:rPr>
              <w:t>21/6/2026</w:t>
            </w:r>
          </w:p>
        </w:tc>
      </w:tr>
      <w:tr>
        <w:tc>
          <w:tcPr>
            <w:tcW w:type="dxa" w:w="1080"/>
          </w:tcPr>
          <w:p>
            <w:r>
              <w:rPr>
                <w:sz w:val="17"/>
              </w:rPr>
              <w:t>e-roe 25 Cargo</w:t>
            </w:r>
          </w:p>
        </w:tc>
        <w:tc>
          <w:tcPr>
            <w:tcW w:type="dxa" w:w="1080"/>
          </w:tcPr>
          <w:p>
            <w:r>
              <w:rPr>
                <w:sz w:val="17"/>
              </w:rPr>
              <w:t>E-ROE</w:t>
            </w:r>
          </w:p>
        </w:tc>
        <w:tc>
          <w:tcPr>
            <w:tcW w:type="dxa" w:w="1080"/>
          </w:tcPr>
          <w:p>
            <w:r>
              <w:rPr>
                <w:sz w:val="17"/>
              </w:rPr>
              <w:t>VAE</w:t>
            </w:r>
          </w:p>
        </w:tc>
        <w:tc>
          <w:tcPr>
            <w:tcW w:type="dxa" w:w="1080"/>
          </w:tcPr>
          <w:p>
            <w:r>
              <w:rPr>
                <w:sz w:val="17"/>
              </w:rPr>
              <w:t>25</w:t>
            </w:r>
          </w:p>
        </w:tc>
        <w:tc>
          <w:tcPr>
            <w:tcW w:type="dxa" w:w="1080"/>
          </w:tcPr>
          <w:p>
            <w:r>
              <w:rPr>
                <w:sz w:val="17"/>
              </w:rPr>
              <w:t>9 400</w:t>
            </w:r>
          </w:p>
        </w:tc>
        <w:tc>
          <w:tcPr>
            <w:tcW w:type="dxa" w:w="1080"/>
          </w:tcPr>
          <w:p>
            <w:r>
              <w:rPr>
                <w:sz w:val="17"/>
              </w:rPr>
              <w:t>150</w:t>
            </w:r>
          </w:p>
        </w:tc>
        <w:tc>
          <w:tcPr>
            <w:tcW w:type="dxa" w:w="1080"/>
          </w:tcPr>
          <w:p>
            <w:r>
              <w:rPr>
                <w:sz w:val="17"/>
              </w:rPr>
              <w:t>6</w:t>
            </w:r>
          </w:p>
        </w:tc>
        <w:tc>
          <w:tcPr>
            <w:tcW w:type="dxa" w:w="1080"/>
          </w:tcPr>
          <w:p>
            <w:r>
              <w:rPr>
                <w:sz w:val="17"/>
              </w:rPr>
              <w:t>3/11/2025</w:t>
            </w:r>
          </w:p>
        </w:tc>
      </w:tr>
      <w:tr>
        <w:tc>
          <w:tcPr>
            <w:tcW w:type="dxa" w:w="1080"/>
          </w:tcPr>
          <w:p>
            <w:r>
              <w:rPr>
                <w:sz w:val="17"/>
              </w:rPr>
              <w:t>KIWEE</w:t>
            </w:r>
          </w:p>
        </w:tc>
        <w:tc>
          <w:tcPr>
            <w:tcW w:type="dxa" w:w="1080"/>
          </w:tcPr>
          <w:p>
            <w:r>
              <w:rPr>
                <w:sz w:val="17"/>
              </w:rPr>
              <w:t>METACAR MOBILITY SYSTEMS</w:t>
            </w:r>
          </w:p>
        </w:tc>
        <w:tc>
          <w:tcPr>
            <w:tcW w:type="dxa" w:w="1080"/>
          </w:tcPr>
          <w:p>
            <w:r>
              <w:rPr>
                <w:sz w:val="17"/>
              </w:rPr>
              <w:t>L6eB,L6eBP</w:t>
            </w:r>
          </w:p>
        </w:tc>
        <w:tc>
          <w:tcPr>
            <w:tcW w:type="dxa" w:w="1080"/>
          </w:tcPr>
          <w:p>
            <w:r>
              <w:rPr>
                <w:sz w:val="17"/>
              </w:rPr>
              <w:t>45</w:t>
            </w:r>
          </w:p>
        </w:tc>
        <w:tc>
          <w:tcPr>
            <w:tcW w:type="dxa" w:w="1080"/>
          </w:tcPr>
          <w:p>
            <w:r>
              <w:rPr>
                <w:sz w:val="17"/>
              </w:rPr>
              <w:t>20 000</w:t>
            </w:r>
          </w:p>
        </w:tc>
        <w:tc>
          <w:tcPr>
            <w:tcW w:type="dxa" w:w="1080"/>
          </w:tcPr>
          <w:p>
            <w:r>
              <w:rPr>
                <w:sz w:val="17"/>
              </w:rPr>
              <w:t>500</w:t>
            </w:r>
          </w:p>
        </w:tc>
        <w:tc>
          <w:tcPr>
            <w:tcW w:type="dxa" w:w="1080"/>
          </w:tcPr>
          <w:p>
            <w:r>
              <w:rPr>
                <w:sz w:val="17"/>
              </w:rPr>
              <w:t>6</w:t>
            </w:r>
          </w:p>
        </w:tc>
        <w:tc>
          <w:tcPr>
            <w:tcW w:type="dxa" w:w="1080"/>
          </w:tcPr>
          <w:p>
            <w:r>
              <w:rPr>
                <w:sz w:val="17"/>
              </w:rPr>
              <w:t>6/4/2026</w:t>
            </w:r>
          </w:p>
        </w:tc>
      </w:tr>
      <w:tr>
        <w:tc>
          <w:tcPr>
            <w:tcW w:type="dxa" w:w="1080"/>
          </w:tcPr>
          <w:p>
            <w:r>
              <w:rPr>
                <w:sz w:val="17"/>
              </w:rPr>
              <w:t>ipop 45</w:t>
            </w:r>
          </w:p>
        </w:tc>
        <w:tc>
          <w:tcPr>
            <w:tcW w:type="dxa" w:w="1080"/>
          </w:tcPr>
          <w:p>
            <w:r>
              <w:rPr>
                <w:sz w:val="17"/>
              </w:rPr>
              <w:t>IPOP Automobiles</w:t>
            </w:r>
          </w:p>
        </w:tc>
        <w:tc>
          <w:tcPr>
            <w:tcW w:type="dxa" w:w="1080"/>
          </w:tcPr>
          <w:p>
            <w:r>
              <w:rPr>
                <w:sz w:val="17"/>
              </w:rPr>
              <w:t>L6eB</w:t>
            </w:r>
          </w:p>
        </w:tc>
        <w:tc>
          <w:tcPr>
            <w:tcW w:type="dxa" w:w="1080"/>
          </w:tcPr>
          <w:p>
            <w:r>
              <w:rPr>
                <w:sz w:val="17"/>
              </w:rPr>
              <w:t>45</w:t>
            </w:r>
          </w:p>
        </w:tc>
        <w:tc>
          <w:tcPr>
            <w:tcW w:type="dxa" w:w="1080"/>
          </w:tcPr>
          <w:p>
            <w:r>
              <w:rPr>
                <w:sz w:val="17"/>
              </w:rPr>
              <w:t>9 166</w:t>
            </w:r>
          </w:p>
        </w:tc>
        <w:tc>
          <w:tcPr>
            <w:tcW w:type="dxa" w:w="1080"/>
          </w:tcPr>
          <w:p>
            <w:r>
              <w:rPr>
                <w:sz w:val="17"/>
              </w:rPr>
              <w:t>—</w:t>
            </w:r>
          </w:p>
        </w:tc>
        <w:tc>
          <w:tcPr>
            <w:tcW w:type="dxa" w:w="1080"/>
          </w:tcPr>
          <w:p>
            <w:r>
              <w:rPr>
                <w:sz w:val="17"/>
              </w:rPr>
              <w:t>3</w:t>
            </w:r>
          </w:p>
        </w:tc>
        <w:tc>
          <w:tcPr>
            <w:tcW w:type="dxa" w:w="1080"/>
          </w:tcPr>
          <w:p>
            <w:r>
              <w:rPr>
                <w:sz w:val="17"/>
              </w:rPr>
              <w:t>1/10/2026</w:t>
            </w:r>
          </w:p>
        </w:tc>
      </w:tr>
      <w:tr>
        <w:tc>
          <w:tcPr>
            <w:tcW w:type="dxa" w:w="1080"/>
          </w:tcPr>
          <w:p>
            <w:r>
              <w:rPr>
                <w:sz w:val="17"/>
              </w:rPr>
              <w:t>La bagnole</w:t>
            </w:r>
          </w:p>
        </w:tc>
        <w:tc>
          <w:tcPr>
            <w:tcW w:type="dxa" w:w="1080"/>
          </w:tcPr>
          <w:p>
            <w:r>
              <w:rPr>
                <w:sz w:val="17"/>
              </w:rPr>
              <w:t>KILOW</w:t>
            </w:r>
          </w:p>
        </w:tc>
        <w:tc>
          <w:tcPr>
            <w:tcW w:type="dxa" w:w="1080"/>
          </w:tcPr>
          <w:p>
            <w:r>
              <w:rPr>
                <w:sz w:val="17"/>
              </w:rPr>
              <w:t>L6eB,L7e</w:t>
            </w:r>
          </w:p>
        </w:tc>
        <w:tc>
          <w:tcPr>
            <w:tcW w:type="dxa" w:w="1080"/>
          </w:tcPr>
          <w:p>
            <w:r>
              <w:rPr>
                <w:sz w:val="17"/>
              </w:rPr>
              <w:t>80</w:t>
            </w:r>
          </w:p>
        </w:tc>
        <w:tc>
          <w:tcPr>
            <w:tcW w:type="dxa" w:w="1080"/>
          </w:tcPr>
          <w:p>
            <w:r>
              <w:rPr>
                <w:sz w:val="17"/>
              </w:rPr>
              <w:t>13 000</w:t>
            </w:r>
          </w:p>
        </w:tc>
        <w:tc>
          <w:tcPr>
            <w:tcW w:type="dxa" w:w="1080"/>
          </w:tcPr>
          <w:p>
            <w:r>
              <w:rPr>
                <w:sz w:val="17"/>
              </w:rPr>
              <w:t>—</w:t>
            </w:r>
          </w:p>
        </w:tc>
        <w:tc>
          <w:tcPr>
            <w:tcW w:type="dxa" w:w="1080"/>
          </w:tcPr>
          <w:p>
            <w:r>
              <w:rPr>
                <w:sz w:val="17"/>
              </w:rPr>
              <w:t>12</w:t>
            </w:r>
          </w:p>
        </w:tc>
        <w:tc>
          <w:tcPr>
            <w:tcW w:type="dxa" w:w="1080"/>
          </w:tcPr>
          <w:p>
            <w:r>
              <w:rPr>
                <w:sz w:val="17"/>
              </w:rPr>
              <w:t>10/10/2025</w:t>
            </w:r>
          </w:p>
        </w:tc>
      </w:tr>
      <w:tr>
        <w:tc>
          <w:tcPr>
            <w:tcW w:type="dxa" w:w="1080"/>
          </w:tcPr>
          <w:p>
            <w:r>
              <w:rPr>
                <w:sz w:val="17"/>
              </w:rPr>
              <w:t>CIRCLE</w:t>
            </w:r>
          </w:p>
        </w:tc>
        <w:tc>
          <w:tcPr>
            <w:tcW w:type="dxa" w:w="1080"/>
          </w:tcPr>
          <w:p>
            <w:r>
              <w:rPr>
                <w:sz w:val="17"/>
              </w:rPr>
              <w:t>CIRCLE-MOBILITY sas</w:t>
            </w:r>
          </w:p>
        </w:tc>
        <w:tc>
          <w:tcPr>
            <w:tcW w:type="dxa" w:w="1080"/>
          </w:tcPr>
          <w:p>
            <w:r>
              <w:rPr>
                <w:sz w:val="17"/>
              </w:rPr>
              <w:t>L7e</w:t>
            </w:r>
          </w:p>
        </w:tc>
        <w:tc>
          <w:tcPr>
            <w:tcW w:type="dxa" w:w="1080"/>
          </w:tcPr>
          <w:p>
            <w:r>
              <w:rPr>
                <w:sz w:val="17"/>
              </w:rPr>
              <w:t>90</w:t>
            </w:r>
          </w:p>
        </w:tc>
        <w:tc>
          <w:tcPr>
            <w:tcW w:type="dxa" w:w="1080"/>
          </w:tcPr>
          <w:p>
            <w:r>
              <w:rPr>
                <w:sz w:val="17"/>
              </w:rPr>
              <w:t>—</w:t>
            </w:r>
          </w:p>
        </w:tc>
        <w:tc>
          <w:tcPr>
            <w:tcW w:type="dxa" w:w="1080"/>
          </w:tcPr>
          <w:p>
            <w:r>
              <w:rPr>
                <w:sz w:val="17"/>
              </w:rPr>
              <w:t>350</w:t>
            </w:r>
          </w:p>
        </w:tc>
        <w:tc>
          <w:tcPr>
            <w:tcW w:type="dxa" w:w="1080"/>
          </w:tcPr>
          <w:p>
            <w:r>
              <w:rPr>
                <w:sz w:val="17"/>
              </w:rPr>
              <w:t>6</w:t>
            </w:r>
          </w:p>
        </w:tc>
        <w:tc>
          <w:tcPr>
            <w:tcW w:type="dxa" w:w="1080"/>
          </w:tcPr>
          <w:p>
            <w:r>
              <w:rPr>
                <w:sz w:val="17"/>
              </w:rPr>
              <w:t>4/1/2026</w:t>
            </w:r>
          </w:p>
        </w:tc>
      </w:tr>
      <w:tr>
        <w:tc>
          <w:tcPr>
            <w:tcW w:type="dxa" w:w="1080"/>
          </w:tcPr>
          <w:p>
            <w:r>
              <w:rPr>
                <w:sz w:val="17"/>
              </w:rPr>
              <w:t>Ulive</w:t>
            </w:r>
          </w:p>
        </w:tc>
        <w:tc>
          <w:tcPr>
            <w:tcW w:type="dxa" w:w="1080"/>
          </w:tcPr>
          <w:p>
            <w:r>
              <w:rPr>
                <w:sz w:val="17"/>
              </w:rPr>
              <w:t>Avatar Mobilité</w:t>
            </w:r>
          </w:p>
        </w:tc>
        <w:tc>
          <w:tcPr>
            <w:tcW w:type="dxa" w:w="1080"/>
          </w:tcPr>
          <w:p>
            <w:r>
              <w:rPr>
                <w:sz w:val="17"/>
              </w:rPr>
              <w:t>L7e,L6eB</w:t>
            </w:r>
          </w:p>
        </w:tc>
        <w:tc>
          <w:tcPr>
            <w:tcW w:type="dxa" w:w="1080"/>
          </w:tcPr>
          <w:p>
            <w:r>
              <w:rPr>
                <w:sz w:val="17"/>
              </w:rPr>
              <w:t>90</w:t>
            </w:r>
          </w:p>
        </w:tc>
        <w:tc>
          <w:tcPr>
            <w:tcW w:type="dxa" w:w="1080"/>
          </w:tcPr>
          <w:p>
            <w:r>
              <w:rPr>
                <w:sz w:val="17"/>
              </w:rPr>
              <w:t>15 000</w:t>
            </w:r>
          </w:p>
        </w:tc>
        <w:tc>
          <w:tcPr>
            <w:tcW w:type="dxa" w:w="1080"/>
          </w:tcPr>
          <w:p>
            <w:r>
              <w:rPr>
                <w:sz w:val="17"/>
              </w:rPr>
              <w:t>—</w:t>
            </w:r>
          </w:p>
        </w:tc>
        <w:tc>
          <w:tcPr>
            <w:tcW w:type="dxa" w:w="1080"/>
          </w:tcPr>
          <w:p>
            <w:r>
              <w:rPr>
                <w:sz w:val="17"/>
              </w:rPr>
              <w:t>12</w:t>
            </w:r>
          </w:p>
        </w:tc>
        <w:tc>
          <w:tcPr>
            <w:tcW w:type="dxa" w:w="1080"/>
          </w:tcPr>
          <w:p>
            <w:r>
              <w:rPr>
                <w:sz w:val="17"/>
              </w:rPr>
              <w:t>13/10/2025</w:t>
            </w:r>
          </w:p>
        </w:tc>
      </w:tr>
      <w:tr>
        <w:tc>
          <w:tcPr>
            <w:tcW w:type="dxa" w:w="1080"/>
          </w:tcPr>
          <w:p>
            <w:r>
              <w:rPr>
                <w:sz w:val="17"/>
              </w:rPr>
              <w:t>Weez Lite</w:t>
            </w:r>
          </w:p>
        </w:tc>
        <w:tc>
          <w:tcPr>
            <w:tcW w:type="dxa" w:w="1080"/>
          </w:tcPr>
          <w:p>
            <w:r>
              <w:rPr>
                <w:sz w:val="17"/>
              </w:rPr>
              <w:t>Eon Motors</w:t>
            </w:r>
          </w:p>
        </w:tc>
        <w:tc>
          <w:tcPr>
            <w:tcW w:type="dxa" w:w="1080"/>
          </w:tcPr>
          <w:p>
            <w:r>
              <w:rPr>
                <w:sz w:val="17"/>
              </w:rPr>
              <w:t>L7e</w:t>
            </w:r>
          </w:p>
        </w:tc>
        <w:tc>
          <w:tcPr>
            <w:tcW w:type="dxa" w:w="1080"/>
          </w:tcPr>
          <w:p>
            <w:r>
              <w:rPr>
                <w:sz w:val="17"/>
              </w:rPr>
              <w:t>90</w:t>
            </w:r>
          </w:p>
        </w:tc>
        <w:tc>
          <w:tcPr>
            <w:tcW w:type="dxa" w:w="1080"/>
          </w:tcPr>
          <w:p>
            <w:r>
              <w:rPr>
                <w:sz w:val="17"/>
              </w:rPr>
              <w:t>14 200</w:t>
            </w:r>
          </w:p>
        </w:tc>
        <w:tc>
          <w:tcPr>
            <w:tcW w:type="dxa" w:w="1080"/>
          </w:tcPr>
          <w:p>
            <w:r>
              <w:rPr>
                <w:sz w:val="17"/>
              </w:rPr>
              <w:t>180</w:t>
            </w:r>
          </w:p>
        </w:tc>
        <w:tc>
          <w:tcPr>
            <w:tcW w:type="dxa" w:w="1080"/>
          </w:tcPr>
          <w:p>
            <w:r>
              <w:rPr>
                <w:sz w:val="17"/>
              </w:rPr>
              <w:t>4</w:t>
            </w:r>
          </w:p>
        </w:tc>
        <w:tc>
          <w:tcPr>
            <w:tcW w:type="dxa" w:w="1080"/>
          </w:tcPr>
          <w:p>
            <w:r>
              <w:rPr>
                <w:sz w:val="17"/>
              </w:rPr>
              <w:t>24/10/2025</w:t>
            </w:r>
          </w:p>
        </w:tc>
      </w:tr>
      <w:tr>
        <w:tc>
          <w:tcPr>
            <w:tcW w:type="dxa" w:w="1080"/>
          </w:tcPr>
          <w:p>
            <w:r>
              <w:rPr>
                <w:sz w:val="17"/>
              </w:rPr>
              <w:t>DUAL</w:t>
            </w:r>
          </w:p>
        </w:tc>
        <w:tc>
          <w:tcPr>
            <w:tcW w:type="dxa" w:w="1080"/>
          </w:tcPr>
          <w:p>
            <w:r>
              <w:rPr>
                <w:sz w:val="17"/>
              </w:rPr>
              <w:t>AEMOTION</w:t>
            </w:r>
          </w:p>
        </w:tc>
        <w:tc>
          <w:tcPr>
            <w:tcW w:type="dxa" w:w="1080"/>
          </w:tcPr>
          <w:p>
            <w:r>
              <w:rPr>
                <w:sz w:val="17"/>
              </w:rPr>
              <w:t>L5e</w:t>
            </w:r>
          </w:p>
        </w:tc>
        <w:tc>
          <w:tcPr>
            <w:tcW w:type="dxa" w:w="1080"/>
          </w:tcPr>
          <w:p>
            <w:r>
              <w:rPr>
                <w:sz w:val="17"/>
              </w:rPr>
              <w:t>115</w:t>
            </w:r>
          </w:p>
        </w:tc>
        <w:tc>
          <w:tcPr>
            <w:tcW w:type="dxa" w:w="1080"/>
          </w:tcPr>
          <w:p>
            <w:r>
              <w:rPr>
                <w:sz w:val="17"/>
              </w:rPr>
              <w:t>19 000</w:t>
            </w:r>
          </w:p>
        </w:tc>
        <w:tc>
          <w:tcPr>
            <w:tcW w:type="dxa" w:w="1080"/>
          </w:tcPr>
          <w:p>
            <w:r>
              <w:rPr>
                <w:sz w:val="17"/>
              </w:rPr>
              <w:t>179</w:t>
            </w:r>
          </w:p>
        </w:tc>
        <w:tc>
          <w:tcPr>
            <w:tcW w:type="dxa" w:w="1080"/>
          </w:tcPr>
          <w:p>
            <w:r>
              <w:rPr>
                <w:sz w:val="17"/>
              </w:rPr>
              <w:t>6</w:t>
            </w:r>
          </w:p>
        </w:tc>
        <w:tc>
          <w:tcPr>
            <w:tcW w:type="dxa" w:w="1080"/>
          </w:tcPr>
          <w:p>
            <w:r>
              <w:rPr>
                <w:sz w:val="17"/>
              </w:rPr>
              <w:t>1/9/2026</w:t>
            </w:r>
          </w:p>
        </w:tc>
      </w:tr>
    </w:tbl>
    <w:p>
      <w:pPr>
        <w:pStyle w:val="Heading1"/>
      </w:pPr>
      <w:r>
        <w:rPr>
          <w:color w:val="1F6B52"/>
        </w:rPr>
        <w:t>Ordres de grandeur</w:t>
      </w:r>
    </w:p>
    <w:p>
      <w:pPr>
        <w:jc w:val="both"/>
      </w:pPr>
      <w:r>
        <w:t>Ces repères permettent de situer l'effort public consacré aux vélis, sans opposer vélis et automobile : les deux répondent à des besoins différents et complémentaires.</w:t>
      </w:r>
    </w:p>
    <w:p>
      <w:pPr>
        <w:jc w:val="both"/>
      </w:pPr>
      <w:r>
        <w:t>L'eXtrême Défi Mobilité, lancé en 2022, a été soutenu à hauteur de 6 M€ par l'ADEME et de 15 M€ par France 2030 [2, p. 3]. Entre 2018 et 2024, l'État a consacré 9,4 Md€ au soutien de la demande automobile (bonus, prime à la conversion, leasing social) et 8,2 Md€ au soutien de l'offre ; les 21 M€ publics de l'eXtrême Défi représentent environ 0,1 % de ces 17,6 Md€ [7, p. 66 (d'après la Cour des comptes)] (périmètres et objectifs différents : comparaison d'ordre de grandeur, pas de mise en concurrence). De plus, le leasing social automobile apporte jusqu'à 7 000 € d'aide par contrat (loyer plafonné à 200 € par mois) ; 46 729 ménages en ont bénéficié pour 272 M€ en 2024-2025 [8, p. 46 et annexe 6] (à rapprocher de l'aide de 1 500 € par véli proposée dans le scénario XD 2025-2028).</w:t>
      </w:r>
    </w:p>
    <w:p>
      <w:pPr>
        <w:jc w:val="both"/>
      </w:pPr>
      <w:r>
        <w:t>L'AAP Industrie des véhicules intermédiaires soutient 13 PME à hauteur de 15,3 M€ pour un budget total de 49,3 M€ (projets de 30 mois en moyenne) : chaque euro public accompagne environ 3,2 € de projets [2, p. 14].</w:t>
      </w:r>
    </w:p>
    <w:p>
      <w:pPr>
        <w:pStyle w:val="Heading1"/>
      </w:pPr>
      <w:r>
        <w:rPr>
          <w:color w:val="1F6B52"/>
        </w:rPr>
        <w:t>Vos questions, nos réponses</w:t>
      </w:r>
    </w:p>
    <w:p>
      <w:r>
        <w:rPr>
          <w:b/>
        </w:rPr>
        <w:t>« Un véli coûte aussi cher qu'une petite voiture. »</w:t>
      </w:r>
    </w:p>
    <w:p>
      <w:pPr>
        <w:jc w:val="both"/>
      </w:pPr>
      <w:r>
        <w:t>À l'achat, l'écart est réel pour les quadricycles, mais le coût complet se joue à l'usage : énergie, entretien, assurance et dépréciation sont nettement plus faibles. La location longue durée, la prime CEE et les achats groupés réduisent la marche d'entrée.</w:t>
      </w:r>
    </w:p>
    <w:p>
      <w:pPr>
        <w:jc w:val="both"/>
      </w:pPr>
      <w:r>
        <w:t>Les vélis L6e et L7e restent peu compétitifs à l'achat face aux voitures (catégorie M1), qui bénéficient d'aides pouvant atteindre 7 000 € ; l'ADEME propose de porter la prime CEE des quadricycles d'environ 250-500 € à 1 500-2 000 € et de développer des offres de location intégrées [9, frein n°1]. Selon l'étude de l'AVELI reprise sur aveli.org, un véli utilisé à titre professionnel permet de diviser quasiment par 4 le coût total de possession [10, section « Segmentation de la gamme »] (estimation). Précisons que les voitures électriques restent beaucoup plus aidées à l'achat ; les coûts complets du véli sont en partie des coûts cibles.</w:t>
      </w:r>
    </w:p>
    <w:p>
      <w:r>
        <w:rPr>
          <w:b/>
        </w:rPr>
        <w:t>« Qui va les entretenir et les réparer ? »</w:t>
      </w:r>
    </w:p>
    <w:p>
      <w:pPr>
        <w:jc w:val="both"/>
      </w:pPr>
      <w:r>
        <w:t>Les vélis sont conçus simples et réparables ; dans les expérimentations, la maintenance s'est le plus souvent réglée à distance avec un réparateur local en lien avec le constructeur. Structurer un réseau local de maintenance reste un chantier du programme.</w:t>
      </w:r>
    </w:p>
    <w:p>
      <w:pPr>
        <w:jc w:val="both"/>
      </w:pPr>
      <w:r>
        <w:t>La difficulté des constructeurs à proposer un service après-vente efficace freine le déploiement et inquiète clients et assureurs : identifier des acteurs locaux de maintenance et de réparation crée des emplois non délocalisables [9, frein n°4]. Précisons que le service après-vente des jeunes constructeurs est un frein identifié.</w:t>
      </w:r>
    </w:p>
    <w:p>
      <w:r>
        <w:rPr>
          <w:b/>
        </w:rPr>
        <w:t>« Ce sont des prototypes, pas des véhicules fiables. »</w:t>
      </w:r>
    </w:p>
    <w:p>
      <w:pPr>
        <w:jc w:val="both"/>
      </w:pPr>
      <w:r>
        <w:t>Plusieurs dizaines de modèles sont commandables, avec des délais et capacités annoncés par les constructeurs ; les prototypes de l'XD servent à tester les usages avant industrialisation.</w:t>
      </w:r>
    </w:p>
    <w:p>
      <w:pPr>
        <w:jc w:val="both"/>
      </w:pPr>
      <w:r>
        <w:t>En trois ans, 231 projets ont été déposés et 150 financés : 58 concepts, 155 prototypes de véhicules, 6 composants et 13 projets d'industrialisation couvrant toutes les catégories L et VAE [2, p. 4]. Précisons que délais, prix et capacités sont déclaratifs ; plusieurs modèles ne sont commandables qu'à partir de 2026-2027.</w:t>
      </w:r>
    </w:p>
    <w:p>
      <w:r>
        <w:rPr>
          <w:b/>
        </w:rPr>
        <w:t>« L'autonomie ne suffira pas. »</w:t>
      </w:r>
    </w:p>
    <w:p>
      <w:pPr>
        <w:jc w:val="both"/>
      </w:pPr>
      <w:r>
        <w:t>La plupart des usages ciblés, notamment professionnels, restent sous 50 km par jour ; dimensionner la batterie au besoin réel est précisément ce qui rend le véli léger et économique.</w:t>
      </w:r>
    </w:p>
    <w:p>
      <w:pPr>
        <w:jc w:val="both"/>
      </w:pPr>
      <w:r>
        <w:t>Les usages professionnels visés parcourent souvent moins de 50 km par jour et jamais plus de 100 km : inutile d'équiper un véhicule pour une autonomie qui n'est jamais utilisée, ce qui rend le véli rationnel [11, § 2.2.1]. Par ailleurs, le marché des usages professionnels dépasse 3 millions d'unités en France (le parc de véhicules utilitaires légers gérés par les entreprises compte à lui seul 3,2 millions de véhicules) et 69 % des kilométrages journaliers professionnels sont inférieurs à 100 km [11, synthèse ; aveli.org/univers-pro] (estimation).</w:t>
      </w:r>
    </w:p>
    <w:p>
      <w:r>
        <w:rPr>
          <w:b/>
        </w:rPr>
        <w:t>« Organiser un test va nous prendre trop de temps. »</w:t>
      </w:r>
    </w:p>
    <w:p>
      <w:pPr>
        <w:jc w:val="both"/>
      </w:pPr>
      <w:r>
        <w:t>Commencer par une mise à disposition aux agents ou salariés est le plus simple ; guide, fiche projet et outils existent, et des associations peuvent porter la logistique et le recueil des retours. Précisons que le prêt aux habitants demande des moyens humains importants.</w:t>
      </w:r>
    </w:p>
    <w:p>
      <w:r>
        <w:rPr>
          <w:b/>
        </w:rPr>
        <w:t>« Personne ne l'utilisera l'hiver ou sous la pluie. »</w:t>
      </w:r>
    </w:p>
    <w:p>
      <w:pPr>
        <w:jc w:val="both"/>
      </w:pPr>
      <w:r>
        <w:t>Les carnets de bord montrent des bilans très majoritairement positifs y compris par temps de pluie ; la saisonnalité pèse toutefois sur l'usage, d'où l'intérêt de modèles carénés selon le territoire. Précisons que les testeurs étaient volontaires ; la saisonnalité a réduit l'usage dans VIMOB.</w:t>
      </w:r>
    </w:p>
    <w:p>
      <w:pPr>
        <w:pStyle w:val="Heading1"/>
      </w:pPr>
      <w:r>
        <w:rPr>
          <w:color w:val="1F6B52"/>
        </w:rPr>
        <w:t>Comment s'engager concrètement</w:t>
      </w:r>
    </w:p>
    <w:p>
      <w:pPr>
        <w:jc w:val="both"/>
      </w:pPr>
      <w:r>
        <w:t>La démarche proposée est progressive : d'abord, recenser les trajets de service de moins de 50 km par jour (carnets de bord ou boîtiers sur quelques véhicules actuels) ; ensuite, tester 2 ou 3 vélis auprès d'agents volontaires pendant quelques semaines, en location ; puis, vérifier l'éligibilité à la prime CEE TRA-EQ-130 et aux offres de location longue durée ; en parallèle, signaler le projet via le questionnaire « Déploiement des vélis » de l'ADEME et contacter la direction régionale ; par ailleurs, s'associer à une plateforme de mobilité ou une association d'insertion pour identifier les besoins ; de même, mettre en place un prêt ou un autopartage de quelques vélis (modèle LOC'AMI 48 ou Autoplume) ; enfin, prévoir l'accompagnement : prise en main, choix d'itinéraires, assurance.</w:t>
      </w:r>
    </w:p>
    <w:p>
      <w:pPr>
        <w:pStyle w:val="Heading1"/>
      </w:pPr>
      <w:r>
        <w:rPr>
          <w:color w:val="1F6B52"/>
        </w:rPr>
        <w:t>Pour aller plus loin</w:t>
      </w:r>
    </w:p>
    <w:p>
      <w:pPr>
        <w:jc w:val="both"/>
      </w:pPr>
      <w:r>
        <w:t>Pour approfondir, plusieurs ressources sont disponibles : Verdissement des flottes (LOM) et vélis (wiki XD) (https://wikixd.fabmob.io/wiki/Verdissement_des_flottes_LOM) ; Synthèse des retours de l'expérimentation 30 vélis (wiki XD) (https://wikixd.fabmob.io/wiki/Synth%C3%A8se_30velis) ; Acteurs qui proposent des solutions de financement des vélis (wiki XD) (https://wikixd.fabmob.io/wiki/Acteurs_qui_proposent_des_solutions_de_financement_des_v%C3%A9hicules_interm%C3%A9diaires) ; Calculateur de consommation par trajet (Mobility widget XD) (https://www.mobilitywidgets.com/extreme-defi/embed) ; Fiches constructeurs (évaluations) (https://cloud.fabmob.io/s/ycgCLppemkRg4b8) ; Bilan Vitamines 12 In'VD (trajets du quotidien) (https://cloud.fabmob.io/s/zx6pnTdEGDsHSLk) ; Guide des expérimentations (GitBook) (https://xd-ademe-mobilite.gitbook.io/guide-xd-experimentations-desvev%C3%A9hicules_interm%C3%A9diaires) ; Trouver des financements pour votre projet XD (wiki XD) (https://wikixd.fabmob.io/wiki/Trouver_des_financements_pour_votre_projet_XD).</w:t>
      </w:r>
    </w:p>
    <w:p>
      <w:pPr>
        <w:pStyle w:val="Heading1"/>
      </w:pPr>
      <w:r>
        <w:rPr>
          <w:color w:val="1F6B52"/>
        </w:rPr>
        <w:t>Sources</w:t>
      </w:r>
    </w:p>
    <w:p>
      <w:r>
        <w:rPr>
          <w:sz w:val="18"/>
        </w:rPr>
        <w:t>[1] Légifrance, Code de l'environnement, art. L224-6-1 et suivants (verdissement des flottes, modifiés par la loi de finances 2026), 2026 — https://www.legifrance.gouv.fr/codes/article_lc/LEGIARTI000053545039</w:t>
      </w:r>
    </w:p>
    <w:p>
      <w:r>
        <w:rPr>
          <w:sz w:val="18"/>
        </w:rPr>
        <w:t>[2] ADEME (rédaction G. Plassat), plan France 2030, Bilan thématique de l'eXtrême Défi des prototypes et de l'industrie des véhicules intermédiaires, novembre 2025 — https://librairie.ademe.fr/mobilite-et-transports/8845-bilan-thematique-de-l-extreme-defi-des-prototypes-et-de-l-industrie-des-vehicules-intermediaires-9791029726392.html</w:t>
      </w:r>
    </w:p>
    <w:p>
      <w:r>
        <w:rPr>
          <w:sz w:val="18"/>
        </w:rPr>
        <w:t>[3] Ministère de la Transition écologique, Fiche CEE TRA-EQ-130 — Quadricycle électrique neuf (achat ou location ≥ 24 mois), version en vigueur au 01/01/2025 — https://www.ecologie.gouv.fr/sites/default/files/documents/TRA-EQ-130%20vA65-1%20%C3%A0%20compter%20du%2001-01-2025.pdf</w:t>
      </w:r>
    </w:p>
    <w:p>
      <w:r>
        <w:rPr>
          <w:sz w:val="18"/>
        </w:rPr>
        <w:t>[4] The Shift Project / The Shifters, Note VELIS — microvoitures (quadricycles légers et lourds), rapport intermédiaire « L'automobile et les mobilités routières », juin 2026 — https://theshiftproject.org</w:t>
      </w:r>
    </w:p>
    <w:p>
      <w:r>
        <w:rPr>
          <w:sz w:val="18"/>
        </w:rPr>
        <w:t>[5] Fabrique des Mobilités / ADEME, Carnets de bord de l'expérimentation 30 vélis (export), extraction 2026 — https://30veli.fabmob.io/export</w:t>
      </w:r>
    </w:p>
    <w:p>
      <w:r>
        <w:rPr>
          <w:sz w:val="18"/>
        </w:rPr>
        <w:t>[6] ADEME, recueil auprès des constructeurs, Vélis à la vente en 2025-2026 (déclarations des constructeurs), 2025-2026</w:t>
      </w:r>
    </w:p>
    <w:p>
      <w:r>
        <w:rPr>
          <w:sz w:val="18"/>
        </w:rPr>
        <w:t>[7] Sénat, Rapport du Sénat sur le soutien public à la filière automobile (2026), 2026 — https://www.senat.fr</w:t>
      </w:r>
    </w:p>
    <w:p>
      <w:r>
        <w:rPr>
          <w:sz w:val="18"/>
        </w:rPr>
        <w:t>[8] Cour des comptes, Le soutien de l'État à la filière automobile, avril 2026 — https://www.ccomptes.fr</w:t>
      </w:r>
    </w:p>
    <w:p>
      <w:r>
        <w:rPr>
          <w:sz w:val="18"/>
        </w:rPr>
        <w:t>[9] ADEME, eXtrême Défi Mobilité, Les 8 freins au développement des vélis, 2026 — https://cloud.fabmob.io/s/qyGXSrag6ATsPSr</w:t>
      </w:r>
    </w:p>
    <w:p>
      <w:r>
        <w:rPr>
          <w:sz w:val="18"/>
        </w:rPr>
        <w:t>[10] Julien Dossier, Quattrolibri / AVELI, Publications « Univers pro » pour le site AVELI, avril 2025 — https://www.aveli.org/univers-pro</w:t>
      </w:r>
    </w:p>
    <w:p>
      <w:r>
        <w:rPr>
          <w:sz w:val="18"/>
        </w:rPr>
        <w:t>[11] Julien Dossier, Quattrolibri (Diagonale du Plein), VELIPROGRAMME — Arguments, propositions, plan pour massifier les usages PRO des VELI, 2025 — https://wikixd.fabmob.io/wiki/Massifier_les_usages_PRO_des_V%C3%A9lis</w:t>
      </w:r>
    </w:p>
    <w:p>
      <w:pPr>
        <w:jc w:val="left"/>
      </w:pPr>
      <w:r>
        <w:rPr>
          <w:i/>
          <w:sz w:val="17"/>
        </w:rPr>
        <w:t>Les mentions « estimation », « projection » et « objectif » signalent des chiffres qui reposent sur les hypothèses des documents cités ; les autres chiffres sont des données mesurées, des retours de terrain ou des textes en vigueur.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