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6848" w14:textId="6FBD75CF" w:rsidR="00B74048" w:rsidRPr="00B74048" w:rsidRDefault="00000000" w:rsidP="00B74048">
      <w:pPr>
        <w:spacing w:before="72" w:after="240"/>
        <w:ind w:left="2162" w:right="1439"/>
        <w:jc w:val="center"/>
        <w:rPr>
          <w:rFonts w:ascii="Helvetica Neue" w:eastAsia="Helvetica Neue" w:hAnsi="Helvetica Neue" w:cs="Helvetica Neue"/>
          <w:b/>
          <w:color w:val="4F5252"/>
          <w:sz w:val="34"/>
          <w:szCs w:val="34"/>
        </w:rPr>
      </w:pPr>
      <w:r w:rsidRPr="005E3312">
        <w:rPr>
          <w:rFonts w:ascii="Helvetica Neue" w:eastAsia="Helvetica Neue" w:hAnsi="Helvetica Neue" w:cs="Helvetica Neue"/>
          <w:b/>
          <w:color w:val="4F5252"/>
          <w:sz w:val="34"/>
          <w:szCs w:val="34"/>
        </w:rPr>
        <w:t>Guion para recursos interactivos</w:t>
      </w:r>
    </w:p>
    <w:tbl>
      <w:tblPr>
        <w:tblStyle w:val="af"/>
        <w:tblW w:w="13609" w:type="dxa"/>
        <w:tblInd w:w="-714" w:type="dxa"/>
        <w:tblBorders>
          <w:top w:val="single" w:sz="4" w:space="0" w:color="00685F"/>
          <w:left w:val="single" w:sz="4" w:space="0" w:color="00685F"/>
          <w:bottom w:val="single" w:sz="4" w:space="0" w:color="00685F"/>
          <w:right w:val="single" w:sz="4" w:space="0" w:color="00685F"/>
          <w:insideH w:val="single" w:sz="4" w:space="0" w:color="00685F"/>
          <w:insideV w:val="single" w:sz="4" w:space="0" w:color="00685F"/>
        </w:tblBorders>
        <w:tblLayout w:type="fixed"/>
        <w:tblLook w:val="0000" w:firstRow="0" w:lastRow="0" w:firstColumn="0" w:lastColumn="0" w:noHBand="0" w:noVBand="0"/>
      </w:tblPr>
      <w:tblGrid>
        <w:gridCol w:w="2865"/>
        <w:gridCol w:w="10744"/>
      </w:tblGrid>
      <w:tr w:rsidR="003E5D37" w:rsidRPr="005E3312" w14:paraId="15DC2A6D" w14:textId="77777777" w:rsidTr="00C12D3D">
        <w:trPr>
          <w:trHeight w:val="362"/>
        </w:trPr>
        <w:tc>
          <w:tcPr>
            <w:tcW w:w="2865" w:type="dxa"/>
            <w:shd w:val="clear" w:color="auto" w:fill="00AFAA"/>
          </w:tcPr>
          <w:p w14:paraId="3EFF0201" w14:textId="77777777" w:rsidR="003E5D37" w:rsidRPr="005E3312" w:rsidRDefault="003E5D37" w:rsidP="003E5D37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Asignatura y código:</w:t>
            </w:r>
          </w:p>
        </w:tc>
        <w:tc>
          <w:tcPr>
            <w:tcW w:w="10744" w:type="dxa"/>
            <w:vAlign w:val="center"/>
          </w:tcPr>
          <w:p w14:paraId="57FCBC99" w14:textId="5243EE7D" w:rsidR="003E5D37" w:rsidRPr="005E3312" w:rsidRDefault="003E5D37" w:rsidP="003E5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Fundamentos de Base de Datos | DRBD_2008</w:t>
            </w:r>
          </w:p>
        </w:tc>
      </w:tr>
      <w:tr w:rsidR="003E5D37" w:rsidRPr="005E3312" w14:paraId="392E2AF6" w14:textId="77777777" w:rsidTr="00C12D3D">
        <w:trPr>
          <w:trHeight w:val="362"/>
        </w:trPr>
        <w:tc>
          <w:tcPr>
            <w:tcW w:w="2865" w:type="dxa"/>
            <w:shd w:val="clear" w:color="auto" w:fill="00AFAA"/>
          </w:tcPr>
          <w:p w14:paraId="3A546034" w14:textId="77777777" w:rsidR="003E5D37" w:rsidRPr="005E3312" w:rsidRDefault="003E5D37" w:rsidP="003E5D37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Profesor:</w:t>
            </w:r>
          </w:p>
        </w:tc>
        <w:tc>
          <w:tcPr>
            <w:tcW w:w="10744" w:type="dxa"/>
            <w:vAlign w:val="center"/>
          </w:tcPr>
          <w:p w14:paraId="51FB851B" w14:textId="77F56E2F" w:rsidR="003E5D37" w:rsidRPr="005E3312" w:rsidRDefault="003E5D37" w:rsidP="003E5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Juan Carlos Morocho Yunga</w:t>
            </w:r>
          </w:p>
        </w:tc>
      </w:tr>
      <w:tr w:rsidR="00C362D1" w:rsidRPr="005E3312" w14:paraId="5F171D36" w14:textId="77777777">
        <w:trPr>
          <w:trHeight w:val="362"/>
        </w:trPr>
        <w:tc>
          <w:tcPr>
            <w:tcW w:w="2865" w:type="dxa"/>
            <w:shd w:val="clear" w:color="auto" w:fill="00AFAA"/>
          </w:tcPr>
          <w:p w14:paraId="3B32E427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Semana:</w:t>
            </w:r>
          </w:p>
        </w:tc>
        <w:tc>
          <w:tcPr>
            <w:tcW w:w="10744" w:type="dxa"/>
          </w:tcPr>
          <w:p w14:paraId="2A677C45" w14:textId="70D9B5B1" w:rsidR="00C362D1" w:rsidRPr="005E3312" w:rsidRDefault="00F02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10</w:t>
            </w:r>
          </w:p>
        </w:tc>
      </w:tr>
      <w:tr w:rsidR="00C362D1" w:rsidRPr="005E3312" w14:paraId="7956265C" w14:textId="77777777" w:rsidTr="00B23CBF">
        <w:trPr>
          <w:trHeight w:val="362"/>
        </w:trPr>
        <w:tc>
          <w:tcPr>
            <w:tcW w:w="2865" w:type="dxa"/>
            <w:shd w:val="clear" w:color="auto" w:fill="00AFAA"/>
          </w:tcPr>
          <w:p w14:paraId="14C878A9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 xml:space="preserve">Recurso de referencia: </w:t>
            </w:r>
            <w:r w:rsidRPr="005E3312">
              <w:rPr>
                <w:rFonts w:ascii="Helvetica Neue" w:eastAsia="Helvetica Neue" w:hAnsi="Helvetica Neue" w:cs="Helvetica Neue"/>
                <w:b/>
                <w:color w:val="FF0000"/>
                <w:sz w:val="20"/>
                <w:szCs w:val="20"/>
              </w:rPr>
              <w:t>(opcional)</w:t>
            </w:r>
          </w:p>
        </w:tc>
        <w:tc>
          <w:tcPr>
            <w:tcW w:w="10744" w:type="dxa"/>
            <w:vAlign w:val="center"/>
          </w:tcPr>
          <w:p w14:paraId="69C9AF47" w14:textId="642D0BDE" w:rsidR="00C362D1" w:rsidRPr="005E3312" w:rsidRDefault="009D2928" w:rsidP="00B23C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Unir con líneas</w:t>
            </w:r>
          </w:p>
        </w:tc>
      </w:tr>
      <w:tr w:rsidR="00C362D1" w:rsidRPr="005E3312" w14:paraId="7BD2F9A3" w14:textId="77777777">
        <w:trPr>
          <w:trHeight w:val="362"/>
        </w:trPr>
        <w:tc>
          <w:tcPr>
            <w:tcW w:w="2865" w:type="dxa"/>
            <w:shd w:val="clear" w:color="auto" w:fill="00AFAA"/>
          </w:tcPr>
          <w:p w14:paraId="790A8304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Título:</w:t>
            </w:r>
          </w:p>
        </w:tc>
        <w:tc>
          <w:tcPr>
            <w:tcW w:w="10744" w:type="dxa"/>
          </w:tcPr>
          <w:p w14:paraId="23512A5D" w14:textId="2709B5E0" w:rsidR="00C362D1" w:rsidRPr="005E3312" w:rsidRDefault="00F02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 w:rsidRPr="00F028FA">
              <w:t>Conceptos clave del modelo EER</w:t>
            </w:r>
          </w:p>
        </w:tc>
      </w:tr>
    </w:tbl>
    <w:p w14:paraId="09E95EB0" w14:textId="77777777" w:rsidR="00B23CBF" w:rsidRDefault="00B23CBF">
      <w:pPr>
        <w:spacing w:after="240"/>
        <w:rPr>
          <w:color w:val="FF0000"/>
        </w:rPr>
      </w:pPr>
    </w:p>
    <w:p w14:paraId="7258E443" w14:textId="3D0BD4A4" w:rsidR="00C362D1" w:rsidRPr="005E3312" w:rsidRDefault="00000000">
      <w:pPr>
        <w:spacing w:after="240"/>
        <w:rPr>
          <w:color w:val="FF0000"/>
        </w:rPr>
      </w:pPr>
      <w:r w:rsidRPr="005E3312">
        <w:rPr>
          <w:color w:val="FF0000"/>
        </w:rPr>
        <w:t>Si existe una actividad interactiva</w:t>
      </w:r>
    </w:p>
    <w:tbl>
      <w:tblPr>
        <w:tblStyle w:val="af1"/>
        <w:tblW w:w="5000" w:type="pct"/>
        <w:tblInd w:w="0" w:type="dxa"/>
        <w:tblBorders>
          <w:top w:val="single" w:sz="4" w:space="0" w:color="004270"/>
          <w:left w:val="single" w:sz="4" w:space="0" w:color="004270"/>
          <w:bottom w:val="single" w:sz="4" w:space="0" w:color="004270"/>
          <w:right w:val="single" w:sz="4" w:space="0" w:color="004270"/>
          <w:insideH w:val="single" w:sz="4" w:space="0" w:color="004270"/>
          <w:insideV w:val="single" w:sz="4" w:space="0" w:color="004270"/>
        </w:tblBorders>
        <w:tblLook w:val="0400" w:firstRow="0" w:lastRow="0" w:firstColumn="0" w:lastColumn="0" w:noHBand="0" w:noVBand="1"/>
      </w:tblPr>
      <w:tblGrid>
        <w:gridCol w:w="12996"/>
      </w:tblGrid>
      <w:tr w:rsidR="00C362D1" w:rsidRPr="005E3312" w14:paraId="333C0BD5" w14:textId="77777777" w:rsidTr="00916E62">
        <w:trPr>
          <w:trHeight w:val="1084"/>
        </w:trPr>
        <w:tc>
          <w:tcPr>
            <w:tcW w:w="5000" w:type="pct"/>
            <w:tcBorders>
              <w:top w:val="single" w:sz="4" w:space="0" w:color="004270"/>
              <w:left w:val="single" w:sz="4" w:space="0" w:color="00685F"/>
              <w:bottom w:val="single" w:sz="4" w:space="0" w:color="004270"/>
              <w:right w:val="single" w:sz="4" w:space="0" w:color="00685F"/>
            </w:tcBorders>
          </w:tcPr>
          <w:p w14:paraId="5739E150" w14:textId="77777777" w:rsidR="00C362D1" w:rsidRPr="005E3312" w:rsidRDefault="00000000">
            <w:pPr>
              <w:spacing w:before="131" w:line="256" w:lineRule="auto"/>
              <w:ind w:left="363" w:right="65" w:hanging="284"/>
              <w:jc w:val="both"/>
              <w:rPr>
                <w:color w:val="000000"/>
                <w:sz w:val="20"/>
                <w:szCs w:val="20"/>
              </w:rPr>
            </w:pPr>
            <w:r w:rsidRPr="005E3312">
              <w:rPr>
                <w:b/>
                <w:i/>
                <w:color w:val="000000"/>
                <w:sz w:val="20"/>
                <w:szCs w:val="20"/>
              </w:rPr>
              <w:t>Descripción general de la actividad para equipo de producción de contenido</w:t>
            </w:r>
            <w:r w:rsidRPr="005E3312">
              <w:rPr>
                <w:color w:val="000000"/>
                <w:sz w:val="20"/>
                <w:szCs w:val="20"/>
              </w:rPr>
              <w:t xml:space="preserve"> </w:t>
            </w:r>
          </w:p>
          <w:p w14:paraId="1B3ACD68" w14:textId="6986A212" w:rsidR="00C362D1" w:rsidRPr="00921CC4" w:rsidRDefault="009D1664" w:rsidP="00921CC4">
            <w:pPr>
              <w:pStyle w:val="Prrafodelista"/>
              <w:numPr>
                <w:ilvl w:val="0"/>
                <w:numId w:val="8"/>
              </w:numPr>
              <w:spacing w:before="120" w:after="120"/>
              <w:ind w:left="794" w:right="62" w:hanging="357"/>
              <w:jc w:val="both"/>
              <w:rPr>
                <w:rFonts w:ascii="Helvetica Neue" w:eastAsia="Helvetica Neue" w:hAnsi="Helvetica Neue" w:cs="Helvetica Neue"/>
                <w:bCs/>
                <w:sz w:val="20"/>
                <w:szCs w:val="20"/>
              </w:rPr>
            </w:pPr>
            <w:r w:rsidRPr="00921CC4">
              <w:rPr>
                <w:rFonts w:ascii="Helvetica Neue" w:eastAsia="Helvetica Neue" w:hAnsi="Helvetica Neue" w:cs="Helvetica Neue"/>
                <w:bCs/>
                <w:sz w:val="20"/>
                <w:szCs w:val="20"/>
              </w:rPr>
              <w:t xml:space="preserve">Por favor, elaborar un recurso tipo: </w:t>
            </w:r>
            <w:r w:rsidR="00921CC4" w:rsidRPr="00921CC4"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  <w:t>Unir con líneas</w:t>
            </w:r>
            <w:r w:rsidR="00921CC4" w:rsidRPr="00921CC4">
              <w:rPr>
                <w:rFonts w:ascii="Helvetica Neue" w:eastAsia="Helvetica Neue" w:hAnsi="Helvetica Neue" w:cs="Helvetica Neue"/>
                <w:bCs/>
                <w:sz w:val="20"/>
                <w:szCs w:val="20"/>
              </w:rPr>
              <w:t>.</w:t>
            </w:r>
          </w:p>
          <w:p w14:paraId="2AC3C3D2" w14:textId="678BC175" w:rsidR="006B34C5" w:rsidRPr="00921CC4" w:rsidRDefault="00B31DDF" w:rsidP="00921CC4">
            <w:pPr>
              <w:pStyle w:val="Prrafodelista"/>
              <w:numPr>
                <w:ilvl w:val="0"/>
                <w:numId w:val="8"/>
              </w:numPr>
              <w:spacing w:before="120" w:after="120"/>
              <w:ind w:left="794" w:right="62" w:hanging="357"/>
              <w:jc w:val="both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921CC4">
              <w:rPr>
                <w:rFonts w:ascii="Helvetica Neue" w:eastAsia="Helvetica Neue" w:hAnsi="Helvetica Neue" w:cs="Helvetica Neue"/>
                <w:bCs/>
                <w:sz w:val="20"/>
                <w:szCs w:val="20"/>
              </w:rPr>
              <w:t>Además, reorganizar el orden de presentación de las respuestas para que los estudiantes no reciban siempre el mismo patrón</w:t>
            </w:r>
          </w:p>
        </w:tc>
      </w:tr>
    </w:tbl>
    <w:p w14:paraId="219EBB3B" w14:textId="77777777" w:rsidR="00C362D1" w:rsidRPr="005E3312" w:rsidRDefault="00C362D1">
      <w:pPr>
        <w:spacing w:line="276" w:lineRule="auto"/>
        <w:rPr>
          <w:rFonts w:ascii="Helvetica Neue Light" w:eastAsia="Helvetica Neue Light" w:hAnsi="Helvetica Neue Light" w:cs="Helvetica Neue Light"/>
          <w:color w:val="000000"/>
          <w:sz w:val="28"/>
          <w:szCs w:val="28"/>
        </w:rPr>
      </w:pPr>
    </w:p>
    <w:tbl>
      <w:tblPr>
        <w:tblStyle w:val="af2"/>
        <w:tblW w:w="5000" w:type="pct"/>
        <w:tblInd w:w="0" w:type="dxa"/>
        <w:tblBorders>
          <w:top w:val="single" w:sz="4" w:space="0" w:color="004270"/>
          <w:left w:val="single" w:sz="4" w:space="0" w:color="004270"/>
          <w:bottom w:val="single" w:sz="4" w:space="0" w:color="004270"/>
          <w:right w:val="single" w:sz="4" w:space="0" w:color="004270"/>
          <w:insideH w:val="single" w:sz="4" w:space="0" w:color="004270"/>
          <w:insideV w:val="single" w:sz="4" w:space="0" w:color="004270"/>
        </w:tblBorders>
        <w:tblLook w:val="0400" w:firstRow="0" w:lastRow="0" w:firstColumn="0" w:lastColumn="0" w:noHBand="0" w:noVBand="1"/>
      </w:tblPr>
      <w:tblGrid>
        <w:gridCol w:w="2485"/>
        <w:gridCol w:w="10511"/>
      </w:tblGrid>
      <w:tr w:rsidR="00C362D1" w:rsidRPr="005E3312" w14:paraId="3B801423" w14:textId="77777777" w:rsidTr="00916E62">
        <w:trPr>
          <w:trHeight w:val="380"/>
        </w:trPr>
        <w:tc>
          <w:tcPr>
            <w:tcW w:w="956" w:type="pct"/>
            <w:tcBorders>
              <w:top w:val="single" w:sz="4" w:space="0" w:color="004270"/>
              <w:left w:val="single" w:sz="4" w:space="0" w:color="004270"/>
              <w:bottom w:val="single" w:sz="4" w:space="0" w:color="004270"/>
              <w:right w:val="single" w:sz="4" w:space="0" w:color="004270"/>
            </w:tcBorders>
            <w:shd w:val="clear" w:color="auto" w:fill="E2E1E0"/>
          </w:tcPr>
          <w:p w14:paraId="3F2051F7" w14:textId="77777777" w:rsidR="00C362D1" w:rsidRPr="005E3312" w:rsidRDefault="00000000" w:rsidP="00B74048">
            <w:pPr>
              <w:spacing w:before="103"/>
              <w:jc w:val="center"/>
              <w:rPr>
                <w:rFonts w:ascii="Helvetica Neue" w:eastAsia="Helvetica Neue" w:hAnsi="Helvetica Neue" w:cs="Helvetica Neue"/>
                <w:b/>
                <w:color w:val="000000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7067"/>
                <w:sz w:val="18"/>
                <w:szCs w:val="18"/>
              </w:rPr>
              <w:t>Elemento</w:t>
            </w:r>
          </w:p>
        </w:tc>
        <w:tc>
          <w:tcPr>
            <w:tcW w:w="4044" w:type="pct"/>
            <w:tcBorders>
              <w:top w:val="single" w:sz="4" w:space="0" w:color="004270"/>
              <w:left w:val="single" w:sz="4" w:space="0" w:color="004270"/>
              <w:bottom w:val="single" w:sz="4" w:space="0" w:color="004270"/>
              <w:right w:val="single" w:sz="4" w:space="0" w:color="004270"/>
            </w:tcBorders>
            <w:shd w:val="clear" w:color="auto" w:fill="E2E1E0"/>
          </w:tcPr>
          <w:p w14:paraId="55F5385C" w14:textId="77777777" w:rsidR="00C362D1" w:rsidRPr="005E3312" w:rsidRDefault="00000000" w:rsidP="00B74048">
            <w:pPr>
              <w:spacing w:before="103"/>
              <w:ind w:left="2496" w:right="2481" w:hanging="80"/>
              <w:jc w:val="center"/>
              <w:rPr>
                <w:rFonts w:ascii="Helvetica Neue" w:eastAsia="Helvetica Neue" w:hAnsi="Helvetica Neue" w:cs="Helvetica Neue"/>
                <w:b/>
                <w:color w:val="000000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7067"/>
                <w:sz w:val="18"/>
                <w:szCs w:val="18"/>
              </w:rPr>
              <w:t>Descripción</w:t>
            </w:r>
          </w:p>
        </w:tc>
      </w:tr>
      <w:tr w:rsidR="009D1664" w:rsidRPr="005E3312" w14:paraId="685E4885" w14:textId="77777777" w:rsidTr="003A4012">
        <w:trPr>
          <w:trHeight w:val="406"/>
        </w:trPr>
        <w:tc>
          <w:tcPr>
            <w:tcW w:w="956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</w:tcPr>
          <w:p w14:paraId="3656549C" w14:textId="40D2BBD6" w:rsidR="009D1664" w:rsidRPr="005E3312" w:rsidRDefault="009D1664" w:rsidP="009D1664">
            <w:pPr>
              <w:spacing w:before="46"/>
              <w:ind w:left="-38" w:firstLine="24"/>
              <w:jc w:val="center"/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t>Instrucciones al estudiante</w:t>
            </w:r>
          </w:p>
        </w:tc>
        <w:tc>
          <w:tcPr>
            <w:tcW w:w="4044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  <w:vAlign w:val="center"/>
          </w:tcPr>
          <w:p w14:paraId="28F8B5AC" w14:textId="22FF766A" w:rsidR="0069419C" w:rsidRPr="00F028FA" w:rsidRDefault="00F028FA" w:rsidP="006E4E4C">
            <w:pPr>
              <w:tabs>
                <w:tab w:val="left" w:pos="421"/>
              </w:tabs>
              <w:spacing w:before="120" w:after="120" w:line="372" w:lineRule="auto"/>
              <w:ind w:left="80"/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</w:pPr>
            <w:r w:rsidRPr="00F028FA"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  <w:t>Unir con líneas cada concepto del modelo EER con la descripción que define su función en la estructuración semántica de datos y jerarquías de entidades.</w:t>
            </w:r>
          </w:p>
        </w:tc>
      </w:tr>
      <w:tr w:rsidR="00B74048" w:rsidRPr="005E3312" w14:paraId="4D984DEA" w14:textId="77777777" w:rsidTr="00916E62">
        <w:trPr>
          <w:trHeight w:val="406"/>
        </w:trPr>
        <w:tc>
          <w:tcPr>
            <w:tcW w:w="956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FFFFF" w:themeFill="background1"/>
            <w:vAlign w:val="center"/>
          </w:tcPr>
          <w:p w14:paraId="29FDF3AA" w14:textId="77777777" w:rsidR="00B74048" w:rsidRDefault="00B74048" w:rsidP="00916E62">
            <w:pPr>
              <w:spacing w:before="46"/>
              <w:ind w:left="80" w:hanging="80"/>
              <w:jc w:val="center"/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</w:pPr>
          </w:p>
          <w:p w14:paraId="2AA9A2EF" w14:textId="6BE9F65D" w:rsidR="00916E62" w:rsidRPr="005E3312" w:rsidRDefault="007E5890" w:rsidP="00916E62">
            <w:pPr>
              <w:spacing w:before="46"/>
              <w:ind w:left="80" w:hanging="80"/>
              <w:jc w:val="center"/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t>Opciones</w:t>
            </w:r>
            <w:r w:rsidR="00916E62"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t xml:space="preserve"> y </w:t>
            </w:r>
            <w:r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t>r</w:t>
            </w:r>
            <w:r w:rsidR="00916E62"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t>espuesta</w:t>
            </w:r>
          </w:p>
        </w:tc>
        <w:tc>
          <w:tcPr>
            <w:tcW w:w="4044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FFFFF" w:themeFill="background1"/>
          </w:tcPr>
          <w:p w14:paraId="18A1E68E" w14:textId="77777777" w:rsidR="00B74048" w:rsidRDefault="00B74048" w:rsidP="00B74048">
            <w:pPr>
              <w:tabs>
                <w:tab w:val="left" w:pos="421"/>
              </w:tabs>
              <w:spacing w:before="31" w:line="372" w:lineRule="auto"/>
              <w:ind w:left="80" w:firstLine="90"/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347"/>
              <w:gridCol w:w="7924"/>
            </w:tblGrid>
            <w:tr w:rsidR="009D293C" w14:paraId="18CF7BDC" w14:textId="77777777" w:rsidTr="004B0F63">
              <w:trPr>
                <w:jc w:val="center"/>
              </w:trPr>
              <w:tc>
                <w:tcPr>
                  <w:tcW w:w="2347" w:type="dxa"/>
                  <w:shd w:val="clear" w:color="auto" w:fill="D9D9D9" w:themeFill="background1" w:themeFillShade="D9"/>
                </w:tcPr>
                <w:p w14:paraId="564ABFD6" w14:textId="3FD6C41F" w:rsidR="009D293C" w:rsidRPr="003A4012" w:rsidRDefault="00903B23" w:rsidP="00903B23">
                  <w:pPr>
                    <w:tabs>
                      <w:tab w:val="left" w:pos="421"/>
                    </w:tabs>
                    <w:spacing w:before="31" w:line="372" w:lineRule="auto"/>
                    <w:jc w:val="center"/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</w:pPr>
                  <w:r w:rsidRPr="003A4012"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  <w:t>Opción</w:t>
                  </w:r>
                </w:p>
              </w:tc>
              <w:tc>
                <w:tcPr>
                  <w:tcW w:w="7924" w:type="dxa"/>
                  <w:shd w:val="clear" w:color="auto" w:fill="D9D9D9" w:themeFill="background1" w:themeFillShade="D9"/>
                </w:tcPr>
                <w:p w14:paraId="0CAE6118" w14:textId="4EFCDBD1" w:rsidR="009D293C" w:rsidRPr="003A4012" w:rsidRDefault="00903B23" w:rsidP="00903B23">
                  <w:pPr>
                    <w:tabs>
                      <w:tab w:val="left" w:pos="421"/>
                    </w:tabs>
                    <w:spacing w:before="31" w:line="372" w:lineRule="auto"/>
                    <w:jc w:val="center"/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</w:pPr>
                  <w:r w:rsidRPr="003A4012"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  <w:t>Respuesta</w:t>
                  </w:r>
                </w:p>
              </w:tc>
            </w:tr>
            <w:tr w:rsidR="004B0F63" w14:paraId="4568C2D6" w14:textId="77777777" w:rsidTr="004B0F63">
              <w:trPr>
                <w:jc w:val="center"/>
              </w:trPr>
              <w:tc>
                <w:tcPr>
                  <w:tcW w:w="2347" w:type="dxa"/>
                  <w:vAlign w:val="center"/>
                </w:tcPr>
                <w:p w14:paraId="35638EB5" w14:textId="14B96875" w:rsidR="004B0F63" w:rsidRPr="00047FAC" w:rsidRDefault="004B0F63" w:rsidP="004B0F63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1. Especialización</w:t>
                  </w:r>
                </w:p>
              </w:tc>
              <w:tc>
                <w:tcPr>
                  <w:tcW w:w="7924" w:type="dxa"/>
                  <w:vAlign w:val="center"/>
                </w:tcPr>
                <w:p w14:paraId="476694D6" w14:textId="27E91537" w:rsidR="004B0F63" w:rsidRPr="00AA6E54" w:rsidRDefault="004B0F63" w:rsidP="004B0F63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 xml:space="preserve">Proceso descendente que divide una entidad en subtipos más específicos que heredan atributos del </w:t>
                  </w:r>
                  <w:proofErr w:type="spellStart"/>
                  <w:r>
                    <w:t>supertipo</w:t>
                  </w:r>
                  <w:proofErr w:type="spellEnd"/>
                </w:p>
              </w:tc>
            </w:tr>
            <w:tr w:rsidR="004B0F63" w14:paraId="7DD0959E" w14:textId="77777777" w:rsidTr="004B0F63">
              <w:trPr>
                <w:jc w:val="center"/>
              </w:trPr>
              <w:tc>
                <w:tcPr>
                  <w:tcW w:w="2347" w:type="dxa"/>
                  <w:vAlign w:val="center"/>
                </w:tcPr>
                <w:p w14:paraId="5F077790" w14:textId="33DFA81D" w:rsidR="004B0F63" w:rsidRPr="00047FAC" w:rsidRDefault="004B0F63" w:rsidP="004B0F63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lastRenderedPageBreak/>
                    <w:t>2. Generalización</w:t>
                  </w:r>
                </w:p>
              </w:tc>
              <w:tc>
                <w:tcPr>
                  <w:tcW w:w="7924" w:type="dxa"/>
                  <w:vAlign w:val="center"/>
                </w:tcPr>
                <w:p w14:paraId="3C82B7C3" w14:textId="26411ECD" w:rsidR="004B0F63" w:rsidRPr="00AA6E54" w:rsidRDefault="004B0F63" w:rsidP="004B0F63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 xml:space="preserve">Proceso ascendente que agrupa entidades con características comunes en un </w:t>
                  </w:r>
                  <w:proofErr w:type="spellStart"/>
                  <w:r>
                    <w:t>supertipo</w:t>
                  </w:r>
                  <w:proofErr w:type="spellEnd"/>
                </w:p>
              </w:tc>
            </w:tr>
            <w:tr w:rsidR="004B0F63" w14:paraId="05F3257F" w14:textId="77777777" w:rsidTr="004B0F63">
              <w:trPr>
                <w:jc w:val="center"/>
              </w:trPr>
              <w:tc>
                <w:tcPr>
                  <w:tcW w:w="2347" w:type="dxa"/>
                  <w:vAlign w:val="center"/>
                </w:tcPr>
                <w:p w14:paraId="4608D02D" w14:textId="2B477624" w:rsidR="004B0F63" w:rsidRPr="00047FAC" w:rsidRDefault="004B0F63" w:rsidP="004B0F63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3. Herencia</w:t>
                  </w:r>
                </w:p>
              </w:tc>
              <w:tc>
                <w:tcPr>
                  <w:tcW w:w="7924" w:type="dxa"/>
                  <w:vAlign w:val="center"/>
                </w:tcPr>
                <w:p w14:paraId="5B2718E6" w14:textId="6F8C0A7B" w:rsidR="004B0F63" w:rsidRPr="00AA6E54" w:rsidRDefault="004B0F63" w:rsidP="004B0F63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 xml:space="preserve">Propiedad que permite a los subtipos adquirir atributos y relaciones del </w:t>
                  </w:r>
                  <w:proofErr w:type="spellStart"/>
                  <w:r>
                    <w:t>supertipo</w:t>
                  </w:r>
                  <w:proofErr w:type="spellEnd"/>
                </w:p>
              </w:tc>
            </w:tr>
            <w:tr w:rsidR="004B0F63" w14:paraId="65DE10C6" w14:textId="77777777" w:rsidTr="004B0F63">
              <w:trPr>
                <w:jc w:val="center"/>
              </w:trPr>
              <w:tc>
                <w:tcPr>
                  <w:tcW w:w="2347" w:type="dxa"/>
                  <w:vAlign w:val="center"/>
                </w:tcPr>
                <w:p w14:paraId="559CE8AE" w14:textId="6A7B14DB" w:rsidR="004B0F63" w:rsidRPr="00047FAC" w:rsidRDefault="004B0F63" w:rsidP="004B0F63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hAnsi="Arial" w:cs="Arial"/>
                      <w:iCs/>
                      <w:sz w:val="20"/>
                      <w:szCs w:val="20"/>
                    </w:rPr>
                  </w:pPr>
                  <w:r>
                    <w:t xml:space="preserve">4. </w:t>
                  </w:r>
                  <w:proofErr w:type="spellStart"/>
                  <w:r>
                    <w:t>Supertipo</w:t>
                  </w:r>
                  <w:proofErr w:type="spellEnd"/>
                </w:p>
              </w:tc>
              <w:tc>
                <w:tcPr>
                  <w:tcW w:w="7924" w:type="dxa"/>
                  <w:vAlign w:val="center"/>
                </w:tcPr>
                <w:p w14:paraId="7F972E74" w14:textId="0EDBFF49" w:rsidR="004B0F63" w:rsidRPr="00AA6E54" w:rsidRDefault="004B0F63" w:rsidP="004B0F63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Entidad general que contiene atributos comunes compartidos por varios subtipos</w:t>
                  </w:r>
                </w:p>
              </w:tc>
            </w:tr>
            <w:tr w:rsidR="004B0F63" w14:paraId="18FDAE76" w14:textId="77777777" w:rsidTr="004B0F63">
              <w:trPr>
                <w:jc w:val="center"/>
              </w:trPr>
              <w:tc>
                <w:tcPr>
                  <w:tcW w:w="2347" w:type="dxa"/>
                  <w:vAlign w:val="center"/>
                </w:tcPr>
                <w:p w14:paraId="7116E9D1" w14:textId="28DD5250" w:rsidR="004B0F63" w:rsidRPr="00047FAC" w:rsidRDefault="004B0F63" w:rsidP="004B0F63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hAnsi="Arial" w:cs="Arial"/>
                      <w:iCs/>
                      <w:sz w:val="20"/>
                      <w:szCs w:val="20"/>
                    </w:rPr>
                  </w:pPr>
                  <w:r>
                    <w:t>5. Subtipo</w:t>
                  </w:r>
                </w:p>
              </w:tc>
              <w:tc>
                <w:tcPr>
                  <w:tcW w:w="7924" w:type="dxa"/>
                  <w:vAlign w:val="center"/>
                </w:tcPr>
                <w:p w14:paraId="1714EE11" w14:textId="4DAB82C8" w:rsidR="004B0F63" w:rsidRPr="00AA6E54" w:rsidRDefault="004B0F63" w:rsidP="004B0F63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 xml:space="preserve">Entidad derivada que hereda atributos del </w:t>
                  </w:r>
                  <w:proofErr w:type="spellStart"/>
                  <w:r>
                    <w:t>supertipo</w:t>
                  </w:r>
                  <w:proofErr w:type="spellEnd"/>
                  <w:r>
                    <w:t xml:space="preserve"> y añade características propias</w:t>
                  </w:r>
                </w:p>
              </w:tc>
            </w:tr>
          </w:tbl>
          <w:p w14:paraId="7E245D8B" w14:textId="77777777" w:rsidR="004B0F63" w:rsidRDefault="004B0F63" w:rsidP="00EC67F0">
            <w:pPr>
              <w:tabs>
                <w:tab w:val="left" w:pos="421"/>
              </w:tabs>
              <w:spacing w:before="31" w:line="372" w:lineRule="auto"/>
              <w:ind w:left="80" w:firstLine="90"/>
              <w:rPr>
                <w:rFonts w:ascii="Arial" w:eastAsia="Helvetica Neue" w:hAnsi="Arial" w:cs="Arial"/>
                <w:iCs/>
                <w:color w:val="000000"/>
                <w:sz w:val="2"/>
                <w:szCs w:val="2"/>
              </w:rPr>
            </w:pPr>
          </w:p>
          <w:p w14:paraId="421CCDFB" w14:textId="77777777" w:rsidR="004B0F63" w:rsidRDefault="004B0F63" w:rsidP="00EC67F0">
            <w:pPr>
              <w:tabs>
                <w:tab w:val="left" w:pos="421"/>
              </w:tabs>
              <w:spacing w:before="31" w:line="372" w:lineRule="auto"/>
              <w:ind w:left="80" w:firstLine="90"/>
              <w:rPr>
                <w:rFonts w:ascii="Arial" w:eastAsia="Helvetica Neue" w:hAnsi="Arial" w:cs="Arial"/>
                <w:iCs/>
                <w:color w:val="000000"/>
                <w:sz w:val="2"/>
                <w:szCs w:val="2"/>
              </w:rPr>
            </w:pPr>
          </w:p>
          <w:p w14:paraId="48DC7C45" w14:textId="54259D9F" w:rsidR="00FE2E57" w:rsidRPr="00EC67F0" w:rsidRDefault="00EC67F0" w:rsidP="00EC67F0">
            <w:pPr>
              <w:tabs>
                <w:tab w:val="left" w:pos="421"/>
              </w:tabs>
              <w:spacing w:before="31" w:line="372" w:lineRule="auto"/>
              <w:ind w:left="80" w:firstLine="90"/>
              <w:rPr>
                <w:rFonts w:ascii="Arial" w:eastAsia="Helvetica Neue" w:hAnsi="Arial" w:cs="Arial"/>
                <w:iCs/>
                <w:color w:val="000000"/>
                <w:sz w:val="2"/>
                <w:szCs w:val="2"/>
              </w:rPr>
            </w:pPr>
            <w:r w:rsidRPr="00EC67F0">
              <w:rPr>
                <w:rFonts w:ascii="Arial" w:eastAsia="Helvetica Neue" w:hAnsi="Arial" w:cs="Arial"/>
                <w:iCs/>
                <w:color w:val="000000"/>
                <w:sz w:val="2"/>
                <w:szCs w:val="2"/>
              </w:rPr>
              <w:t>.</w:t>
            </w:r>
          </w:p>
        </w:tc>
      </w:tr>
      <w:tr w:rsidR="00B74048" w:rsidRPr="005E3312" w14:paraId="730DC497" w14:textId="77777777" w:rsidTr="004B0F63">
        <w:trPr>
          <w:trHeight w:val="1979"/>
        </w:trPr>
        <w:tc>
          <w:tcPr>
            <w:tcW w:w="956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  <w:vAlign w:val="center"/>
          </w:tcPr>
          <w:p w14:paraId="27B56882" w14:textId="2DB31CDB" w:rsidR="00B74048" w:rsidRPr="005E3312" w:rsidRDefault="00B74048" w:rsidP="006E4E4C">
            <w:pPr>
              <w:spacing w:before="46"/>
              <w:ind w:left="80" w:hanging="80"/>
              <w:jc w:val="center"/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lastRenderedPageBreak/>
              <w:t>Retroalimentación</w:t>
            </w:r>
          </w:p>
        </w:tc>
        <w:tc>
          <w:tcPr>
            <w:tcW w:w="4044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</w:tcPr>
          <w:p w14:paraId="509797E4" w14:textId="77777777" w:rsidR="00B74048" w:rsidRPr="00AA6E54" w:rsidRDefault="00B74048" w:rsidP="00B74048">
            <w:pPr>
              <w:tabs>
                <w:tab w:val="left" w:pos="421"/>
              </w:tabs>
              <w:spacing w:before="31" w:line="372" w:lineRule="auto"/>
              <w:ind w:left="80" w:firstLine="90"/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</w:pPr>
          </w:p>
          <w:tbl>
            <w:tblPr>
              <w:tblStyle w:val="Tablaconcuadrcula"/>
              <w:tblW w:w="8520" w:type="dxa"/>
              <w:jc w:val="center"/>
              <w:tblLook w:val="04A0" w:firstRow="1" w:lastRow="0" w:firstColumn="1" w:lastColumn="0" w:noHBand="0" w:noVBand="1"/>
            </w:tblPr>
            <w:tblGrid>
              <w:gridCol w:w="1340"/>
              <w:gridCol w:w="7180"/>
            </w:tblGrid>
            <w:tr w:rsidR="00AA6E54" w14:paraId="2C966535" w14:textId="77777777" w:rsidTr="004B0F63">
              <w:trPr>
                <w:jc w:val="center"/>
              </w:trPr>
              <w:tc>
                <w:tcPr>
                  <w:tcW w:w="1340" w:type="dxa"/>
                  <w:shd w:val="clear" w:color="auto" w:fill="D9D9D9" w:themeFill="background1" w:themeFillShade="D9"/>
                </w:tcPr>
                <w:p w14:paraId="60A0D69E" w14:textId="163AB0B2" w:rsidR="00AA6E54" w:rsidRPr="00AA6E54" w:rsidRDefault="00AA6E54" w:rsidP="00AA6E54">
                  <w:pPr>
                    <w:tabs>
                      <w:tab w:val="left" w:pos="421"/>
                    </w:tabs>
                    <w:spacing w:before="31" w:line="372" w:lineRule="auto"/>
                    <w:jc w:val="center"/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</w:pPr>
                  <w:r w:rsidRPr="00AA6E54"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  <w:t>Opción</w:t>
                  </w:r>
                </w:p>
              </w:tc>
              <w:tc>
                <w:tcPr>
                  <w:tcW w:w="7180" w:type="dxa"/>
                  <w:shd w:val="clear" w:color="auto" w:fill="D9D9D9" w:themeFill="background1" w:themeFillShade="D9"/>
                </w:tcPr>
                <w:p w14:paraId="155658B9" w14:textId="23AFD4D8" w:rsidR="00AA6E54" w:rsidRPr="00AA6E54" w:rsidRDefault="00AA6E54" w:rsidP="00AA6E54">
                  <w:pPr>
                    <w:tabs>
                      <w:tab w:val="left" w:pos="421"/>
                    </w:tabs>
                    <w:spacing w:before="31" w:line="372" w:lineRule="auto"/>
                    <w:jc w:val="center"/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</w:pPr>
                  <w:r w:rsidRPr="005E3312"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  <w:t>Retroalimentación</w:t>
                  </w:r>
                </w:p>
              </w:tc>
            </w:tr>
            <w:tr w:rsidR="004B0F63" w14:paraId="4716982E" w14:textId="77777777" w:rsidTr="004B0F63">
              <w:trPr>
                <w:jc w:val="center"/>
              </w:trPr>
              <w:tc>
                <w:tcPr>
                  <w:tcW w:w="1340" w:type="dxa"/>
                  <w:shd w:val="clear" w:color="auto" w:fill="FFFFFF" w:themeFill="background1"/>
                  <w:vAlign w:val="center"/>
                </w:tcPr>
                <w:p w14:paraId="0D64CE3B" w14:textId="5640DD65" w:rsidR="004B0F63" w:rsidRPr="003A4012" w:rsidRDefault="004B0F63" w:rsidP="004B0F63">
                  <w:pPr>
                    <w:tabs>
                      <w:tab w:val="left" w:pos="421"/>
                    </w:tabs>
                    <w:spacing w:before="31" w:line="372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1</w:t>
                  </w:r>
                </w:p>
              </w:tc>
              <w:tc>
                <w:tcPr>
                  <w:tcW w:w="7180" w:type="dxa"/>
                  <w:shd w:val="clear" w:color="auto" w:fill="FFFFFF" w:themeFill="background1"/>
                  <w:vAlign w:val="center"/>
                </w:tcPr>
                <w:p w14:paraId="6F48634E" w14:textId="117A50EC" w:rsidR="004B0F63" w:rsidRPr="003A4012" w:rsidRDefault="004B0F63" w:rsidP="004B0F63">
                  <w:pPr>
                    <w:tabs>
                      <w:tab w:val="left" w:pos="421"/>
                    </w:tabs>
                    <w:spacing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 xml:space="preserve">La especialización organiza entidades en niveles más específicos, permitiendo diferenciar características particulares sin perder atributos comunes heredados del </w:t>
                  </w:r>
                  <w:proofErr w:type="spellStart"/>
                  <w:r>
                    <w:t>supertipo</w:t>
                  </w:r>
                  <w:proofErr w:type="spellEnd"/>
                  <w:r>
                    <w:t>.</w:t>
                  </w:r>
                </w:p>
              </w:tc>
            </w:tr>
            <w:tr w:rsidR="004B0F63" w14:paraId="33B0EB83" w14:textId="77777777" w:rsidTr="004B0F63">
              <w:trPr>
                <w:jc w:val="center"/>
              </w:trPr>
              <w:tc>
                <w:tcPr>
                  <w:tcW w:w="1340" w:type="dxa"/>
                  <w:shd w:val="clear" w:color="auto" w:fill="FFFFFF" w:themeFill="background1"/>
                  <w:vAlign w:val="center"/>
                </w:tcPr>
                <w:p w14:paraId="48D8E577" w14:textId="1C7F306C" w:rsidR="004B0F63" w:rsidRPr="003A4012" w:rsidRDefault="004B0F63" w:rsidP="004B0F63">
                  <w:pPr>
                    <w:tabs>
                      <w:tab w:val="left" w:pos="421"/>
                    </w:tabs>
                    <w:spacing w:before="31" w:line="372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2</w:t>
                  </w:r>
                </w:p>
              </w:tc>
              <w:tc>
                <w:tcPr>
                  <w:tcW w:w="7180" w:type="dxa"/>
                  <w:shd w:val="clear" w:color="auto" w:fill="FFFFFF" w:themeFill="background1"/>
                  <w:vAlign w:val="center"/>
                </w:tcPr>
                <w:p w14:paraId="43E7EE62" w14:textId="56716C09" w:rsidR="004B0F63" w:rsidRPr="003A4012" w:rsidRDefault="004B0F63" w:rsidP="004B0F63">
                  <w:pPr>
                    <w:tabs>
                      <w:tab w:val="left" w:pos="421"/>
                    </w:tabs>
                    <w:spacing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La generalización permite abstraer similitudes entre entidades, consolidándolas en una estructura superior que facilita el diseño conceptual coherente.</w:t>
                  </w:r>
                </w:p>
              </w:tc>
            </w:tr>
            <w:tr w:rsidR="004B0F63" w14:paraId="090A2AE0" w14:textId="77777777" w:rsidTr="004B0F63">
              <w:trPr>
                <w:jc w:val="center"/>
              </w:trPr>
              <w:tc>
                <w:tcPr>
                  <w:tcW w:w="1340" w:type="dxa"/>
                  <w:shd w:val="clear" w:color="auto" w:fill="FFFFFF" w:themeFill="background1"/>
                  <w:vAlign w:val="center"/>
                </w:tcPr>
                <w:p w14:paraId="2547C620" w14:textId="584A7613" w:rsidR="004B0F63" w:rsidRPr="003A4012" w:rsidRDefault="004B0F63" w:rsidP="004B0F63">
                  <w:pPr>
                    <w:tabs>
                      <w:tab w:val="left" w:pos="421"/>
                    </w:tabs>
                    <w:spacing w:before="31" w:line="372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3</w:t>
                  </w:r>
                </w:p>
              </w:tc>
              <w:tc>
                <w:tcPr>
                  <w:tcW w:w="7180" w:type="dxa"/>
                  <w:shd w:val="clear" w:color="auto" w:fill="FFFFFF" w:themeFill="background1"/>
                  <w:vAlign w:val="center"/>
                </w:tcPr>
                <w:p w14:paraId="4D8882AE" w14:textId="3BA0AAD1" w:rsidR="004B0F63" w:rsidRPr="003A4012" w:rsidRDefault="004B0F63" w:rsidP="004B0F63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t xml:space="preserve">La herencia evita redundancia al transferir automáticamente atributos y relaciones desde el </w:t>
                  </w:r>
                  <w:proofErr w:type="spellStart"/>
                  <w:r>
                    <w:t>supertipo</w:t>
                  </w:r>
                  <w:proofErr w:type="spellEnd"/>
                  <w:r>
                    <w:t xml:space="preserve"> hacia los subtipos dentro de la jerarquía.</w:t>
                  </w:r>
                </w:p>
              </w:tc>
            </w:tr>
            <w:tr w:rsidR="004B0F63" w14:paraId="65CD2131" w14:textId="77777777" w:rsidTr="004B0F63">
              <w:trPr>
                <w:jc w:val="center"/>
              </w:trPr>
              <w:tc>
                <w:tcPr>
                  <w:tcW w:w="1340" w:type="dxa"/>
                  <w:shd w:val="clear" w:color="auto" w:fill="FFFFFF" w:themeFill="background1"/>
                  <w:vAlign w:val="center"/>
                </w:tcPr>
                <w:p w14:paraId="661B88CC" w14:textId="1DC5EDB1" w:rsidR="004B0F63" w:rsidRPr="003A4012" w:rsidRDefault="004B0F63" w:rsidP="004B0F63">
                  <w:pPr>
                    <w:tabs>
                      <w:tab w:val="left" w:pos="421"/>
                    </w:tabs>
                    <w:spacing w:before="31" w:line="372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lastRenderedPageBreak/>
                    <w:t>4</w:t>
                  </w:r>
                </w:p>
              </w:tc>
              <w:tc>
                <w:tcPr>
                  <w:tcW w:w="7180" w:type="dxa"/>
                  <w:shd w:val="clear" w:color="auto" w:fill="FFFFFF" w:themeFill="background1"/>
                  <w:vAlign w:val="center"/>
                </w:tcPr>
                <w:p w14:paraId="495BE781" w14:textId="4D3C6A01" w:rsidR="004B0F63" w:rsidRPr="003A4012" w:rsidRDefault="004B0F63" w:rsidP="004B0F63">
                  <w:pPr>
                    <w:tabs>
                      <w:tab w:val="left" w:pos="421"/>
                    </w:tabs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t xml:space="preserve">El </w:t>
                  </w:r>
                  <w:proofErr w:type="spellStart"/>
                  <w:r>
                    <w:t>supertipo</w:t>
                  </w:r>
                  <w:proofErr w:type="spellEnd"/>
                  <w:r>
                    <w:t xml:space="preserve"> centraliza atributos compartidos, facilitando la organización jerárquica y evitando duplicidad en el modelo de datos.</w:t>
                  </w:r>
                </w:p>
              </w:tc>
            </w:tr>
            <w:tr w:rsidR="004B0F63" w14:paraId="5F934CD2" w14:textId="77777777" w:rsidTr="004B0F63">
              <w:trPr>
                <w:jc w:val="center"/>
              </w:trPr>
              <w:tc>
                <w:tcPr>
                  <w:tcW w:w="1340" w:type="dxa"/>
                  <w:shd w:val="clear" w:color="auto" w:fill="FFFFFF" w:themeFill="background1"/>
                  <w:vAlign w:val="center"/>
                </w:tcPr>
                <w:p w14:paraId="50924645" w14:textId="21BB85E0" w:rsidR="004B0F63" w:rsidRPr="003A4012" w:rsidRDefault="004B0F63" w:rsidP="004B0F63">
                  <w:pPr>
                    <w:tabs>
                      <w:tab w:val="left" w:pos="421"/>
                    </w:tabs>
                    <w:spacing w:before="31" w:line="372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5</w:t>
                  </w:r>
                </w:p>
              </w:tc>
              <w:tc>
                <w:tcPr>
                  <w:tcW w:w="7180" w:type="dxa"/>
                  <w:shd w:val="clear" w:color="auto" w:fill="FFFFFF" w:themeFill="background1"/>
                  <w:vAlign w:val="center"/>
                </w:tcPr>
                <w:p w14:paraId="169EA7AD" w14:textId="320BB03A" w:rsidR="004B0F63" w:rsidRPr="003A4012" w:rsidRDefault="004B0F63" w:rsidP="004B0F63">
                  <w:pPr>
                    <w:tabs>
                      <w:tab w:val="left" w:pos="421"/>
                    </w:tabs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t xml:space="preserve">El subtipo representa una especialización que incorpora atributos propios manteniendo la relación estructural con el </w:t>
                  </w:r>
                  <w:proofErr w:type="spellStart"/>
                  <w:r>
                    <w:t>supertipo</w:t>
                  </w:r>
                  <w:proofErr w:type="spellEnd"/>
                  <w:r>
                    <w:t>.</w:t>
                  </w:r>
                </w:p>
              </w:tc>
            </w:tr>
          </w:tbl>
          <w:p w14:paraId="75770BD4" w14:textId="67A7E65D" w:rsidR="00AA6E54" w:rsidRPr="00EC67F0" w:rsidRDefault="00EC67F0" w:rsidP="00EC67F0">
            <w:pPr>
              <w:tabs>
                <w:tab w:val="left" w:pos="421"/>
              </w:tabs>
              <w:spacing w:before="31" w:line="372" w:lineRule="auto"/>
              <w:ind w:left="80" w:firstLine="90"/>
              <w:rPr>
                <w:rFonts w:ascii="Helvetica Neue" w:eastAsia="Helvetica Neue" w:hAnsi="Helvetica Neue" w:cs="Helvetica Neue"/>
                <w:iCs/>
                <w:color w:val="000000"/>
                <w:sz w:val="4"/>
                <w:szCs w:val="4"/>
              </w:rPr>
            </w:pPr>
            <w:r w:rsidRPr="00EC67F0">
              <w:rPr>
                <w:rFonts w:ascii="Helvetica Neue" w:eastAsia="Helvetica Neue" w:hAnsi="Helvetica Neue" w:cs="Helvetica Neue"/>
                <w:iCs/>
                <w:color w:val="000000"/>
                <w:sz w:val="4"/>
                <w:szCs w:val="4"/>
              </w:rPr>
              <w:t>.</w:t>
            </w:r>
          </w:p>
        </w:tc>
      </w:tr>
      <w:tr w:rsidR="006B4F05" w:rsidRPr="005E3312" w14:paraId="6A51EAA6" w14:textId="77777777" w:rsidTr="006B4F05">
        <w:trPr>
          <w:trHeight w:val="406"/>
        </w:trPr>
        <w:tc>
          <w:tcPr>
            <w:tcW w:w="956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D5DCE4" w:themeFill="text2" w:themeFillTint="33"/>
            <w:vAlign w:val="center"/>
          </w:tcPr>
          <w:p w14:paraId="2B315246" w14:textId="63A3E534" w:rsidR="006B4F05" w:rsidRPr="005E3312" w:rsidRDefault="006B4F05" w:rsidP="006B4F05">
            <w:pPr>
              <w:spacing w:before="240" w:after="240"/>
              <w:ind w:left="80" w:hanging="80"/>
              <w:jc w:val="center"/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</w:pPr>
            <w:r w:rsidRPr="006B4F05"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lastRenderedPageBreak/>
              <w:t>Retroalimentación final de la actividad</w:t>
            </w:r>
          </w:p>
        </w:tc>
        <w:tc>
          <w:tcPr>
            <w:tcW w:w="4044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D5DCE4" w:themeFill="text2" w:themeFillTint="33"/>
          </w:tcPr>
          <w:p w14:paraId="1E2E1E6C" w14:textId="49AF6F30" w:rsidR="006B4F05" w:rsidRPr="00AA6E54" w:rsidRDefault="004B0F63" w:rsidP="004B0F63">
            <w:pPr>
              <w:tabs>
                <w:tab w:val="left" w:pos="421"/>
              </w:tabs>
              <w:spacing w:before="240" w:after="240" w:line="372" w:lineRule="auto"/>
              <w:ind w:left="80"/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</w:pPr>
            <w:r w:rsidRPr="004B0F63"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  <w:t>¡Felicitaciones!</w:t>
            </w:r>
            <w:r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  <w:t xml:space="preserve"> </w:t>
            </w:r>
            <w:r w:rsidRPr="004B0F63"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  <w:t xml:space="preserve">El </w:t>
            </w:r>
            <w:r w:rsidRPr="004B0F63"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  <w:t>modelo EER amplía la capacidad de representación conceptual mediante jerarquías y herencia, optimizando la organización y semántica de los datos.</w:t>
            </w:r>
          </w:p>
        </w:tc>
      </w:tr>
    </w:tbl>
    <w:p w14:paraId="26EF54CA" w14:textId="77777777" w:rsidR="002874CE" w:rsidRDefault="002874CE" w:rsidP="006B4F05"/>
    <w:sectPr w:rsidR="002874CE"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A4D1EC5-5490-429E-ACAB-E06A993317FF}"/>
    <w:embedBold r:id="rId2" w:fontKey="{FB5B2681-4E64-4D30-9FE8-80303EE2CC77}"/>
    <w:embedBoldItalic r:id="rId3" w:fontKey="{42F84A99-8EDD-4607-AA8E-CDAC763FFEA5}"/>
  </w:font>
  <w:font w:name="Helvetica Neue Light">
    <w:altName w:val="Arial Nova Light"/>
    <w:charset w:val="00"/>
    <w:family w:val="auto"/>
    <w:pitch w:val="default"/>
    <w:embedRegular r:id="rId4" w:fontKey="{B2F33AB7-7E38-47DE-8E32-E17C27F83BF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87268E06-4459-4F28-92CC-005D4754A7B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B2504497-62B4-41FE-A375-2D49606FB961}"/>
    <w:embedItalic r:id="rId7" w:fontKey="{B93E75D9-A407-4F60-BC6D-996D3994C2D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Corbel"/>
    <w:charset w:val="00"/>
    <w:family w:val="auto"/>
    <w:pitch w:val="default"/>
    <w:embedRegular r:id="rId8" w:fontKey="{32F0EE5F-8FA1-46C2-A1B8-80E358140074}"/>
    <w:embedBold r:id="rId9" w:fontKey="{D9F99F12-10EE-47D7-B08C-9508B0C1431B}"/>
    <w:embedItalic r:id="rId10" w:fontKey="{722EE374-E905-455D-AAD3-BF4AC30A2A3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FFE8FAB0-A492-4ABC-9FB9-E0AF7933FF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E72BB"/>
    <w:multiLevelType w:val="hybridMultilevel"/>
    <w:tmpl w:val="95E057B2"/>
    <w:lvl w:ilvl="0" w:tplc="300A0001">
      <w:start w:val="1"/>
      <w:numFmt w:val="bullet"/>
      <w:lvlText w:val=""/>
      <w:lvlJc w:val="left"/>
      <w:pPr>
        <w:ind w:left="79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abstractNum w:abstractNumId="1" w15:restartNumberingAfterBreak="0">
    <w:nsid w:val="13D464D4"/>
    <w:multiLevelType w:val="multilevel"/>
    <w:tmpl w:val="D80A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A1054"/>
    <w:multiLevelType w:val="hybridMultilevel"/>
    <w:tmpl w:val="5840084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7742F"/>
    <w:multiLevelType w:val="multilevel"/>
    <w:tmpl w:val="E1B4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061C0"/>
    <w:multiLevelType w:val="hybridMultilevel"/>
    <w:tmpl w:val="A178E0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C70C81"/>
    <w:multiLevelType w:val="multilevel"/>
    <w:tmpl w:val="D248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F0F48"/>
    <w:multiLevelType w:val="multilevel"/>
    <w:tmpl w:val="9170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48" w:hanging="468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6E77C9"/>
    <w:multiLevelType w:val="hybridMultilevel"/>
    <w:tmpl w:val="4AC6EC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5300131">
    <w:abstractNumId w:val="7"/>
  </w:num>
  <w:num w:numId="2" w16cid:durableId="975254155">
    <w:abstractNumId w:val="4"/>
  </w:num>
  <w:num w:numId="3" w16cid:durableId="508836991">
    <w:abstractNumId w:val="5"/>
  </w:num>
  <w:num w:numId="4" w16cid:durableId="719668176">
    <w:abstractNumId w:val="6"/>
  </w:num>
  <w:num w:numId="5" w16cid:durableId="953680171">
    <w:abstractNumId w:val="3"/>
  </w:num>
  <w:num w:numId="6" w16cid:durableId="1399091503">
    <w:abstractNumId w:val="1"/>
  </w:num>
  <w:num w:numId="7" w16cid:durableId="1072386240">
    <w:abstractNumId w:val="2"/>
  </w:num>
  <w:num w:numId="8" w16cid:durableId="1678726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2D1"/>
    <w:rsid w:val="000004A9"/>
    <w:rsid w:val="00047FAC"/>
    <w:rsid w:val="00074BD8"/>
    <w:rsid w:val="001961E7"/>
    <w:rsid w:val="001A18F2"/>
    <w:rsid w:val="00211A1A"/>
    <w:rsid w:val="00224F67"/>
    <w:rsid w:val="002313FC"/>
    <w:rsid w:val="002874CE"/>
    <w:rsid w:val="00324053"/>
    <w:rsid w:val="003A4012"/>
    <w:rsid w:val="003E5D37"/>
    <w:rsid w:val="004B0F63"/>
    <w:rsid w:val="004E4051"/>
    <w:rsid w:val="00510EB9"/>
    <w:rsid w:val="005772A8"/>
    <w:rsid w:val="005E3312"/>
    <w:rsid w:val="006074BE"/>
    <w:rsid w:val="0061048D"/>
    <w:rsid w:val="0069419C"/>
    <w:rsid w:val="006B34C5"/>
    <w:rsid w:val="006B4F05"/>
    <w:rsid w:val="006E4E4C"/>
    <w:rsid w:val="007E5890"/>
    <w:rsid w:val="00831782"/>
    <w:rsid w:val="00847F5F"/>
    <w:rsid w:val="00903B23"/>
    <w:rsid w:val="00916E62"/>
    <w:rsid w:val="00921CC4"/>
    <w:rsid w:val="009D1664"/>
    <w:rsid w:val="009D2928"/>
    <w:rsid w:val="009D293C"/>
    <w:rsid w:val="00A36BC8"/>
    <w:rsid w:val="00AA6E54"/>
    <w:rsid w:val="00B23CBF"/>
    <w:rsid w:val="00B25144"/>
    <w:rsid w:val="00B31DDF"/>
    <w:rsid w:val="00B74048"/>
    <w:rsid w:val="00C22FB0"/>
    <w:rsid w:val="00C362D1"/>
    <w:rsid w:val="00C91626"/>
    <w:rsid w:val="00CA6024"/>
    <w:rsid w:val="00CB2E8E"/>
    <w:rsid w:val="00CB3826"/>
    <w:rsid w:val="00D25852"/>
    <w:rsid w:val="00D3675C"/>
    <w:rsid w:val="00DF5DE7"/>
    <w:rsid w:val="00EC67F0"/>
    <w:rsid w:val="00ED4C12"/>
    <w:rsid w:val="00F028FA"/>
    <w:rsid w:val="00F243CF"/>
    <w:rsid w:val="00FE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18CD6"/>
  <w15:docId w15:val="{1E8E9A9F-B073-4DB8-ADA4-625ADE419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4C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link w:val="PrrafodelistaCar"/>
    <w:uiPriority w:val="1"/>
    <w:qFormat/>
    <w:rsid w:val="00CB4453"/>
    <w:pPr>
      <w:widowControl w:val="0"/>
      <w:ind w:left="720"/>
      <w:contextualSpacing/>
    </w:pPr>
    <w:rPr>
      <w:rFonts w:ascii="Helvetica Neue Light" w:eastAsia="Helvetica Neue Light" w:hAnsi="Helvetica Neue Light" w:cs="Helvetica Neue Light"/>
      <w:sz w:val="22"/>
      <w:szCs w:val="22"/>
      <w:lang w:val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B4453"/>
    <w:pPr>
      <w:widowControl w:val="0"/>
    </w:pPr>
    <w:rPr>
      <w:rFonts w:ascii="Helvetica Neue Light" w:eastAsia="Helvetica Neue Light" w:hAnsi="Helvetica Neue Light" w:cs="Helvetica Neue Light"/>
      <w:sz w:val="20"/>
      <w:szCs w:val="20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B4453"/>
    <w:rPr>
      <w:rFonts w:ascii="Helvetica Neue Light" w:eastAsia="Helvetica Neue Light" w:hAnsi="Helvetica Neue Light" w:cs="Helvetica Neue Light"/>
      <w:sz w:val="20"/>
      <w:szCs w:val="20"/>
      <w:lang w:val="es-ES" w:eastAsia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CB4453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B4453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B445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4453"/>
    <w:rPr>
      <w:rFonts w:ascii="Segoe UI" w:hAnsi="Segoe UI" w:cs="Segoe UI"/>
      <w:sz w:val="18"/>
      <w:szCs w:val="18"/>
      <w:lang w:val="es-EC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8370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ipervnculovisitado">
    <w:name w:val="FollowedHyperlink"/>
    <w:basedOn w:val="Fuentedeprrafopredeter"/>
    <w:uiPriority w:val="99"/>
    <w:semiHidden/>
    <w:unhideWhenUsed/>
    <w:rsid w:val="00722B62"/>
    <w:rPr>
      <w:color w:val="954F72" w:themeColor="followedHyperlink"/>
      <w:u w:val="single"/>
    </w:rPr>
  </w:style>
  <w:style w:type="character" w:customStyle="1" w:styleId="PrrafodelistaCar">
    <w:name w:val="Párrafo de lista Car"/>
    <w:link w:val="Prrafodelista"/>
    <w:uiPriority w:val="1"/>
    <w:rsid w:val="00722B62"/>
    <w:rPr>
      <w:rFonts w:ascii="Helvetica Neue Light" w:eastAsia="Helvetica Neue Light" w:hAnsi="Helvetica Neue Light" w:cs="Helvetica Neue Light"/>
      <w:sz w:val="22"/>
      <w:szCs w:val="22"/>
      <w:lang w:val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722B62"/>
    <w:pPr>
      <w:spacing w:after="120" w:line="360" w:lineRule="auto"/>
    </w:pPr>
    <w:rPr>
      <w:rFonts w:ascii="Arial" w:hAnsi="Arial" w:cs="Times New Roman"/>
      <w:color w:val="000000"/>
      <w:szCs w:val="20"/>
      <w:lang w:val="es-ES_tradnl" w:eastAsia="en-US" w:bidi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22B62"/>
    <w:rPr>
      <w:rFonts w:ascii="Arial" w:hAnsi="Arial" w:cs="Times New Roman"/>
      <w:color w:val="000000"/>
      <w:szCs w:val="20"/>
      <w:lang w:val="es-ES_tradnl" w:eastAsia="en-US" w:bidi="en-US"/>
    </w:rPr>
  </w:style>
  <w:style w:type="character" w:customStyle="1" w:styleId="Ttulo3Car">
    <w:name w:val="Título 3 Car"/>
    <w:basedOn w:val="Fuentedeprrafopredeter"/>
    <w:link w:val="Ttulo3"/>
    <w:uiPriority w:val="9"/>
    <w:rsid w:val="00211390"/>
    <w:rPr>
      <w:b/>
      <w:sz w:val="28"/>
      <w:szCs w:val="28"/>
    </w:rPr>
  </w:style>
  <w:style w:type="table" w:customStyle="1" w:styleId="a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aconcuadrcula">
    <w:name w:val="Table Grid"/>
    <w:basedOn w:val="Tablanormal"/>
    <w:uiPriority w:val="39"/>
    <w:rsid w:val="009D29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GDfhu4ugr4BgKRKtwPKjzdx96Q==">CgMxLjAyCWguMzBqMHpsbDgAciExRVk2N253N1ZhR2tfNjNiT2tOY2JxdGh4cFJMUl83bzg=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CBA76C2-65CC-40D2-80C7-0E574C67E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352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Maíra</dc:creator>
  <cp:lastModifiedBy>Jeshua Guajala</cp:lastModifiedBy>
  <cp:revision>29</cp:revision>
  <dcterms:created xsi:type="dcterms:W3CDTF">2021-03-03T02:57:00Z</dcterms:created>
  <dcterms:modified xsi:type="dcterms:W3CDTF">2026-03-29T17:00:00Z</dcterms:modified>
</cp:coreProperties>
</file>