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2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24000" cy="1524000"/>
                    </a:xfrm>
                    <a:prstGeom prst="rect">
                      <a:avLst/>
                    </a:prstGeom>
                  </pic:spPr>
                </pic:pic>
              </a:graphicData>
            </a:graphic>
          </wp:inline>
        </w:drawing>
      </w:r>
    </w:p>
    <w:p>
      <w:pPr>
        <w:pBdr>
          <w:bottom w:val="single" w:color="D2590B" w:sz="8" w:space="10"/>
        </w:pBdr>
        <w:spacing w:after="560"/>
      </w:pPr>
      <w:r>
        <w:rPr>
          <w:sz w:val="4"/>
          <w:szCs w:val="4"/>
        </w:rPr>
        <w:t xml:space="preserve"/>
      </w:r>
    </w:p>
    <w:p>
      <w:pPr>
        <w:spacing w:after="100" w:before="300"/>
        <w:jc w:val="center"/>
      </w:pPr>
      <w:r>
        <w:rPr>
          <w:b/>
          <w:bCs/>
          <w:color w:val="212121"/>
          <w:sz w:val="34"/>
          <w:szCs w:val="34"/>
        </w:rPr>
        <w:t xml:space="preserve">Modelo de Datos</w:t>
      </w:r>
    </w:p>
    <w:p>
      <w:pPr>
        <w:spacing w:after="760"/>
        <w:jc w:val="center"/>
      </w:pPr>
      <w:r>
        <w:rPr>
          <w:color w:val="D2590B"/>
          <w:sz w:val="21"/>
          <w:szCs w:val="21"/>
        </w:rPr>
        <w:t xml:space="preserve">Sistema de gestión para minimarket  ·  Opción C</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c>
          <w:tcPr>
            <w:tcW w:type="dxa" w:w="3000"/>
            <w:shd w:fill="F8F4F0" w:color="auto" w:val="clear"/>
            <w:tcMar>
              <w:top w:type="dxa" w:w="80"/>
              <w:left w:type="dxa" w:w="120"/>
              <w:bottom w:type="dxa" w:w="80"/>
              <w:right w:type="dxa" w:w="120"/>
            </w:tcMar>
          </w:tcPr>
          <w:p>
            <w:r>
              <w:rPr>
                <w:b/>
                <w:bCs/>
                <w:color w:val="222222"/>
                <w:sz w:val="18"/>
                <w:szCs w:val="18"/>
              </w:rPr>
              <w:t xml:space="preserve">Cliente</w:t>
            </w:r>
          </w:p>
        </w:tc>
        <w:tc>
          <w:tcPr>
            <w:tcW w:type="dxa" w:w="6360"/>
            <w:tcMar>
              <w:top w:type="dxa" w:w="80"/>
              <w:left w:type="dxa" w:w="120"/>
              <w:bottom w:type="dxa" w:w="80"/>
              <w:right w:type="dxa" w:w="120"/>
            </w:tcMar>
          </w:tcPr>
          <w:p>
            <w:r>
              <w:rPr>
                <w:b w:val="false"/>
                <w:bCs w:val="false"/>
                <w:color w:val="222222"/>
                <w:sz w:val="18"/>
                <w:szCs w:val="18"/>
              </w:rPr>
              <w:t xml:space="preserve"/>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Proyecto</w:t>
            </w:r>
          </w:p>
        </w:tc>
        <w:tc>
          <w:tcPr>
            <w:tcW w:type="dxa" w:w="6360"/>
            <w:tcMar>
              <w:top w:type="dxa" w:w="80"/>
              <w:left w:type="dxa" w:w="120"/>
              <w:bottom w:type="dxa" w:w="80"/>
              <w:right w:type="dxa" w:w="120"/>
            </w:tcMar>
          </w:tcPr>
          <w:p>
            <w:r>
              <w:rPr>
                <w:b w:val="false"/>
                <w:bCs w:val="false"/>
                <w:color w:val="222222"/>
                <w:sz w:val="18"/>
                <w:szCs w:val="18"/>
              </w:rPr>
              <w:t xml:space="preserve">Sistema de gestión comercial</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Versión</w:t>
            </w:r>
          </w:p>
        </w:tc>
        <w:tc>
          <w:tcPr>
            <w:tcW w:type="dxa" w:w="6360"/>
            <w:tcMar>
              <w:top w:type="dxa" w:w="80"/>
              <w:left w:type="dxa" w:w="120"/>
              <w:bottom w:type="dxa" w:w="80"/>
              <w:right w:type="dxa" w:w="120"/>
            </w:tcMar>
          </w:tcPr>
          <w:p>
            <w:r>
              <w:rPr>
                <w:b w:val="false"/>
                <w:bCs w:val="false"/>
                <w:color w:val="222222"/>
                <w:sz w:val="18"/>
                <w:szCs w:val="18"/>
              </w:rPr>
              <w:t xml:space="preserve">1.0</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Fecha</w:t>
            </w:r>
          </w:p>
        </w:tc>
        <w:tc>
          <w:tcPr>
            <w:tcW w:type="dxa" w:w="6360"/>
            <w:tcMar>
              <w:top w:type="dxa" w:w="80"/>
              <w:left w:type="dxa" w:w="120"/>
              <w:bottom w:type="dxa" w:w="80"/>
              <w:right w:type="dxa" w:w="120"/>
            </w:tcMar>
          </w:tcPr>
          <w:p>
            <w:r>
              <w:rPr>
                <w:b w:val="false"/>
                <w:bCs w:val="false"/>
                <w:color w:val="222222"/>
                <w:sz w:val="18"/>
                <w:szCs w:val="18"/>
              </w:rPr>
              <w:t xml:space="preserve">19 de agosto de 2026</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Autor</w:t>
            </w:r>
          </w:p>
        </w:tc>
        <w:tc>
          <w:tcPr>
            <w:tcW w:type="dxa" w:w="6360"/>
            <w:tcMar>
              <w:top w:type="dxa" w:w="80"/>
              <w:left w:type="dxa" w:w="120"/>
              <w:bottom w:type="dxa" w:w="80"/>
              <w:right w:type="dxa" w:w="120"/>
            </w:tcMar>
          </w:tcPr>
          <w:p>
            <w:r>
              <w:rPr>
                <w:b w:val="false"/>
                <w:bCs w:val="false"/>
                <w:color w:val="222222"/>
                <w:sz w:val="18"/>
                <w:szCs w:val="18"/>
              </w:rPr>
              <w:t xml:space="preserve">Gregor Barrios — Borealis Software Solutions</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Documentos relacionados</w:t>
            </w:r>
          </w:p>
        </w:tc>
        <w:tc>
          <w:tcPr>
            <w:tcW w:type="dxa" w:w="6360"/>
            <w:tcMar>
              <w:top w:type="dxa" w:w="80"/>
              <w:left w:type="dxa" w:w="120"/>
              <w:bottom w:type="dxa" w:w="80"/>
              <w:right w:type="dxa" w:w="120"/>
            </w:tcMar>
          </w:tcPr>
          <w:p>
            <w:r>
              <w:rPr>
                <w:b w:val="false"/>
                <w:bCs w:val="false"/>
                <w:color w:val="222222"/>
                <w:sz w:val="18"/>
                <w:szCs w:val="18"/>
              </w:rPr>
              <w:t xml:space="preserve">Especificación de Requisitos, Reglas de Negocio</w:t>
            </w:r>
          </w:p>
        </w:tc>
      </w:tr>
    </w:tbl>
    <w:p>
      <w:r>
        <w:br w:type="page"/>
      </w:r>
    </w:p>
    <w:p>
      <w:pPr>
        <w:pStyle w:val="Heading1"/>
        <w:shd w:fill="212121" w:color="auto" w:val="clear"/>
        <w:spacing w:after="150" w:before="320"/>
        <w:ind w:left="100" w:right="100"/>
      </w:pPr>
      <w:r>
        <w:rPr>
          <w:b/>
          <w:bCs/>
          <w:color w:val="FFFFFF"/>
          <w:sz w:val="24"/>
          <w:szCs w:val="24"/>
        </w:rPr>
        <w:t xml:space="preserve">1. CRITERIOS DE DISEÑO</w:t>
      </w:r>
    </w:p>
    <w:p>
      <w:pPr>
        <w:spacing w:after="90" w:before="90" w:line="288"/>
        <w:jc w:val="both"/>
      </w:pPr>
      <w:r>
        <w:rPr>
          <w:color w:val="222222"/>
          <w:sz w:val="20"/>
          <w:szCs w:val="20"/>
        </w:rPr>
        <w:t xml:space="preserve">El modelo se construye sobre cuatro decisiones que condicionan todo lo demás. Están enunciadas aquí porque revertirlas una vez iniciado el desarrollo implica rehacer el sistema.</w:t>
      </w:r>
    </w:p>
    <w:p>
      <w:pPr>
        <w:pStyle w:val="Heading3"/>
        <w:spacing w:after="60" w:before="200"/>
      </w:pPr>
      <w:r>
        <w:rPr>
          <w:b/>
          <w:bCs/>
          <w:color w:val="333333"/>
          <w:sz w:val="20"/>
          <w:szCs w:val="20"/>
        </w:rPr>
        <w:t xml:space="preserve">Inventario por movimientos</w:t>
      </w:r>
    </w:p>
    <w:p>
      <w:pPr>
        <w:spacing w:after="90" w:before="90" w:line="288"/>
        <w:jc w:val="both"/>
      </w:pPr>
      <w:r>
        <w:rPr>
          <w:color w:val="222222"/>
          <w:sz w:val="20"/>
          <w:szCs w:val="20"/>
        </w:rPr>
        <w:t xml:space="preserve">No existe un campo de existencia editable. La cantidad disponible de un producto es la suma de los registros de la tabla de movimientos. Esta decisión permite explicar el origen de cada unidad y es la única forma de que las pérdidas, las anulaciones y los ajustes queden auditados.</w:t>
      </w:r>
    </w:p>
    <w:p>
      <w:pPr>
        <w:pStyle w:val="Heading3"/>
        <w:spacing w:after="60" w:before="200"/>
      </w:pPr>
      <w:r>
        <w:rPr>
          <w:b/>
          <w:bCs/>
          <w:color w:val="333333"/>
          <w:sz w:val="20"/>
          <w:szCs w:val="20"/>
        </w:rPr>
        <w:t xml:space="preserve">Costos y precios en dólares</w:t>
      </w:r>
    </w:p>
    <w:p>
      <w:pPr>
        <w:spacing w:after="90" w:before="90" w:line="288"/>
        <w:jc w:val="both"/>
      </w:pPr>
      <w:r>
        <w:rPr>
          <w:color w:val="222222"/>
          <w:sz w:val="20"/>
          <w:szCs w:val="20"/>
        </w:rPr>
        <w:t xml:space="preserve">La moneda base es el dólar. El bolívar se calcula siempre a partir de la tasa correspondiente. Las tablas de operaciones consumadas conservan el importe en bolívares efectivamente cobrado junto con la tasa aplicada, como registro histórico.</w:t>
      </w:r>
    </w:p>
    <w:p>
      <w:pPr>
        <w:pStyle w:val="Heading3"/>
        <w:spacing w:after="60" w:before="200"/>
      </w:pPr>
      <w:r>
        <w:rPr>
          <w:b/>
          <w:bCs/>
          <w:color w:val="333333"/>
          <w:sz w:val="20"/>
          <w:szCs w:val="20"/>
        </w:rPr>
        <w:t xml:space="preserve">Copias de valores en el momento de la operación</w:t>
      </w:r>
    </w:p>
    <w:p>
      <w:pPr>
        <w:spacing w:after="90" w:before="90" w:line="288"/>
        <w:jc w:val="both"/>
      </w:pPr>
      <w:r>
        <w:rPr>
          <w:color w:val="222222"/>
          <w:sz w:val="20"/>
          <w:szCs w:val="20"/>
        </w:rPr>
        <w:t xml:space="preserve">Las líneas de venta guardan copia del precio, de la alícuota y del costo unitario vigentes al momento de registrarse. Cambiar el costo de un producto no debe alterar la ganancia de las ventas ya realizadas.</w:t>
      </w:r>
    </w:p>
    <w:p>
      <w:pPr>
        <w:pStyle w:val="Heading3"/>
        <w:spacing w:after="60" w:before="200"/>
      </w:pPr>
      <w:r>
        <w:rPr>
          <w:b/>
          <w:bCs/>
          <w:color w:val="333333"/>
          <w:sz w:val="20"/>
          <w:szCs w:val="20"/>
        </w:rPr>
        <w:t xml:space="preserve">Conversión de presentación en la línea de compra</w:t>
      </w:r>
    </w:p>
    <w:p>
      <w:pPr>
        <w:spacing w:after="90" w:before="90" w:line="288"/>
        <w:jc w:val="both"/>
      </w:pPr>
      <w:r>
        <w:rPr>
          <w:color w:val="222222"/>
          <w:sz w:val="20"/>
          <w:szCs w:val="20"/>
        </w:rPr>
        <w:t xml:space="preserve">Las unidades por presentación se registran en cada línea de compra y no en la ficha del producto, porque el cliente adquiere el mismo artículo en presentaciones de distinto tamaño según el proveedor.</w:t>
      </w:r>
    </w:p>
    <w:tbl>
      <w:tblPr>
        <w:tblW w:type="dxa" w:w="9360"/>
        <w:tblBorders>
          <w:top w:val="single" w:color="8A5A1F" w:sz="2"/>
          <w:left w:val="single" w:color="8A5A1F" w:sz="20"/>
          <w:bottom w:val="single" w:color="8A5A1F" w:sz="2"/>
          <w:right w:val="single" w:color="8A5A1F"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8A5A1F"/>
                <w:sz w:val="19"/>
                <w:szCs w:val="19"/>
              </w:rPr>
              <w:t xml:space="preserve">Motor de base de datos</w:t>
            </w:r>
          </w:p>
          <w:p>
            <w:pPr>
              <w:spacing w:after="50" w:line="264"/>
              <w:jc w:val="both"/>
            </w:pPr>
            <w:r>
              <w:rPr>
                <w:color w:val="333333"/>
                <w:sz w:val="18"/>
                <w:szCs w:val="18"/>
              </w:rPr>
              <w:t xml:space="preserve">El modelo está expresado de forma portable. Para una operación local sobre un único equipo, sin concurrencia y sin conexión, tanto SQLite como PostgreSQL son adecuados: el primero simplifica la instalación y el respaldo a un solo archivo; el segundo ofrece tipos decimales nativos y mejor comportamiento ante interrupciones.</w:t>
            </w:r>
          </w:p>
          <w:p>
            <w:pPr>
              <w:spacing w:after="50" w:line="264"/>
              <w:jc w:val="both"/>
            </w:pPr>
            <w:r>
              <w:rPr>
                <w:color w:val="333333"/>
                <w:sz w:val="18"/>
                <w:szCs w:val="18"/>
              </w:rPr>
              <w:t xml:space="preserve">Cualquiera sea la elección, los importes monetarios deben usar tipos decimales de precisión fija. En SQLite esto exige almacenar enteros escalados o texto, ya que carece de tipo decimal nativo; conviene evaluarlo antes de decidir.</w:t>
            </w:r>
          </w:p>
        </w:tc>
      </w:tr>
    </w:tbl>
    <w:p>
      <w:pPr>
        <w:pStyle w:val="Heading2"/>
        <w:pBdr>
          <w:bottom w:val="single" w:color="E0D8D0" w:sz="4" w:space="4"/>
        </w:pBdr>
        <w:spacing w:after="100" w:before="280"/>
      </w:pPr>
      <w:r>
        <w:rPr>
          <w:b/>
          <w:bCs/>
          <w:color w:val="D2590B"/>
          <w:sz w:val="21"/>
          <w:szCs w:val="21"/>
        </w:rPr>
        <w:t xml:space="preserve">Convenciones de nomenclatura</w:t>
      </w:r>
    </w:p>
    <w:p>
      <w:pPr>
        <w:pStyle w:val="ListParagraph"/>
        <w:numPr>
          <w:ilvl w:val="0"/>
          <w:numId w:val="2"/>
        </w:numPr>
        <w:spacing w:after="40" w:before="40" w:line="276"/>
        <w:jc w:val="both"/>
      </w:pPr>
      <w:r>
        <w:rPr>
          <w:sz w:val="20"/>
          <w:szCs w:val="20"/>
        </w:rPr>
        <w:t xml:space="preserve">Nombres de tabla en singular y minúsculas, con palabras separadas por guion bajo.</w:t>
      </w:r>
    </w:p>
    <w:p>
      <w:pPr>
        <w:pStyle w:val="ListParagraph"/>
        <w:numPr>
          <w:ilvl w:val="0"/>
          <w:numId w:val="2"/>
        </w:numPr>
        <w:spacing w:after="40" w:before="40" w:line="276"/>
        <w:jc w:val="both"/>
      </w:pPr>
      <w:r>
        <w:rPr>
          <w:sz w:val="20"/>
          <w:szCs w:val="20"/>
        </w:rPr>
        <w:t xml:space="preserve">Clave primaria denominada id, entera y autoincremental.</w:t>
      </w:r>
    </w:p>
    <w:p>
      <w:pPr>
        <w:pStyle w:val="ListParagraph"/>
        <w:numPr>
          <w:ilvl w:val="0"/>
          <w:numId w:val="2"/>
        </w:numPr>
        <w:spacing w:after="40" w:before="40" w:line="276"/>
        <w:jc w:val="both"/>
      </w:pPr>
      <w:r>
        <w:rPr>
          <w:sz w:val="20"/>
          <w:szCs w:val="20"/>
        </w:rPr>
        <w:t xml:space="preserve">Claves foráneas con el nombre de la tabla referida seguido del sufijo _id.</w:t>
      </w:r>
    </w:p>
    <w:p>
      <w:pPr>
        <w:pStyle w:val="ListParagraph"/>
        <w:numPr>
          <w:ilvl w:val="0"/>
          <w:numId w:val="2"/>
        </w:numPr>
        <w:spacing w:after="40" w:before="40" w:line="276"/>
        <w:jc w:val="both"/>
      </w:pPr>
      <w:r>
        <w:rPr>
          <w:sz w:val="20"/>
          <w:szCs w:val="20"/>
        </w:rPr>
        <w:t xml:space="preserve">Importes monetarios con el sufijo _usd o _bs según su moneda.</w:t>
      </w:r>
    </w:p>
    <w:p>
      <w:pPr>
        <w:pStyle w:val="ListParagraph"/>
        <w:numPr>
          <w:ilvl w:val="0"/>
          <w:numId w:val="2"/>
        </w:numPr>
        <w:spacing w:after="40" w:before="40" w:line="276"/>
        <w:jc w:val="both"/>
      </w:pPr>
      <w:r>
        <w:rPr>
          <w:sz w:val="20"/>
          <w:szCs w:val="20"/>
        </w:rPr>
        <w:t xml:space="preserve">Campos de auditoría creado_en y actualizado_en en las tablas maestras.</w:t>
      </w:r>
    </w:p>
    <w:p>
      <w:pPr>
        <w:pStyle w:val="ListParagraph"/>
        <w:numPr>
          <w:ilvl w:val="0"/>
          <w:numId w:val="2"/>
        </w:numPr>
        <w:spacing w:after="40" w:before="40" w:line="276"/>
        <w:jc w:val="both"/>
      </w:pPr>
      <w:r>
        <w:rPr>
          <w:sz w:val="20"/>
          <w:szCs w:val="20"/>
        </w:rPr>
        <w:t xml:space="preserve">Estados y tipos expresados como valores enumerados en mayúsculas.</w:t>
      </w:r>
    </w:p>
    <w:p>
      <w:pPr>
        <w:sectPr>
          <w:headerReference w:type="default" r:id="rId7"/>
          <w:footerReference w:type="default" r:id="rId8"/>
          <w:pgSz w:w="12240" w:h="15840" w:orient="portrait"/>
          <w:pgMar w:top="1150" w:right="1440" w:bottom="1150" w:left="1440" w:header="708" w:footer="708" w:gutter="0"/>
          <w:pgNumType/>
          <w:docGrid w:linePitch="360"/>
        </w:sectPr>
      </w:pPr>
    </w:p>
    <w:p>
      <w:pPr>
        <w:pStyle w:val="Heading1"/>
        <w:shd w:fill="212121" w:color="auto" w:val="clear"/>
        <w:spacing w:after="150" w:before="320"/>
        <w:ind w:left="100" w:right="100"/>
      </w:pPr>
      <w:r>
        <w:rPr>
          <w:b/>
          <w:bCs/>
          <w:color w:val="FFFFFF"/>
          <w:sz w:val="24"/>
          <w:szCs w:val="24"/>
        </w:rPr>
        <w:t xml:space="preserve">2. DIAGRAMAS ENTIDAD-RELACIÓN</w:t>
      </w:r>
    </w:p>
    <w:p>
      <w:pPr>
        <w:spacing w:after="90" w:before="90" w:line="288"/>
        <w:jc w:val="both"/>
      </w:pPr>
      <w:r>
        <w:rPr>
          <w:color w:val="222222"/>
          <w:sz w:val="20"/>
          <w:szCs w:val="20"/>
        </w:rPr>
        <w:t xml:space="preserve">El modelo se presenta en cinco vistas para facilitar su lectura. Las tablas que aparecen en más de una vista son la misma entidad; los campos omitidos en una vista se detallan en el diccionario.</w:t>
      </w:r>
    </w:p>
    <w:p>
      <w:pPr>
        <w:pStyle w:val="Heading3"/>
        <w:spacing w:after="60" w:before="200"/>
      </w:pPr>
      <w:r>
        <w:rPr>
          <w:b/>
          <w:bCs/>
          <w:color w:val="333333"/>
          <w:sz w:val="20"/>
          <w:szCs w:val="20"/>
        </w:rPr>
        <w:t xml:space="preserve">2.1 Producto, categoría, alícuota y lote</w:t>
      </w:r>
    </w:p>
    <w:p>
      <w:pPr>
        <w:spacing w:after="160" w:before="100"/>
        <w:jc w:val="center"/>
      </w:pPr>
      <w:r>
        <w:drawing>
          <wp:inline distT="0" distB="0" distL="0" distR="0">
            <wp:extent cx="838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3200400"/>
                    </a:xfrm>
                    <a:prstGeom prst="rect">
                      <a:avLst/>
                    </a:prstGeom>
                  </pic:spPr>
                </pic:pic>
              </a:graphicData>
            </a:graphic>
          </wp:inline>
        </w:drawing>
      </w:r>
    </w:p>
    <w:p>
      <w:r>
        <w:br w:type="page"/>
      </w:r>
    </w:p>
    <w:p>
      <w:pPr>
        <w:pStyle w:val="Heading3"/>
        <w:spacing w:after="60" w:before="200"/>
      </w:pPr>
      <w:r>
        <w:rPr>
          <w:b/>
          <w:bCs/>
          <w:color w:val="333333"/>
          <w:sz w:val="20"/>
          <w:szCs w:val="20"/>
        </w:rPr>
        <w:t xml:space="preserve">2.2 Compras, proveedores y tasa de cambio</w:t>
      </w:r>
    </w:p>
    <w:p>
      <w:pPr>
        <w:spacing w:after="160" w:before="100"/>
        <w:jc w:val="center"/>
      </w:pPr>
      <w:r>
        <w:drawing>
          <wp:inline distT="0" distB="0" distL="0" distR="0">
            <wp:extent cx="83820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4495800"/>
                    </a:xfrm>
                    <a:prstGeom prst="rect">
                      <a:avLst/>
                    </a:prstGeom>
                  </pic:spPr>
                </pic:pic>
              </a:graphicData>
            </a:graphic>
          </wp:inline>
        </w:drawing>
      </w:r>
    </w:p>
    <w:p>
      <w:r>
        <w:br w:type="page"/>
      </w:r>
    </w:p>
    <w:p>
      <w:pPr>
        <w:pStyle w:val="Heading3"/>
        <w:spacing w:after="60" w:before="200"/>
      </w:pPr>
      <w:r>
        <w:rPr>
          <w:b/>
          <w:bCs/>
          <w:color w:val="333333"/>
          <w:sz w:val="20"/>
          <w:szCs w:val="20"/>
        </w:rPr>
        <w:t xml:space="preserve">2.3 Inventario, pérdidas y ajustes</w:t>
      </w:r>
    </w:p>
    <w:p>
      <w:pPr>
        <w:spacing w:after="160" w:before="100"/>
        <w:jc w:val="center"/>
      </w:pPr>
      <w:r>
        <w:drawing>
          <wp:inline distT="0" distB="0" distL="0" distR="0">
            <wp:extent cx="43243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5334000"/>
                    </a:xfrm>
                    <a:prstGeom prst="rect">
                      <a:avLst/>
                    </a:prstGeom>
                  </pic:spPr>
                </pic:pic>
              </a:graphicData>
            </a:graphic>
          </wp:inline>
        </w:drawing>
      </w:r>
    </w:p>
    <w:p>
      <w:r>
        <w:br w:type="page"/>
      </w:r>
    </w:p>
    <w:p>
      <w:pPr>
        <w:pStyle w:val="Heading3"/>
        <w:spacing w:after="60" w:before="200"/>
      </w:pPr>
      <w:r>
        <w:rPr>
          <w:b/>
          <w:bCs/>
          <w:color w:val="333333"/>
          <w:sz w:val="20"/>
          <w:szCs w:val="20"/>
        </w:rPr>
        <w:t xml:space="preserve">2.4 Ventas, líneas y medios de pago</w:t>
      </w:r>
    </w:p>
    <w:p>
      <w:pPr>
        <w:spacing w:after="160" w:before="100"/>
        <w:jc w:val="center"/>
      </w:pPr>
      <w:r>
        <w:drawing>
          <wp:inline distT="0" distB="0" distL="0" distR="0">
            <wp:extent cx="83820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0" cy="5172075"/>
                    </a:xfrm>
                    <a:prstGeom prst="rect">
                      <a:avLst/>
                    </a:prstGeom>
                  </pic:spPr>
                </pic:pic>
              </a:graphicData>
            </a:graphic>
          </wp:inline>
        </w:drawing>
      </w:r>
    </w:p>
    <w:p>
      <w:r>
        <w:br w:type="page"/>
      </w:r>
    </w:p>
    <w:p>
      <w:pPr>
        <w:pStyle w:val="Heading3"/>
        <w:spacing w:after="60" w:before="200"/>
      </w:pPr>
      <w:r>
        <w:rPr>
          <w:b/>
          <w:bCs/>
          <w:color w:val="333333"/>
          <w:sz w:val="20"/>
          <w:szCs w:val="20"/>
        </w:rPr>
        <w:t xml:space="preserve">2.5 Usuarios, caja, gastos y auditoría</w:t>
      </w:r>
    </w:p>
    <w:p>
      <w:pPr>
        <w:spacing w:after="160" w:before="100"/>
        <w:jc w:val="center"/>
      </w:pPr>
      <w:r>
        <w:drawing>
          <wp:inline distT="0" distB="0" distL="0" distR="0">
            <wp:extent cx="615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53150" cy="5334000"/>
                    </a:xfrm>
                    <a:prstGeom prst="rect">
                      <a:avLst/>
                    </a:prstGeom>
                  </pic:spPr>
                </pic:pic>
              </a:graphicData>
            </a:graphic>
          </wp:inline>
        </w:drawing>
      </w:r>
    </w:p>
    <w:p>
      <w:pPr>
        <w:sectPr>
          <w:headerReference w:type="default" r:id="rId9"/>
          <w:footerReference w:type="default" r:id="rId10"/>
          <w:pgSz w:w="15840" w:h="12240" w:orient="landscape"/>
          <w:pgMar w:top="1000" w:right="1150" w:bottom="1000" w:left="1150" w:header="708" w:footer="708" w:gutter="0"/>
          <w:pgNumType/>
          <w:docGrid w:linePitch="360"/>
        </w:sectPr>
      </w:pPr>
    </w:p>
    <w:p>
      <w:pPr>
        <w:pStyle w:val="Heading1"/>
        <w:shd w:fill="212121" w:color="auto" w:val="clear"/>
        <w:spacing w:after="150" w:before="320"/>
        <w:ind w:left="100" w:right="100"/>
      </w:pPr>
      <w:r>
        <w:rPr>
          <w:b/>
          <w:bCs/>
          <w:color w:val="FFFFFF"/>
          <w:sz w:val="24"/>
          <w:szCs w:val="24"/>
        </w:rPr>
        <w:t xml:space="preserve">3. DICCIONARIO DE TABLAS</w:t>
      </w:r>
    </w:p>
    <w:p>
      <w:pPr>
        <w:pStyle w:val="Heading3"/>
        <w:spacing w:after="60" w:before="200"/>
      </w:pPr>
      <w:r>
        <w:rPr>
          <w:b/>
          <w:bCs/>
          <w:color w:val="333333"/>
          <w:sz w:val="20"/>
          <w:szCs w:val="20"/>
        </w:rPr>
        <w:t xml:space="preserve">producto</w:t>
      </w:r>
    </w:p>
    <w:p>
      <w:pPr>
        <w:spacing w:after="70" w:before="40" w:line="288"/>
        <w:jc w:val="both"/>
      </w:pPr>
      <w:r>
        <w:rPr>
          <w:color w:val="222222"/>
          <w:sz w:val="20"/>
          <w:szCs w:val="20"/>
        </w:rPr>
        <w:t xml:space="preserve">Catálogo de artículos comercializados. La baja es lógica mediante el campo activo, ya que los productos con movimientos no pueden eliminarse.</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rPr>
          <w:tblHeader/>
        </w:trPr>
        <w:tc>
          <w:tcPr>
            <w:tcW w:type="dxa" w:w="3000"/>
            <w:shd w:fill="212121" w:color="auto" w:val="clear"/>
            <w:tcMar>
              <w:top w:type="dxa" w:w="80"/>
              <w:left w:type="dxa" w:w="120"/>
              <w:bottom w:type="dxa" w:w="80"/>
              <w:right w:type="dxa" w:w="120"/>
            </w:tcMar>
          </w:tcPr>
          <w:p>
            <w:r>
              <w:rPr>
                <w:b/>
                <w:bCs/>
                <w:color w:val="FFFFFF"/>
                <w:sz w:val="18"/>
                <w:szCs w:val="18"/>
              </w:rPr>
              <w:t xml:space="preserve">Campo</w:t>
            </w:r>
          </w:p>
        </w:tc>
        <w:tc>
          <w:tcPr>
            <w:tcW w:type="dxa" w:w="6360"/>
            <w:shd w:fill="212121" w:color="auto" w:val="clear"/>
            <w:tcMar>
              <w:top w:type="dxa" w:w="80"/>
              <w:left w:type="dxa" w:w="120"/>
              <w:bottom w:type="dxa" w:w="80"/>
              <w:right w:type="dxa" w:w="120"/>
            </w:tcMar>
          </w:tcPr>
          <w:p>
            <w:r>
              <w:rPr>
                <w:b/>
                <w:bCs/>
                <w:color w:val="FFFFFF"/>
                <w:sz w:val="18"/>
                <w:szCs w:val="18"/>
              </w:rPr>
              <w:t xml:space="preserve">Observación</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precio_venta_usd</w:t>
            </w:r>
          </w:p>
        </w:tc>
        <w:tc>
          <w:tcPr>
            <w:tcW w:type="dxa" w:w="6360"/>
            <w:tcMar>
              <w:top w:type="dxa" w:w="80"/>
              <w:left w:type="dxa" w:w="120"/>
              <w:bottom w:type="dxa" w:w="80"/>
              <w:right w:type="dxa" w:w="120"/>
            </w:tcMar>
          </w:tcPr>
          <w:p>
            <w:r>
              <w:rPr>
                <w:b w:val="false"/>
                <w:bCs w:val="false"/>
                <w:color w:val="222222"/>
                <w:sz w:val="18"/>
                <w:szCs w:val="18"/>
              </w:rPr>
              <w:t xml:space="preserve">Precio al público con IVA incluido, expresado en dólares.</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margen_objetivo</w:t>
            </w:r>
          </w:p>
        </w:tc>
        <w:tc>
          <w:tcPr>
            <w:tcW w:type="dxa" w:w="6360"/>
            <w:tcMar>
              <w:top w:type="dxa" w:w="80"/>
              <w:left w:type="dxa" w:w="120"/>
              <w:bottom w:type="dxa" w:w="80"/>
              <w:right w:type="dxa" w:w="120"/>
            </w:tcMar>
          </w:tcPr>
          <w:p>
            <w:r>
              <w:rPr>
                <w:b w:val="false"/>
                <w:bCs w:val="false"/>
                <w:color w:val="222222"/>
                <w:sz w:val="18"/>
                <w:szCs w:val="18"/>
              </w:rPr>
              <w:t xml:space="preserve">Margen propio del producto. Si es nulo, se aplica el de su categoría.</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maneja_vencimiento</w:t>
            </w:r>
          </w:p>
        </w:tc>
        <w:tc>
          <w:tcPr>
            <w:tcW w:type="dxa" w:w="6360"/>
            <w:tcMar>
              <w:top w:type="dxa" w:w="80"/>
              <w:left w:type="dxa" w:w="120"/>
              <w:bottom w:type="dxa" w:w="80"/>
              <w:right w:type="dxa" w:w="120"/>
            </w:tcMar>
          </w:tcPr>
          <w:p>
            <w:r>
              <w:rPr>
                <w:b w:val="false"/>
                <w:bCs w:val="false"/>
                <w:color w:val="222222"/>
                <w:sz w:val="18"/>
                <w:szCs w:val="18"/>
              </w:rPr>
              <w:t xml:space="preserve">Determina si las compras del producto exigen lote y fecha de vencimiento.</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existencia_minima</w:t>
            </w:r>
          </w:p>
        </w:tc>
        <w:tc>
          <w:tcPr>
            <w:tcW w:type="dxa" w:w="6360"/>
            <w:tcMar>
              <w:top w:type="dxa" w:w="80"/>
              <w:left w:type="dxa" w:w="120"/>
              <w:bottom w:type="dxa" w:w="80"/>
              <w:right w:type="dxa" w:w="120"/>
            </w:tcMar>
          </w:tcPr>
          <w:p>
            <w:r>
              <w:rPr>
                <w:b w:val="false"/>
                <w:bCs w:val="false"/>
                <w:color w:val="222222"/>
                <w:sz w:val="18"/>
                <w:szCs w:val="18"/>
              </w:rPr>
              <w:t xml:space="preserve">Umbral que dispara la alerta de reposición.</w:t>
            </w:r>
          </w:p>
        </w:tc>
      </w:tr>
    </w:tbl>
    <w:p>
      <w:pPr>
        <w:spacing w:after="90"/>
      </w:pPr>
      <w:r>
        <w:t xml:space="preserve"/>
      </w:r>
    </w:p>
    <w:p>
      <w:pPr>
        <w:pStyle w:val="Heading3"/>
        <w:spacing w:after="60" w:before="200"/>
      </w:pPr>
      <w:r>
        <w:rPr>
          <w:b/>
          <w:bCs/>
          <w:color w:val="333333"/>
          <w:sz w:val="20"/>
          <w:szCs w:val="20"/>
        </w:rPr>
        <w:t xml:space="preserve">categoria</w:t>
      </w:r>
    </w:p>
    <w:p>
      <w:pPr>
        <w:spacing w:after="110" w:before="40" w:line="288"/>
        <w:jc w:val="both"/>
      </w:pPr>
      <w:r>
        <w:rPr>
          <w:color w:val="222222"/>
          <w:sz w:val="20"/>
          <w:szCs w:val="20"/>
        </w:rPr>
        <w:t xml:space="preserve">Agrupación comercial de productos. Define el margen objetivo aplicable por defecto.</w:t>
      </w:r>
    </w:p>
    <w:p>
      <w:pPr>
        <w:pStyle w:val="Heading3"/>
        <w:spacing w:after="60" w:before="200"/>
      </w:pPr>
      <w:r>
        <w:rPr>
          <w:b/>
          <w:bCs/>
          <w:color w:val="333333"/>
          <w:sz w:val="20"/>
          <w:szCs w:val="20"/>
        </w:rPr>
        <w:t xml:space="preserve">alicuota_iva</w:t>
      </w:r>
    </w:p>
    <w:p>
      <w:pPr>
        <w:spacing w:after="110" w:before="40" w:line="288"/>
        <w:jc w:val="both"/>
      </w:pPr>
      <w:r>
        <w:rPr>
          <w:color w:val="222222"/>
          <w:sz w:val="20"/>
          <w:szCs w:val="20"/>
        </w:rPr>
        <w:t xml:space="preserve">Catálogo de alícuotas vigentes. El porcentaje se copia a cada línea de venta al momento de registrarla.</w:t>
      </w:r>
    </w:p>
    <w:p>
      <w:pPr>
        <w:pStyle w:val="Heading3"/>
        <w:spacing w:after="60" w:before="200"/>
      </w:pPr>
      <w:r>
        <w:rPr>
          <w:b/>
          <w:bCs/>
          <w:color w:val="333333"/>
          <w:sz w:val="20"/>
          <w:szCs w:val="20"/>
        </w:rPr>
        <w:t xml:space="preserve">tasa_cambio</w:t>
      </w:r>
    </w:p>
    <w:p>
      <w:pPr>
        <w:spacing w:after="110" w:before="40" w:line="288"/>
        <w:jc w:val="both"/>
      </w:pPr>
      <w:r>
        <w:rPr>
          <w:color w:val="222222"/>
          <w:sz w:val="20"/>
          <w:szCs w:val="20"/>
        </w:rPr>
        <w:t xml:space="preserve">Histórico de tasas, con una fila por fecha. El campo origen distingue la carga automática de la manual.</w:t>
      </w:r>
    </w:p>
    <w:p>
      <w:pPr>
        <w:pStyle w:val="Heading3"/>
        <w:spacing w:after="60" w:before="200"/>
      </w:pPr>
      <w:r>
        <w:rPr>
          <w:b/>
          <w:bCs/>
          <w:color w:val="333333"/>
          <w:sz w:val="20"/>
          <w:szCs w:val="20"/>
        </w:rPr>
        <w:t xml:space="preserve">proveedor</w:t>
      </w:r>
    </w:p>
    <w:p>
      <w:pPr>
        <w:spacing w:after="110" w:before="40" w:line="288"/>
        <w:jc w:val="both"/>
      </w:pPr>
      <w:r>
        <w:rPr>
          <w:color w:val="222222"/>
          <w:sz w:val="20"/>
          <w:szCs w:val="20"/>
        </w:rPr>
        <w:t xml:space="preserve">Proveedores de mercancía.</w:t>
      </w:r>
    </w:p>
    <w:p>
      <w:pPr>
        <w:pStyle w:val="Heading3"/>
        <w:spacing w:after="60" w:before="200"/>
      </w:pPr>
      <w:r>
        <w:rPr>
          <w:b/>
          <w:bCs/>
          <w:color w:val="333333"/>
          <w:sz w:val="20"/>
          <w:szCs w:val="20"/>
        </w:rPr>
        <w:t xml:space="preserve">compra</w:t>
      </w:r>
    </w:p>
    <w:p>
      <w:pPr>
        <w:spacing w:after="110" w:before="40" w:line="288"/>
        <w:jc w:val="both"/>
      </w:pPr>
      <w:r>
        <w:rPr>
          <w:color w:val="222222"/>
          <w:sz w:val="20"/>
          <w:szCs w:val="20"/>
        </w:rPr>
        <w:t xml:space="preserve">Encabezado de una entrada de mercancía. El saldo pendiente permite el control de deuda con el proveedor.</w:t>
      </w:r>
    </w:p>
    <w:p>
      <w:pPr>
        <w:pStyle w:val="Heading3"/>
        <w:spacing w:after="60" w:before="200"/>
      </w:pPr>
      <w:r>
        <w:rPr>
          <w:b/>
          <w:bCs/>
          <w:color w:val="333333"/>
          <w:sz w:val="20"/>
          <w:szCs w:val="20"/>
        </w:rPr>
        <w:t xml:space="preserve">compra_detalle</w:t>
      </w:r>
    </w:p>
    <w:p>
      <w:pPr>
        <w:spacing w:after="70" w:before="40" w:line="288"/>
        <w:jc w:val="both"/>
      </w:pPr>
      <w:r>
        <w:rPr>
          <w:color w:val="222222"/>
          <w:sz w:val="20"/>
          <w:szCs w:val="20"/>
        </w:rPr>
        <w:t xml:space="preserve">Líneas de la compra. Contiene la conversión de presentación a unidad y el costo unitario resultante.</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rPr>
          <w:tblHeader/>
        </w:trPr>
        <w:tc>
          <w:tcPr>
            <w:tcW w:type="dxa" w:w="3000"/>
            <w:shd w:fill="212121" w:color="auto" w:val="clear"/>
            <w:tcMar>
              <w:top w:type="dxa" w:w="80"/>
              <w:left w:type="dxa" w:w="120"/>
              <w:bottom w:type="dxa" w:w="80"/>
              <w:right w:type="dxa" w:w="120"/>
            </w:tcMar>
          </w:tcPr>
          <w:p>
            <w:r>
              <w:rPr>
                <w:b/>
                <w:bCs/>
                <w:color w:val="FFFFFF"/>
                <w:sz w:val="18"/>
                <w:szCs w:val="18"/>
              </w:rPr>
              <w:t xml:space="preserve">Campo</w:t>
            </w:r>
          </w:p>
        </w:tc>
        <w:tc>
          <w:tcPr>
            <w:tcW w:type="dxa" w:w="6360"/>
            <w:shd w:fill="212121" w:color="auto" w:val="clear"/>
            <w:tcMar>
              <w:top w:type="dxa" w:w="80"/>
              <w:left w:type="dxa" w:w="120"/>
              <w:bottom w:type="dxa" w:w="80"/>
              <w:right w:type="dxa" w:w="120"/>
            </w:tcMar>
          </w:tcPr>
          <w:p>
            <w:r>
              <w:rPr>
                <w:b/>
                <w:bCs/>
                <w:color w:val="FFFFFF"/>
                <w:sz w:val="18"/>
                <w:szCs w:val="18"/>
              </w:rPr>
              <w:t xml:space="preserve">Observación</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unid_x_presentacion</w:t>
            </w:r>
          </w:p>
        </w:tc>
        <w:tc>
          <w:tcPr>
            <w:tcW w:type="dxa" w:w="6360"/>
            <w:tcMar>
              <w:top w:type="dxa" w:w="80"/>
              <w:left w:type="dxa" w:w="120"/>
              <w:bottom w:type="dxa" w:w="80"/>
              <w:right w:type="dxa" w:w="120"/>
            </w:tcMar>
          </w:tcPr>
          <w:p>
            <w:r>
              <w:rPr>
                <w:b w:val="false"/>
                <w:bCs w:val="false"/>
                <w:color w:val="222222"/>
                <w:sz w:val="18"/>
                <w:szCs w:val="18"/>
              </w:rPr>
              <w:t xml:space="preserve">Unidades contenidas en la presentación adquirida, propia de esta línea.</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cantidad_unidades</w:t>
            </w:r>
          </w:p>
        </w:tc>
        <w:tc>
          <w:tcPr>
            <w:tcW w:type="dxa" w:w="6360"/>
            <w:tcMar>
              <w:top w:type="dxa" w:w="80"/>
              <w:left w:type="dxa" w:w="120"/>
              <w:bottom w:type="dxa" w:w="80"/>
              <w:right w:type="dxa" w:w="120"/>
            </w:tcMar>
          </w:tcPr>
          <w:p>
            <w:r>
              <w:rPr>
                <w:b w:val="false"/>
                <w:bCs w:val="false"/>
                <w:color w:val="222222"/>
                <w:sz w:val="18"/>
                <w:szCs w:val="18"/>
              </w:rPr>
              <w:t xml:space="preserve">Producto de la cantidad de presentaciones por las unidades que contiene.</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costo_unitario_usd</w:t>
            </w:r>
          </w:p>
        </w:tc>
        <w:tc>
          <w:tcPr>
            <w:tcW w:type="dxa" w:w="6360"/>
            <w:tcMar>
              <w:top w:type="dxa" w:w="80"/>
              <w:left w:type="dxa" w:w="120"/>
              <w:bottom w:type="dxa" w:w="80"/>
              <w:right w:type="dxa" w:w="120"/>
            </w:tcMar>
          </w:tcPr>
          <w:p>
            <w:r>
              <w:rPr>
                <w:b w:val="false"/>
                <w:bCs w:val="false"/>
                <w:color w:val="222222"/>
                <w:sz w:val="18"/>
                <w:szCs w:val="18"/>
              </w:rPr>
              <w:t xml:space="preserve">Costo de la presentación dividido entre las unidades que contiene.</w:t>
            </w:r>
          </w:p>
        </w:tc>
      </w:tr>
    </w:tbl>
    <w:p>
      <w:pPr>
        <w:spacing w:after="90"/>
      </w:pPr>
      <w:r>
        <w:t xml:space="preserve"/>
      </w:r>
    </w:p>
    <w:p>
      <w:pPr>
        <w:pStyle w:val="Heading3"/>
        <w:spacing w:after="60" w:before="200"/>
      </w:pPr>
      <w:r>
        <w:rPr>
          <w:b/>
          <w:bCs/>
          <w:color w:val="333333"/>
          <w:sz w:val="20"/>
          <w:szCs w:val="20"/>
        </w:rPr>
        <w:t xml:space="preserve">pago_proveedor</w:t>
      </w:r>
    </w:p>
    <w:p>
      <w:pPr>
        <w:spacing w:after="110" w:before="40" w:line="288"/>
        <w:jc w:val="both"/>
      </w:pPr>
      <w:r>
        <w:rPr>
          <w:color w:val="222222"/>
          <w:sz w:val="20"/>
          <w:szCs w:val="20"/>
        </w:rPr>
        <w:t xml:space="preserve">Pagos parciales o totales aplicados a una compra.</w:t>
      </w:r>
    </w:p>
    <w:p>
      <w:pPr>
        <w:pStyle w:val="Heading3"/>
        <w:spacing w:after="60" w:before="200"/>
      </w:pPr>
      <w:r>
        <w:rPr>
          <w:b/>
          <w:bCs/>
          <w:color w:val="333333"/>
          <w:sz w:val="20"/>
          <w:szCs w:val="20"/>
        </w:rPr>
        <w:t xml:space="preserve">lote</w:t>
      </w:r>
    </w:p>
    <w:p>
      <w:pPr>
        <w:spacing w:after="110" w:before="40" w:line="288"/>
        <w:jc w:val="both"/>
      </w:pPr>
      <w:r>
        <w:rPr>
          <w:color w:val="222222"/>
          <w:sz w:val="20"/>
          <w:szCs w:val="20"/>
        </w:rPr>
        <w:t xml:space="preserve">Agrupación de unidades con una misma fecha de vencimiento. Solo se crea para productos que lo manejan.</w:t>
      </w:r>
    </w:p>
    <w:p>
      <w:pPr>
        <w:pStyle w:val="Heading3"/>
        <w:spacing w:after="60" w:before="200"/>
      </w:pPr>
      <w:r>
        <w:rPr>
          <w:b/>
          <w:bCs/>
          <w:color w:val="333333"/>
          <w:sz w:val="20"/>
          <w:szCs w:val="20"/>
        </w:rPr>
        <w:t xml:space="preserve">movimiento_inventario</w:t>
      </w:r>
    </w:p>
    <w:p>
      <w:pPr>
        <w:spacing w:after="70" w:before="40" w:line="288"/>
        <w:jc w:val="both"/>
      </w:pPr>
      <w:r>
        <w:rPr>
          <w:color w:val="222222"/>
          <w:sz w:val="20"/>
          <w:szCs w:val="20"/>
        </w:rPr>
        <w:t xml:space="preserve">Registro único de toda variación de existencias. Es la tabla central del sistema.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rPr>
          <w:tblHeader/>
        </w:trPr>
        <w:tc>
          <w:tcPr>
            <w:tcW w:type="dxa" w:w="3000"/>
            <w:shd w:fill="212121" w:color="auto" w:val="clear"/>
            <w:tcMar>
              <w:top w:type="dxa" w:w="80"/>
              <w:left w:type="dxa" w:w="120"/>
              <w:bottom w:type="dxa" w:w="80"/>
              <w:right w:type="dxa" w:w="120"/>
            </w:tcMar>
          </w:tcPr>
          <w:p>
            <w:r>
              <w:rPr>
                <w:b/>
                <w:bCs/>
                <w:color w:val="FFFFFF"/>
                <w:sz w:val="18"/>
                <w:szCs w:val="18"/>
              </w:rPr>
              <w:t xml:space="preserve">Campo</w:t>
            </w:r>
          </w:p>
        </w:tc>
        <w:tc>
          <w:tcPr>
            <w:tcW w:type="dxa" w:w="6360"/>
            <w:shd w:fill="212121" w:color="auto" w:val="clear"/>
            <w:tcMar>
              <w:top w:type="dxa" w:w="80"/>
              <w:left w:type="dxa" w:w="120"/>
              <w:bottom w:type="dxa" w:w="80"/>
              <w:right w:type="dxa" w:w="120"/>
            </w:tcMar>
          </w:tcPr>
          <w:p>
            <w:r>
              <w:rPr>
                <w:b/>
                <w:bCs/>
                <w:color w:val="FFFFFF"/>
                <w:sz w:val="18"/>
                <w:szCs w:val="18"/>
              </w:rPr>
              <w:t xml:space="preserve">Observación</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cantidad</w:t>
            </w:r>
          </w:p>
        </w:tc>
        <w:tc>
          <w:tcPr>
            <w:tcW w:type="dxa" w:w="6360"/>
            <w:tcMar>
              <w:top w:type="dxa" w:w="80"/>
              <w:left w:type="dxa" w:w="120"/>
              <w:bottom w:type="dxa" w:w="80"/>
              <w:right w:type="dxa" w:w="120"/>
            </w:tcMar>
          </w:tcPr>
          <w:p>
            <w:r>
              <w:rPr>
                <w:b w:val="false"/>
                <w:bCs w:val="false"/>
                <w:color w:val="222222"/>
                <w:sz w:val="18"/>
                <w:szCs w:val="18"/>
              </w:rPr>
              <w:t xml:space="preserve">Positiva en entradas, negativa en salidas.</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costo_unitario_usd</w:t>
            </w:r>
          </w:p>
        </w:tc>
        <w:tc>
          <w:tcPr>
            <w:tcW w:type="dxa" w:w="6360"/>
            <w:tcMar>
              <w:top w:type="dxa" w:w="80"/>
              <w:left w:type="dxa" w:w="120"/>
              <w:bottom w:type="dxa" w:w="80"/>
              <w:right w:type="dxa" w:w="120"/>
            </w:tcMar>
          </w:tcPr>
          <w:p>
            <w:r>
              <w:rPr>
                <w:b w:val="false"/>
                <w:bCs w:val="false"/>
                <w:color w:val="222222"/>
                <w:sz w:val="18"/>
                <w:szCs w:val="18"/>
              </w:rPr>
              <w:t xml:space="preserve">Costo vigente al producirse el movimiento. No se recalcula.</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referencia_tipo / referencia_id</w:t>
            </w:r>
          </w:p>
        </w:tc>
        <w:tc>
          <w:tcPr>
            <w:tcW w:type="dxa" w:w="6360"/>
            <w:tcMar>
              <w:top w:type="dxa" w:w="80"/>
              <w:left w:type="dxa" w:w="120"/>
              <w:bottom w:type="dxa" w:w="80"/>
              <w:right w:type="dxa" w:w="120"/>
            </w:tcMar>
          </w:tcPr>
          <w:p>
            <w:r>
              <w:rPr>
                <w:b w:val="false"/>
                <w:bCs w:val="false"/>
                <w:color w:val="222222"/>
                <w:sz w:val="18"/>
                <w:szCs w:val="18"/>
              </w:rPr>
              <w:t xml:space="preserve">Vínculo con la operación que originó el movimiento: compra, venta, pérdida o ajuste.</w:t>
            </w:r>
          </w:p>
        </w:tc>
      </w:tr>
    </w:tbl>
    <w:p>
      <w:pPr>
        <w:spacing w:after="90"/>
      </w:pPr>
      <w:r>
        <w:t xml:space="preserve"/>
      </w:r>
    </w:p>
    <w:p>
      <w:pPr>
        <w:pStyle w:val="Heading3"/>
        <w:spacing w:after="60" w:before="200"/>
      </w:pPr>
      <w:r>
        <w:rPr>
          <w:b/>
          <w:bCs/>
          <w:color w:val="333333"/>
          <w:sz w:val="20"/>
          <w:szCs w:val="20"/>
        </w:rPr>
        <w:t xml:space="preserve">motivo_perdida</w:t>
      </w:r>
    </w:p>
    <w:p>
      <w:pPr>
        <w:spacing w:after="110" w:before="40" w:line="288"/>
        <w:jc w:val="both"/>
      </w:pPr>
      <w:r>
        <w:rPr>
          <w:color w:val="222222"/>
          <w:sz w:val="20"/>
          <w:szCs w:val="20"/>
        </w:rPr>
        <w:t xml:space="preserve">Catálogo de motivos: vencido, dañado, faltante, merma de charcutería y consumo propio.</w:t>
      </w:r>
    </w:p>
    <w:p>
      <w:pPr>
        <w:pStyle w:val="Heading3"/>
        <w:spacing w:after="60" w:before="200"/>
      </w:pPr>
      <w:r>
        <w:rPr>
          <w:b/>
          <w:bCs/>
          <w:color w:val="333333"/>
          <w:sz w:val="20"/>
          <w:szCs w:val="20"/>
        </w:rPr>
        <w:t xml:space="preserve">perdida</w:t>
      </w:r>
    </w:p>
    <w:p>
      <w:pPr>
        <w:spacing w:after="110" w:before="40" w:line="288"/>
        <w:jc w:val="both"/>
      </w:pPr>
      <w:r>
        <w:rPr>
          <w:color w:val="222222"/>
          <w:sz w:val="20"/>
          <w:szCs w:val="20"/>
        </w:rPr>
        <w:t xml:space="preserve">Registro de mercancía perdida, valorizada al último costo vigente.</w:t>
      </w:r>
    </w:p>
    <w:p>
      <w:pPr>
        <w:pStyle w:val="Heading3"/>
        <w:spacing w:after="60" w:before="200"/>
      </w:pPr>
      <w:r>
        <w:rPr>
          <w:b/>
          <w:bCs/>
          <w:color w:val="333333"/>
          <w:sz w:val="20"/>
          <w:szCs w:val="20"/>
        </w:rPr>
        <w:t xml:space="preserve">ajuste_inventario</w:t>
      </w:r>
    </w:p>
    <w:p>
      <w:pPr>
        <w:spacing w:after="110" w:before="40" w:line="288"/>
        <w:jc w:val="both"/>
      </w:pPr>
      <w:r>
        <w:rPr>
          <w:color w:val="222222"/>
          <w:sz w:val="20"/>
          <w:szCs w:val="20"/>
        </w:rPr>
        <w:t xml:space="preserve">Resultado de un conteo físico, con la cantidad del sistema, la contada y la diferencia.</w:t>
      </w:r>
    </w:p>
    <w:p>
      <w:pPr>
        <w:pStyle w:val="Heading3"/>
        <w:spacing w:after="60" w:before="200"/>
      </w:pPr>
      <w:r>
        <w:rPr>
          <w:b/>
          <w:bCs/>
          <w:color w:val="333333"/>
          <w:sz w:val="20"/>
          <w:szCs w:val="20"/>
        </w:rPr>
        <w:t xml:space="preserve">usuario</w:t>
      </w:r>
    </w:p>
    <w:p>
      <w:pPr>
        <w:spacing w:after="110" w:before="40" w:line="288"/>
        <w:jc w:val="both"/>
      </w:pPr>
      <w:r>
        <w:rPr>
          <w:color w:val="222222"/>
          <w:sz w:val="20"/>
          <w:szCs w:val="20"/>
        </w:rPr>
        <w:t xml:space="preserve">Usuarios del sistema y su perfil. Las claves se almacenan cifradas.</w:t>
      </w:r>
    </w:p>
    <w:p>
      <w:pPr>
        <w:pStyle w:val="Heading3"/>
        <w:spacing w:after="60" w:before="200"/>
      </w:pPr>
      <w:r>
        <w:rPr>
          <w:b/>
          <w:bCs/>
          <w:color w:val="333333"/>
          <w:sz w:val="20"/>
          <w:szCs w:val="20"/>
        </w:rPr>
        <w:t xml:space="preserve">caja_sesion</w:t>
      </w:r>
    </w:p>
    <w:p>
      <w:pPr>
        <w:spacing w:after="110" w:before="40" w:line="288"/>
        <w:jc w:val="both"/>
      </w:pPr>
      <w:r>
        <w:rPr>
          <w:color w:val="222222"/>
          <w:sz w:val="20"/>
          <w:szCs w:val="20"/>
        </w:rPr>
        <w:t xml:space="preserve">Apertura y cierre de caja, con montos iniciales y conteo final por moneda.</w:t>
      </w:r>
    </w:p>
    <w:p>
      <w:pPr>
        <w:pStyle w:val="Heading3"/>
        <w:spacing w:after="60" w:before="200"/>
      </w:pPr>
      <w:r>
        <w:rPr>
          <w:b/>
          <w:bCs/>
          <w:color w:val="333333"/>
          <w:sz w:val="20"/>
          <w:szCs w:val="20"/>
        </w:rPr>
        <w:t xml:space="preserve">cliente</w:t>
      </w:r>
    </w:p>
    <w:p>
      <w:pPr>
        <w:spacing w:after="110" w:before="40" w:line="288"/>
        <w:jc w:val="both"/>
      </w:pPr>
      <w:r>
        <w:rPr>
          <w:color w:val="222222"/>
          <w:sz w:val="20"/>
          <w:szCs w:val="20"/>
        </w:rPr>
        <w:t xml:space="preserve">Datos fiscales de clientes que requieren comprobante con RIF y razón social.</w:t>
      </w:r>
    </w:p>
    <w:p>
      <w:pPr>
        <w:pStyle w:val="Heading3"/>
        <w:spacing w:after="60" w:before="200"/>
      </w:pPr>
      <w:r>
        <w:rPr>
          <w:b/>
          <w:bCs/>
          <w:color w:val="333333"/>
          <w:sz w:val="20"/>
          <w:szCs w:val="20"/>
        </w:rPr>
        <w:t xml:space="preserve">venta</w:t>
      </w:r>
    </w:p>
    <w:p>
      <w:pPr>
        <w:spacing w:after="70" w:before="40" w:line="288"/>
        <w:jc w:val="both"/>
      </w:pPr>
      <w:r>
        <w:rPr>
          <w:color w:val="222222"/>
          <w:sz w:val="20"/>
          <w:szCs w:val="20"/>
        </w:rPr>
        <w:t xml:space="preserve">Encabezado de la venta, con separación de exento, base imponible e IVA, y el equivalente en bolívares a la tasa aplicada.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rPr>
          <w:tblHeader/>
        </w:trPr>
        <w:tc>
          <w:tcPr>
            <w:tcW w:type="dxa" w:w="3000"/>
            <w:shd w:fill="212121" w:color="auto" w:val="clear"/>
            <w:tcMar>
              <w:top w:type="dxa" w:w="80"/>
              <w:left w:type="dxa" w:w="120"/>
              <w:bottom w:type="dxa" w:w="80"/>
              <w:right w:type="dxa" w:w="120"/>
            </w:tcMar>
          </w:tcPr>
          <w:p>
            <w:r>
              <w:rPr>
                <w:b/>
                <w:bCs/>
                <w:color w:val="FFFFFF"/>
                <w:sz w:val="18"/>
                <w:szCs w:val="18"/>
              </w:rPr>
              <w:t xml:space="preserve">Campo</w:t>
            </w:r>
          </w:p>
        </w:tc>
        <w:tc>
          <w:tcPr>
            <w:tcW w:type="dxa" w:w="6360"/>
            <w:shd w:fill="212121" w:color="auto" w:val="clear"/>
            <w:tcMar>
              <w:top w:type="dxa" w:w="80"/>
              <w:left w:type="dxa" w:w="120"/>
              <w:bottom w:type="dxa" w:w="80"/>
              <w:right w:type="dxa" w:w="120"/>
            </w:tcMar>
          </w:tcPr>
          <w:p>
            <w:r>
              <w:rPr>
                <w:b/>
                <w:bCs/>
                <w:color w:val="FFFFFF"/>
                <w:sz w:val="18"/>
                <w:szCs w:val="18"/>
              </w:rPr>
              <w:t xml:space="preserve">Observación</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numero</w:t>
            </w:r>
          </w:p>
        </w:tc>
        <w:tc>
          <w:tcPr>
            <w:tcW w:type="dxa" w:w="6360"/>
            <w:tcMar>
              <w:top w:type="dxa" w:w="80"/>
              <w:left w:type="dxa" w:w="120"/>
              <w:bottom w:type="dxa" w:w="80"/>
              <w:right w:type="dxa" w:w="120"/>
            </w:tcMar>
          </w:tcPr>
          <w:p>
            <w:r>
              <w:rPr>
                <w:b w:val="false"/>
                <w:bCs w:val="false"/>
                <w:color w:val="222222"/>
                <w:sz w:val="18"/>
                <w:szCs w:val="18"/>
              </w:rPr>
              <w:t xml:space="preserve">Correlativo irrepetible que se conserva aun cuando la venta se anule.</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tasa_id</w:t>
            </w:r>
          </w:p>
        </w:tc>
        <w:tc>
          <w:tcPr>
            <w:tcW w:type="dxa" w:w="6360"/>
            <w:tcMar>
              <w:top w:type="dxa" w:w="80"/>
              <w:left w:type="dxa" w:w="120"/>
              <w:bottom w:type="dxa" w:w="80"/>
              <w:right w:type="dxa" w:w="120"/>
            </w:tcMar>
          </w:tcPr>
          <w:p>
            <w:r>
              <w:rPr>
                <w:b w:val="false"/>
                <w:bCs w:val="false"/>
                <w:color w:val="222222"/>
                <w:sz w:val="18"/>
                <w:szCs w:val="18"/>
              </w:rPr>
              <w:t xml:space="preserve">Tasa utilizada. Permite reconstruir el importe en bolívares en cualquier momento.</w:t>
            </w:r>
          </w:p>
        </w:tc>
      </w:tr>
    </w:tbl>
    <w:p>
      <w:pPr>
        <w:spacing w:after="90"/>
      </w:pPr>
      <w:r>
        <w:t xml:space="preserve"/>
      </w:r>
    </w:p>
    <w:p>
      <w:pPr>
        <w:pStyle w:val="Heading3"/>
        <w:spacing w:after="60" w:before="200"/>
      </w:pPr>
      <w:r>
        <w:rPr>
          <w:b/>
          <w:bCs/>
          <w:color w:val="333333"/>
          <w:sz w:val="20"/>
          <w:szCs w:val="20"/>
        </w:rPr>
        <w:t xml:space="preserve">venta_detalle</w:t>
      </w:r>
    </w:p>
    <w:p>
      <w:pPr>
        <w:spacing w:after="70" w:before="40" w:line="288"/>
        <w:jc w:val="both"/>
      </w:pPr>
      <w:r>
        <w:rPr>
          <w:color w:val="222222"/>
          <w:sz w:val="20"/>
          <w:szCs w:val="20"/>
        </w:rPr>
        <w:t xml:space="preserve">Líneas de la venta con copia del precio, la alícuota y el costo unitario del momento.</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rPr>
          <w:tblHeader/>
        </w:trPr>
        <w:tc>
          <w:tcPr>
            <w:tcW w:type="dxa" w:w="3000"/>
            <w:shd w:fill="212121" w:color="auto" w:val="clear"/>
            <w:tcMar>
              <w:top w:type="dxa" w:w="80"/>
              <w:left w:type="dxa" w:w="120"/>
              <w:bottom w:type="dxa" w:w="80"/>
              <w:right w:type="dxa" w:w="120"/>
            </w:tcMar>
          </w:tcPr>
          <w:p>
            <w:r>
              <w:rPr>
                <w:b/>
                <w:bCs/>
                <w:color w:val="FFFFFF"/>
                <w:sz w:val="18"/>
                <w:szCs w:val="18"/>
              </w:rPr>
              <w:t xml:space="preserve">Campo</w:t>
            </w:r>
          </w:p>
        </w:tc>
        <w:tc>
          <w:tcPr>
            <w:tcW w:type="dxa" w:w="6360"/>
            <w:shd w:fill="212121" w:color="auto" w:val="clear"/>
            <w:tcMar>
              <w:top w:type="dxa" w:w="80"/>
              <w:left w:type="dxa" w:w="120"/>
              <w:bottom w:type="dxa" w:w="80"/>
              <w:right w:type="dxa" w:w="120"/>
            </w:tcMar>
          </w:tcPr>
          <w:p>
            <w:r>
              <w:rPr>
                <w:b/>
                <w:bCs/>
                <w:color w:val="FFFFFF"/>
                <w:sz w:val="18"/>
                <w:szCs w:val="18"/>
              </w:rPr>
              <w:t xml:space="preserve">Observación</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costo_unitario_usd</w:t>
            </w:r>
          </w:p>
        </w:tc>
        <w:tc>
          <w:tcPr>
            <w:tcW w:type="dxa" w:w="6360"/>
            <w:tcMar>
              <w:top w:type="dxa" w:w="80"/>
              <w:left w:type="dxa" w:w="120"/>
              <w:bottom w:type="dxa" w:w="80"/>
              <w:right w:type="dxa" w:w="120"/>
            </w:tcMar>
          </w:tcPr>
          <w:p>
            <w:r>
              <w:rPr>
                <w:b w:val="false"/>
                <w:bCs w:val="false"/>
                <w:color w:val="222222"/>
                <w:sz w:val="18"/>
                <w:szCs w:val="18"/>
              </w:rPr>
              <w:t xml:space="preserve">Copia del costo vigente. Base del cálculo de ganancia por producto.</w:t>
            </w:r>
          </w:p>
        </w:tc>
      </w:tr>
      <w:tr>
        <w:trPr>
          <w:tblHeader w:val="false"/>
        </w:trPr>
        <w:tc>
          <w:tcPr>
            <w:tcW w:type="dxa" w:w="3000"/>
            <w:tcMar>
              <w:top w:type="dxa" w:w="80"/>
              <w:left w:type="dxa" w:w="120"/>
              <w:bottom w:type="dxa" w:w="80"/>
              <w:right w:type="dxa" w:w="120"/>
            </w:tcMar>
          </w:tcPr>
          <w:p>
            <w:r>
              <w:rPr>
                <w:rFonts w:ascii="Consolas" w:cs="Consolas" w:eastAsia="Consolas" w:hAnsi="Consolas"/>
                <w:color w:val="222222"/>
                <w:sz w:val="18"/>
                <w:szCs w:val="18"/>
              </w:rPr>
              <w:t xml:space="preserve">descripcion</w:t>
            </w:r>
          </w:p>
        </w:tc>
        <w:tc>
          <w:tcPr>
            <w:tcW w:type="dxa" w:w="6360"/>
            <w:tcMar>
              <w:top w:type="dxa" w:w="80"/>
              <w:left w:type="dxa" w:w="120"/>
              <w:bottom w:type="dxa" w:w="80"/>
              <w:right w:type="dxa" w:w="120"/>
            </w:tcMar>
          </w:tcPr>
          <w:p>
            <w:r>
              <w:rPr>
                <w:b w:val="false"/>
                <w:bCs w:val="false"/>
                <w:color w:val="222222"/>
                <w:sz w:val="18"/>
                <w:szCs w:val="18"/>
              </w:rPr>
              <w:t xml:space="preserve">Copia del nombre del producto, para que la reimpresión del comprobante sea fiel al original.</w:t>
            </w:r>
          </w:p>
        </w:tc>
      </w:tr>
    </w:tbl>
    <w:p>
      <w:pPr>
        <w:spacing w:after="90"/>
      </w:pPr>
      <w:r>
        <w:t xml:space="preserve"/>
      </w:r>
    </w:p>
    <w:p>
      <w:pPr>
        <w:pStyle w:val="Heading3"/>
        <w:spacing w:after="60" w:before="200"/>
      </w:pPr>
      <w:r>
        <w:rPr>
          <w:b/>
          <w:bCs/>
          <w:color w:val="333333"/>
          <w:sz w:val="20"/>
          <w:szCs w:val="20"/>
        </w:rPr>
        <w:t xml:space="preserve">venta_pago</w:t>
      </w:r>
    </w:p>
    <w:p>
      <w:pPr>
        <w:spacing w:after="110" w:before="40" w:line="288"/>
        <w:jc w:val="both"/>
      </w:pPr>
      <w:r>
        <w:rPr>
          <w:color w:val="222222"/>
          <w:sz w:val="20"/>
          <w:szCs w:val="20"/>
        </w:rPr>
        <w:t xml:space="preserve">Medios de pago aplicados a una venta, con su moneda original y su equivalente en dólares.</w:t>
      </w:r>
    </w:p>
    <w:p>
      <w:pPr>
        <w:pStyle w:val="Heading3"/>
        <w:spacing w:after="60" w:before="200"/>
      </w:pPr>
      <w:r>
        <w:rPr>
          <w:b/>
          <w:bCs/>
          <w:color w:val="333333"/>
          <w:sz w:val="20"/>
          <w:szCs w:val="20"/>
        </w:rPr>
        <w:t xml:space="preserve">gasto_operativo</w:t>
      </w:r>
    </w:p>
    <w:p>
      <w:pPr>
        <w:spacing w:after="110" w:before="40" w:line="288"/>
        <w:jc w:val="both"/>
      </w:pPr>
      <w:r>
        <w:rPr>
          <w:color w:val="222222"/>
          <w:sz w:val="20"/>
          <w:szCs w:val="20"/>
        </w:rPr>
        <w:t xml:space="preserve">Gastos fijos del negocio, asociados a un período mensual.</w:t>
      </w:r>
    </w:p>
    <w:p>
      <w:pPr>
        <w:pStyle w:val="Heading3"/>
        <w:spacing w:after="60" w:before="200"/>
      </w:pPr>
      <w:r>
        <w:rPr>
          <w:b/>
          <w:bCs/>
          <w:color w:val="333333"/>
          <w:sz w:val="20"/>
          <w:szCs w:val="20"/>
        </w:rPr>
        <w:t xml:space="preserve">configuracion</w:t>
      </w:r>
    </w:p>
    <w:p>
      <w:pPr>
        <w:spacing w:after="110" w:before="40" w:line="288"/>
        <w:jc w:val="both"/>
      </w:pPr>
      <w:r>
        <w:rPr>
          <w:color w:val="222222"/>
          <w:sz w:val="20"/>
          <w:szCs w:val="20"/>
        </w:rPr>
        <w:t xml:space="preserve">Parámetros del sistema: datos fiscales, redondeo, ruta de respaldo y días de alerta por defecto.</w:t>
      </w:r>
    </w:p>
    <w:p>
      <w:pPr>
        <w:pStyle w:val="Heading3"/>
        <w:spacing w:after="60" w:before="200"/>
      </w:pPr>
      <w:r>
        <w:rPr>
          <w:b/>
          <w:bCs/>
          <w:color w:val="333333"/>
          <w:sz w:val="20"/>
          <w:szCs w:val="20"/>
        </w:rPr>
        <w:t xml:space="preserve">auditoria</w:t>
      </w:r>
    </w:p>
    <w:p>
      <w:pPr>
        <w:spacing w:after="110" w:before="40" w:line="288"/>
        <w:jc w:val="both"/>
      </w:pPr>
      <w:r>
        <w:rPr>
          <w:color w:val="222222"/>
          <w:sz w:val="20"/>
          <w:szCs w:val="20"/>
        </w:rPr>
        <w:t xml:space="preserve">Bitácora de operaciones sensibles: anulaciones, ajustes, cambios de precio y de usuarios.</w:t>
      </w:r>
    </w:p>
    <w:p>
      <w:pPr>
        <w:pStyle w:val="Heading3"/>
        <w:spacing w:after="60" w:before="200"/>
      </w:pPr>
      <w:r>
        <w:rPr>
          <w:b/>
          <w:bCs/>
          <w:color w:val="333333"/>
          <w:sz w:val="20"/>
          <w:szCs w:val="20"/>
        </w:rPr>
        <w:t xml:space="preserve">respaldo</w:t>
      </w:r>
    </w:p>
    <w:p>
      <w:pPr>
        <w:spacing w:after="110" w:before="40" w:line="288"/>
        <w:jc w:val="both"/>
      </w:pPr>
      <w:r>
        <w:rPr>
          <w:color w:val="222222"/>
          <w:sz w:val="20"/>
          <w:szCs w:val="20"/>
        </w:rPr>
        <w:t xml:space="preserve">Historial de respaldos ejecutados, con su resultado.</w:t>
      </w:r>
    </w:p>
    <w:p>
      <w:r>
        <w:br w:type="page"/>
      </w:r>
    </w:p>
    <w:p>
      <w:pPr>
        <w:pStyle w:val="Heading1"/>
        <w:shd w:fill="212121" w:color="auto" w:val="clear"/>
        <w:spacing w:after="150" w:before="320"/>
        <w:ind w:left="100" w:right="100"/>
      </w:pPr>
      <w:r>
        <w:rPr>
          <w:b/>
          <w:bCs/>
          <w:color w:val="FFFFFF"/>
          <w:sz w:val="24"/>
          <w:szCs w:val="24"/>
        </w:rPr>
        <w:t xml:space="preserve">4. ÍNDICES Y RESTRICCIONES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2200"/>
        <w:gridCol w:w="3560"/>
        <w:gridCol w:w="3600"/>
      </w:tblGrid>
      <w:tr>
        <w:trPr>
          <w:tblHeader/>
        </w:trPr>
        <w:tc>
          <w:tcPr>
            <w:tcW w:type="dxa" w:w="2200"/>
            <w:shd w:fill="212121" w:color="auto" w:val="clear"/>
            <w:tcMar>
              <w:top w:type="dxa" w:w="80"/>
              <w:left w:type="dxa" w:w="120"/>
              <w:bottom w:type="dxa" w:w="80"/>
              <w:right w:type="dxa" w:w="120"/>
            </w:tcMar>
          </w:tcPr>
          <w:p>
            <w:r>
              <w:rPr>
                <w:b/>
                <w:bCs/>
                <w:color w:val="FFFFFF"/>
                <w:sz w:val="18"/>
                <w:szCs w:val="18"/>
              </w:rPr>
              <w:t xml:space="preserve">Tabla</w:t>
            </w:r>
          </w:p>
        </w:tc>
        <w:tc>
          <w:tcPr>
            <w:tcW w:type="dxa" w:w="3560"/>
            <w:shd w:fill="212121" w:color="auto" w:val="clear"/>
            <w:tcMar>
              <w:top w:type="dxa" w:w="80"/>
              <w:left w:type="dxa" w:w="120"/>
              <w:bottom w:type="dxa" w:w="80"/>
              <w:right w:type="dxa" w:w="120"/>
            </w:tcMar>
          </w:tcPr>
          <w:p>
            <w:r>
              <w:rPr>
                <w:b/>
                <w:bCs/>
                <w:color w:val="FFFFFF"/>
                <w:sz w:val="18"/>
                <w:szCs w:val="18"/>
              </w:rPr>
              <w:t xml:space="preserve">Índice o restricción</w:t>
            </w:r>
          </w:p>
        </w:tc>
        <w:tc>
          <w:tcPr>
            <w:tcW w:type="dxa" w:w="3600"/>
            <w:shd w:fill="212121" w:color="auto" w:val="clear"/>
            <w:tcMar>
              <w:top w:type="dxa" w:w="80"/>
              <w:left w:type="dxa" w:w="120"/>
              <w:bottom w:type="dxa" w:w="80"/>
              <w:right w:type="dxa" w:w="120"/>
            </w:tcMar>
          </w:tcPr>
          <w:p>
            <w:r>
              <w:rPr>
                <w:b/>
                <w:bCs/>
                <w:color w:val="FFFFFF"/>
                <w:sz w:val="18"/>
                <w:szCs w:val="18"/>
              </w:rPr>
              <w:t xml:space="preserve">Motivo</w:t>
            </w:r>
          </w:p>
        </w:tc>
      </w:tr>
      <w:tr>
        <w:trPr>
          <w:tblHeader w:val="false"/>
        </w:trPr>
        <w:tc>
          <w:tcPr>
            <w:tcW w:type="dxa" w:w="2200"/>
            <w:tcMar>
              <w:top w:type="dxa" w:w="80"/>
              <w:left w:type="dxa" w:w="120"/>
              <w:bottom w:type="dxa" w:w="80"/>
              <w:right w:type="dxa" w:w="120"/>
            </w:tcMar>
          </w:tcPr>
          <w:p>
            <w:r>
              <w:rPr>
                <w:color w:val="222222"/>
                <w:sz w:val="18"/>
                <w:szCs w:val="18"/>
              </w:rPr>
              <w:t xml:space="preserve">producto</w:t>
            </w:r>
          </w:p>
        </w:tc>
        <w:tc>
          <w:tcPr>
            <w:tcW w:type="dxa" w:w="3560"/>
            <w:tcMar>
              <w:top w:type="dxa" w:w="80"/>
              <w:left w:type="dxa" w:w="120"/>
              <w:bottom w:type="dxa" w:w="80"/>
              <w:right w:type="dxa" w:w="120"/>
            </w:tcMar>
          </w:tcPr>
          <w:p>
            <w:r>
              <w:rPr>
                <w:b w:val="false"/>
                <w:bCs w:val="false"/>
                <w:color w:val="222222"/>
                <w:sz w:val="18"/>
                <w:szCs w:val="18"/>
              </w:rPr>
              <w:t xml:space="preserve">Índice único sobre codigo_barras, admitiendo nulos</w:t>
            </w:r>
          </w:p>
        </w:tc>
        <w:tc>
          <w:tcPr>
            <w:tcW w:type="dxa" w:w="3600"/>
            <w:tcMar>
              <w:top w:type="dxa" w:w="80"/>
              <w:left w:type="dxa" w:w="120"/>
              <w:bottom w:type="dxa" w:w="80"/>
              <w:right w:type="dxa" w:w="120"/>
            </w:tcMar>
          </w:tcPr>
          <w:p>
            <w:r>
              <w:rPr>
                <w:b w:val="false"/>
                <w:bCs w:val="false"/>
                <w:color w:val="222222"/>
                <w:sz w:val="18"/>
                <w:szCs w:val="18"/>
              </w:rPr>
              <w:t xml:space="preserve">Lectura inmediata en caja; los productos sin código no lo tienen.</w:t>
            </w:r>
          </w:p>
        </w:tc>
      </w:tr>
      <w:tr>
        <w:trPr>
          <w:tblHeader w:val="false"/>
        </w:trPr>
        <w:tc>
          <w:tcPr>
            <w:tcW w:type="dxa" w:w="2200"/>
            <w:tcMar>
              <w:top w:type="dxa" w:w="80"/>
              <w:left w:type="dxa" w:w="120"/>
              <w:bottom w:type="dxa" w:w="80"/>
              <w:right w:type="dxa" w:w="120"/>
            </w:tcMar>
          </w:tcPr>
          <w:p>
            <w:r>
              <w:rPr>
                <w:color w:val="222222"/>
                <w:sz w:val="18"/>
                <w:szCs w:val="18"/>
              </w:rPr>
              <w:t xml:space="preserve">producto</w:t>
            </w:r>
          </w:p>
        </w:tc>
        <w:tc>
          <w:tcPr>
            <w:tcW w:type="dxa" w:w="3560"/>
            <w:tcMar>
              <w:top w:type="dxa" w:w="80"/>
              <w:left w:type="dxa" w:w="120"/>
              <w:bottom w:type="dxa" w:w="80"/>
              <w:right w:type="dxa" w:w="120"/>
            </w:tcMar>
          </w:tcPr>
          <w:p>
            <w:r>
              <w:rPr>
                <w:b w:val="false"/>
                <w:bCs w:val="false"/>
                <w:color w:val="222222"/>
                <w:sz w:val="18"/>
                <w:szCs w:val="18"/>
              </w:rPr>
              <w:t xml:space="preserve">Índice sobre nombre</w:t>
            </w:r>
          </w:p>
        </w:tc>
        <w:tc>
          <w:tcPr>
            <w:tcW w:type="dxa" w:w="3600"/>
            <w:tcMar>
              <w:top w:type="dxa" w:w="80"/>
              <w:left w:type="dxa" w:w="120"/>
              <w:bottom w:type="dxa" w:w="80"/>
              <w:right w:type="dxa" w:w="120"/>
            </w:tcMar>
          </w:tcPr>
          <w:p>
            <w:r>
              <w:rPr>
                <w:b w:val="false"/>
                <w:bCs w:val="false"/>
                <w:color w:val="222222"/>
                <w:sz w:val="18"/>
                <w:szCs w:val="18"/>
              </w:rPr>
              <w:t xml:space="preserve">Búsqueda parcial por nombre en el punto de venta.</w:t>
            </w:r>
          </w:p>
        </w:tc>
      </w:tr>
      <w:tr>
        <w:trPr>
          <w:tblHeader w:val="false"/>
        </w:trPr>
        <w:tc>
          <w:tcPr>
            <w:tcW w:type="dxa" w:w="2200"/>
            <w:tcMar>
              <w:top w:type="dxa" w:w="80"/>
              <w:left w:type="dxa" w:w="120"/>
              <w:bottom w:type="dxa" w:w="80"/>
              <w:right w:type="dxa" w:w="120"/>
            </w:tcMar>
          </w:tcPr>
          <w:p>
            <w:r>
              <w:rPr>
                <w:color w:val="222222"/>
                <w:sz w:val="18"/>
                <w:szCs w:val="18"/>
              </w:rPr>
              <w:t xml:space="preserve">tasa_cambio</w:t>
            </w:r>
          </w:p>
        </w:tc>
        <w:tc>
          <w:tcPr>
            <w:tcW w:type="dxa" w:w="3560"/>
            <w:tcMar>
              <w:top w:type="dxa" w:w="80"/>
              <w:left w:type="dxa" w:w="120"/>
              <w:bottom w:type="dxa" w:w="80"/>
              <w:right w:type="dxa" w:w="120"/>
            </w:tcMar>
          </w:tcPr>
          <w:p>
            <w:r>
              <w:rPr>
                <w:b w:val="false"/>
                <w:bCs w:val="false"/>
                <w:color w:val="222222"/>
                <w:sz w:val="18"/>
                <w:szCs w:val="18"/>
              </w:rPr>
              <w:t xml:space="preserve">Índice único sobre fecha</w:t>
            </w:r>
          </w:p>
        </w:tc>
        <w:tc>
          <w:tcPr>
            <w:tcW w:type="dxa" w:w="3600"/>
            <w:tcMar>
              <w:top w:type="dxa" w:w="80"/>
              <w:left w:type="dxa" w:w="120"/>
              <w:bottom w:type="dxa" w:w="80"/>
              <w:right w:type="dxa" w:w="120"/>
            </w:tcMar>
          </w:tcPr>
          <w:p>
            <w:r>
              <w:rPr>
                <w:b w:val="false"/>
                <w:bCs w:val="false"/>
                <w:color w:val="222222"/>
                <w:sz w:val="18"/>
                <w:szCs w:val="18"/>
              </w:rPr>
              <w:t xml:space="preserve">Garantiza una sola tasa por día.</w:t>
            </w:r>
          </w:p>
        </w:tc>
      </w:tr>
      <w:tr>
        <w:trPr>
          <w:tblHeader w:val="false"/>
        </w:trPr>
        <w:tc>
          <w:tcPr>
            <w:tcW w:type="dxa" w:w="2200"/>
            <w:tcMar>
              <w:top w:type="dxa" w:w="80"/>
              <w:left w:type="dxa" w:w="120"/>
              <w:bottom w:type="dxa" w:w="80"/>
              <w:right w:type="dxa" w:w="120"/>
            </w:tcMar>
          </w:tcPr>
          <w:p>
            <w:r>
              <w:rPr>
                <w:color w:val="222222"/>
                <w:sz w:val="18"/>
                <w:szCs w:val="18"/>
              </w:rPr>
              <w:t xml:space="preserve">movimiento_inventario</w:t>
            </w:r>
          </w:p>
        </w:tc>
        <w:tc>
          <w:tcPr>
            <w:tcW w:type="dxa" w:w="3560"/>
            <w:tcMar>
              <w:top w:type="dxa" w:w="80"/>
              <w:left w:type="dxa" w:w="120"/>
              <w:bottom w:type="dxa" w:w="80"/>
              <w:right w:type="dxa" w:w="120"/>
            </w:tcMar>
          </w:tcPr>
          <w:p>
            <w:r>
              <w:rPr>
                <w:b w:val="false"/>
                <w:bCs w:val="false"/>
                <w:color w:val="222222"/>
                <w:sz w:val="18"/>
                <w:szCs w:val="18"/>
              </w:rPr>
              <w:t xml:space="preserve">Índice compuesto sobre producto_id y fecha_hora</w:t>
            </w:r>
          </w:p>
        </w:tc>
        <w:tc>
          <w:tcPr>
            <w:tcW w:type="dxa" w:w="3600"/>
            <w:tcMar>
              <w:top w:type="dxa" w:w="80"/>
              <w:left w:type="dxa" w:w="120"/>
              <w:bottom w:type="dxa" w:w="80"/>
              <w:right w:type="dxa" w:w="120"/>
            </w:tcMar>
          </w:tcPr>
          <w:p>
            <w:r>
              <w:rPr>
                <w:b w:val="false"/>
                <w:bCs w:val="false"/>
                <w:color w:val="222222"/>
                <w:sz w:val="18"/>
                <w:szCs w:val="18"/>
              </w:rPr>
              <w:t xml:space="preserve">Cálculo de existencias y kardex por período.</w:t>
            </w:r>
          </w:p>
        </w:tc>
      </w:tr>
      <w:tr>
        <w:trPr>
          <w:tblHeader w:val="false"/>
        </w:trPr>
        <w:tc>
          <w:tcPr>
            <w:tcW w:type="dxa" w:w="2200"/>
            <w:tcMar>
              <w:top w:type="dxa" w:w="80"/>
              <w:left w:type="dxa" w:w="120"/>
              <w:bottom w:type="dxa" w:w="80"/>
              <w:right w:type="dxa" w:w="120"/>
            </w:tcMar>
          </w:tcPr>
          <w:p>
            <w:r>
              <w:rPr>
                <w:color w:val="222222"/>
                <w:sz w:val="18"/>
                <w:szCs w:val="18"/>
              </w:rPr>
              <w:t xml:space="preserve">movimiento_inventario</w:t>
            </w:r>
          </w:p>
        </w:tc>
        <w:tc>
          <w:tcPr>
            <w:tcW w:type="dxa" w:w="3560"/>
            <w:tcMar>
              <w:top w:type="dxa" w:w="80"/>
              <w:left w:type="dxa" w:w="120"/>
              <w:bottom w:type="dxa" w:w="80"/>
              <w:right w:type="dxa" w:w="120"/>
            </w:tcMar>
          </w:tcPr>
          <w:p>
            <w:r>
              <w:rPr>
                <w:b w:val="false"/>
                <w:bCs w:val="false"/>
                <w:color w:val="222222"/>
                <w:sz w:val="18"/>
                <w:szCs w:val="18"/>
              </w:rPr>
              <w:t xml:space="preserve">Índice sobre referencia_tipo y referencia_id</w:t>
            </w:r>
          </w:p>
        </w:tc>
        <w:tc>
          <w:tcPr>
            <w:tcW w:type="dxa" w:w="3600"/>
            <w:tcMar>
              <w:top w:type="dxa" w:w="80"/>
              <w:left w:type="dxa" w:w="120"/>
              <w:bottom w:type="dxa" w:w="80"/>
              <w:right w:type="dxa" w:w="120"/>
            </w:tcMar>
          </w:tcPr>
          <w:p>
            <w:r>
              <w:rPr>
                <w:b w:val="false"/>
                <w:bCs w:val="false"/>
                <w:color w:val="222222"/>
                <w:sz w:val="18"/>
                <w:szCs w:val="18"/>
              </w:rPr>
              <w:t xml:space="preserve">Localización de los movimientos de una operación al anularla.</w:t>
            </w:r>
          </w:p>
        </w:tc>
      </w:tr>
      <w:tr>
        <w:trPr>
          <w:tblHeader w:val="false"/>
        </w:trPr>
        <w:tc>
          <w:tcPr>
            <w:tcW w:type="dxa" w:w="2200"/>
            <w:tcMar>
              <w:top w:type="dxa" w:w="80"/>
              <w:left w:type="dxa" w:w="120"/>
              <w:bottom w:type="dxa" w:w="80"/>
              <w:right w:type="dxa" w:w="120"/>
            </w:tcMar>
          </w:tcPr>
          <w:p>
            <w:r>
              <w:rPr>
                <w:color w:val="222222"/>
                <w:sz w:val="18"/>
                <w:szCs w:val="18"/>
              </w:rPr>
              <w:t xml:space="preserve">venta</w:t>
            </w:r>
          </w:p>
        </w:tc>
        <w:tc>
          <w:tcPr>
            <w:tcW w:type="dxa" w:w="3560"/>
            <w:tcMar>
              <w:top w:type="dxa" w:w="80"/>
              <w:left w:type="dxa" w:w="120"/>
              <w:bottom w:type="dxa" w:w="80"/>
              <w:right w:type="dxa" w:w="120"/>
            </w:tcMar>
          </w:tcPr>
          <w:p>
            <w:r>
              <w:rPr>
                <w:b w:val="false"/>
                <w:bCs w:val="false"/>
                <w:color w:val="222222"/>
                <w:sz w:val="18"/>
                <w:szCs w:val="18"/>
              </w:rPr>
              <w:t xml:space="preserve">Índice único sobre numero</w:t>
            </w:r>
          </w:p>
        </w:tc>
        <w:tc>
          <w:tcPr>
            <w:tcW w:type="dxa" w:w="3600"/>
            <w:tcMar>
              <w:top w:type="dxa" w:w="80"/>
              <w:left w:type="dxa" w:w="120"/>
              <w:bottom w:type="dxa" w:w="80"/>
              <w:right w:type="dxa" w:w="120"/>
            </w:tcMar>
          </w:tcPr>
          <w:p>
            <w:r>
              <w:rPr>
                <w:b w:val="false"/>
                <w:bCs w:val="false"/>
                <w:color w:val="222222"/>
                <w:sz w:val="18"/>
                <w:szCs w:val="18"/>
              </w:rPr>
              <w:t xml:space="preserve">Correlativo irrepetible.</w:t>
            </w:r>
          </w:p>
        </w:tc>
      </w:tr>
      <w:tr>
        <w:trPr>
          <w:tblHeader w:val="false"/>
        </w:trPr>
        <w:tc>
          <w:tcPr>
            <w:tcW w:type="dxa" w:w="2200"/>
            <w:tcMar>
              <w:top w:type="dxa" w:w="80"/>
              <w:left w:type="dxa" w:w="120"/>
              <w:bottom w:type="dxa" w:w="80"/>
              <w:right w:type="dxa" w:w="120"/>
            </w:tcMar>
          </w:tcPr>
          <w:p>
            <w:r>
              <w:rPr>
                <w:color w:val="222222"/>
                <w:sz w:val="18"/>
                <w:szCs w:val="18"/>
              </w:rPr>
              <w:t xml:space="preserve">venta</w:t>
            </w:r>
          </w:p>
        </w:tc>
        <w:tc>
          <w:tcPr>
            <w:tcW w:type="dxa" w:w="3560"/>
            <w:tcMar>
              <w:top w:type="dxa" w:w="80"/>
              <w:left w:type="dxa" w:w="120"/>
              <w:bottom w:type="dxa" w:w="80"/>
              <w:right w:type="dxa" w:w="120"/>
            </w:tcMar>
          </w:tcPr>
          <w:p>
            <w:r>
              <w:rPr>
                <w:b w:val="false"/>
                <w:bCs w:val="false"/>
                <w:color w:val="222222"/>
                <w:sz w:val="18"/>
                <w:szCs w:val="18"/>
              </w:rPr>
              <w:t xml:space="preserve">Índice sobre fecha_hora</w:t>
            </w:r>
          </w:p>
        </w:tc>
        <w:tc>
          <w:tcPr>
            <w:tcW w:type="dxa" w:w="3600"/>
            <w:tcMar>
              <w:top w:type="dxa" w:w="80"/>
              <w:left w:type="dxa" w:w="120"/>
              <w:bottom w:type="dxa" w:w="80"/>
              <w:right w:type="dxa" w:w="120"/>
            </w:tcMar>
          </w:tcPr>
          <w:p>
            <w:r>
              <w:rPr>
                <w:b w:val="false"/>
                <w:bCs w:val="false"/>
                <w:color w:val="222222"/>
                <w:sz w:val="18"/>
                <w:szCs w:val="18"/>
              </w:rPr>
              <w:t xml:space="preserve">Reportes por período y libro de ventas.</w:t>
            </w:r>
          </w:p>
        </w:tc>
      </w:tr>
      <w:tr>
        <w:trPr>
          <w:tblHeader w:val="false"/>
        </w:trPr>
        <w:tc>
          <w:tcPr>
            <w:tcW w:type="dxa" w:w="2200"/>
            <w:tcMar>
              <w:top w:type="dxa" w:w="80"/>
              <w:left w:type="dxa" w:w="120"/>
              <w:bottom w:type="dxa" w:w="80"/>
              <w:right w:type="dxa" w:w="120"/>
            </w:tcMar>
          </w:tcPr>
          <w:p>
            <w:r>
              <w:rPr>
                <w:color w:val="222222"/>
                <w:sz w:val="18"/>
                <w:szCs w:val="18"/>
              </w:rPr>
              <w:t xml:space="preserve">venta_detalle</w:t>
            </w:r>
          </w:p>
        </w:tc>
        <w:tc>
          <w:tcPr>
            <w:tcW w:type="dxa" w:w="3560"/>
            <w:tcMar>
              <w:top w:type="dxa" w:w="80"/>
              <w:left w:type="dxa" w:w="120"/>
              <w:bottom w:type="dxa" w:w="80"/>
              <w:right w:type="dxa" w:w="120"/>
            </w:tcMar>
          </w:tcPr>
          <w:p>
            <w:r>
              <w:rPr>
                <w:b w:val="false"/>
                <w:bCs w:val="false"/>
                <w:color w:val="222222"/>
                <w:sz w:val="18"/>
                <w:szCs w:val="18"/>
              </w:rPr>
              <w:t xml:space="preserve">Índice sobre producto_id</w:t>
            </w:r>
          </w:p>
        </w:tc>
        <w:tc>
          <w:tcPr>
            <w:tcW w:type="dxa" w:w="3600"/>
            <w:tcMar>
              <w:top w:type="dxa" w:w="80"/>
              <w:left w:type="dxa" w:w="120"/>
              <w:bottom w:type="dxa" w:w="80"/>
              <w:right w:type="dxa" w:w="120"/>
            </w:tcMar>
          </w:tcPr>
          <w:p>
            <w:r>
              <w:rPr>
                <w:b w:val="false"/>
                <w:bCs w:val="false"/>
                <w:color w:val="222222"/>
                <w:sz w:val="18"/>
                <w:szCs w:val="18"/>
              </w:rPr>
              <w:t xml:space="preserve">Reporte de ganancia y rotación por producto.</w:t>
            </w:r>
          </w:p>
        </w:tc>
      </w:tr>
      <w:tr>
        <w:trPr>
          <w:tblHeader w:val="false"/>
        </w:trPr>
        <w:tc>
          <w:tcPr>
            <w:tcW w:type="dxa" w:w="2200"/>
            <w:tcMar>
              <w:top w:type="dxa" w:w="80"/>
              <w:left w:type="dxa" w:w="120"/>
              <w:bottom w:type="dxa" w:w="80"/>
              <w:right w:type="dxa" w:w="120"/>
            </w:tcMar>
          </w:tcPr>
          <w:p>
            <w:r>
              <w:rPr>
                <w:color w:val="222222"/>
                <w:sz w:val="18"/>
                <w:szCs w:val="18"/>
              </w:rPr>
              <w:t xml:space="preserve">lote</w:t>
            </w:r>
          </w:p>
        </w:tc>
        <w:tc>
          <w:tcPr>
            <w:tcW w:type="dxa" w:w="3560"/>
            <w:tcMar>
              <w:top w:type="dxa" w:w="80"/>
              <w:left w:type="dxa" w:w="120"/>
              <w:bottom w:type="dxa" w:w="80"/>
              <w:right w:type="dxa" w:w="120"/>
            </w:tcMar>
          </w:tcPr>
          <w:p>
            <w:r>
              <w:rPr>
                <w:b w:val="false"/>
                <w:bCs w:val="false"/>
                <w:color w:val="222222"/>
                <w:sz w:val="18"/>
                <w:szCs w:val="18"/>
              </w:rPr>
              <w:t xml:space="preserve">Índice sobre producto_id y fecha_vencimiento</w:t>
            </w:r>
          </w:p>
        </w:tc>
        <w:tc>
          <w:tcPr>
            <w:tcW w:type="dxa" w:w="3600"/>
            <w:tcMar>
              <w:top w:type="dxa" w:w="80"/>
              <w:left w:type="dxa" w:w="120"/>
              <w:bottom w:type="dxa" w:w="80"/>
              <w:right w:type="dxa" w:w="120"/>
            </w:tcMar>
          </w:tcPr>
          <w:p>
            <w:r>
              <w:rPr>
                <w:b w:val="false"/>
                <w:bCs w:val="false"/>
                <w:color w:val="222222"/>
                <w:sz w:val="18"/>
                <w:szCs w:val="18"/>
              </w:rPr>
              <w:t xml:space="preserve">Selección del lote más próximo a vencer y alertas.</w:t>
            </w:r>
          </w:p>
        </w:tc>
      </w:tr>
      <w:tr>
        <w:trPr>
          <w:tblHeader w:val="false"/>
        </w:trPr>
        <w:tc>
          <w:tcPr>
            <w:tcW w:type="dxa" w:w="2200"/>
            <w:tcMar>
              <w:top w:type="dxa" w:w="80"/>
              <w:left w:type="dxa" w:w="120"/>
              <w:bottom w:type="dxa" w:w="80"/>
              <w:right w:type="dxa" w:w="120"/>
            </w:tcMar>
          </w:tcPr>
          <w:p>
            <w:r>
              <w:rPr>
                <w:color w:val="222222"/>
                <w:sz w:val="18"/>
                <w:szCs w:val="18"/>
              </w:rPr>
              <w:t xml:space="preserve">compra_detalle</w:t>
            </w:r>
          </w:p>
        </w:tc>
        <w:tc>
          <w:tcPr>
            <w:tcW w:type="dxa" w:w="3560"/>
            <w:tcMar>
              <w:top w:type="dxa" w:w="80"/>
              <w:left w:type="dxa" w:w="120"/>
              <w:bottom w:type="dxa" w:w="80"/>
              <w:right w:type="dxa" w:w="120"/>
            </w:tcMar>
          </w:tcPr>
          <w:p>
            <w:r>
              <w:rPr>
                <w:b w:val="false"/>
                <w:bCs w:val="false"/>
                <w:color w:val="222222"/>
                <w:sz w:val="18"/>
                <w:szCs w:val="18"/>
              </w:rPr>
              <w:t xml:space="preserve">Índice sobre producto_id</w:t>
            </w:r>
          </w:p>
        </w:tc>
        <w:tc>
          <w:tcPr>
            <w:tcW w:type="dxa" w:w="3600"/>
            <w:tcMar>
              <w:top w:type="dxa" w:w="80"/>
              <w:left w:type="dxa" w:w="120"/>
              <w:bottom w:type="dxa" w:w="80"/>
              <w:right w:type="dxa" w:w="120"/>
            </w:tcMar>
          </w:tcPr>
          <w:p>
            <w:r>
              <w:rPr>
                <w:b w:val="false"/>
                <w:bCs w:val="false"/>
                <w:color w:val="222222"/>
                <w:sz w:val="18"/>
                <w:szCs w:val="18"/>
              </w:rPr>
              <w:t xml:space="preserve">Determinación del último costo.</w:t>
            </w:r>
          </w:p>
        </w:tc>
      </w:tr>
    </w:tbl>
    <w:p>
      <w:pPr>
        <w:pStyle w:val="Heading2"/>
        <w:pBdr>
          <w:bottom w:val="single" w:color="E0D8D0" w:sz="4" w:space="4"/>
        </w:pBdr>
        <w:spacing w:after="100" w:before="280"/>
      </w:pPr>
      <w:r>
        <w:rPr>
          <w:b/>
          <w:bCs/>
          <w:color w:val="D2590B"/>
          <w:sz w:val="21"/>
          <w:szCs w:val="21"/>
        </w:rPr>
        <w:t xml:space="preserve">Reglas de integridad</w:t>
      </w:r>
    </w:p>
    <w:p>
      <w:pPr>
        <w:pStyle w:val="ListParagraph"/>
        <w:numPr>
          <w:ilvl w:val="0"/>
          <w:numId w:val="2"/>
        </w:numPr>
        <w:spacing w:after="40" w:before="40" w:line="276"/>
        <w:jc w:val="both"/>
      </w:pPr>
      <w:r>
        <w:rPr>
          <w:sz w:val="20"/>
          <w:szCs w:val="20"/>
        </w:rPr>
        <w:t xml:space="preserve">Ninguna tabla de operaciones admite borrado físico. Las correcciones se registran como operaciones inversas.</w:t>
      </w:r>
    </w:p>
    <w:p>
      <w:pPr>
        <w:pStyle w:val="ListParagraph"/>
        <w:numPr>
          <w:ilvl w:val="0"/>
          <w:numId w:val="2"/>
        </w:numPr>
        <w:spacing w:after="40" w:before="40" w:line="276"/>
        <w:jc w:val="both"/>
      </w:pPr>
      <w:r>
        <w:rPr>
          <w:sz w:val="20"/>
          <w:szCs w:val="20"/>
        </w:rPr>
        <w:t xml:space="preserve">Las claves foráneas se declaran con restricción de borrado, de modo que la base rechace la eliminación de registros referenciados.</w:t>
      </w:r>
    </w:p>
    <w:p>
      <w:pPr>
        <w:pStyle w:val="ListParagraph"/>
        <w:numPr>
          <w:ilvl w:val="0"/>
          <w:numId w:val="2"/>
        </w:numPr>
        <w:spacing w:after="40" w:before="40" w:line="276"/>
        <w:jc w:val="both"/>
      </w:pPr>
      <w:r>
        <w:rPr>
          <w:sz w:val="20"/>
          <w:szCs w:val="20"/>
        </w:rPr>
        <w:t xml:space="preserve">La cantidad de un movimiento nunca puede ser cero.</w:t>
      </w:r>
    </w:p>
    <w:p>
      <w:pPr>
        <w:pStyle w:val="ListParagraph"/>
        <w:numPr>
          <w:ilvl w:val="0"/>
          <w:numId w:val="2"/>
        </w:numPr>
        <w:spacing w:after="40" w:before="40" w:line="276"/>
        <w:jc w:val="both"/>
      </w:pPr>
      <w:r>
        <w:rPr>
          <w:sz w:val="20"/>
          <w:szCs w:val="20"/>
        </w:rPr>
        <w:t xml:space="preserve">El total de una venta debe coincidir con la suma de sus líneas; se verifica antes de confirmar.</w:t>
      </w:r>
    </w:p>
    <w:p>
      <w:pPr>
        <w:pStyle w:val="ListParagraph"/>
        <w:numPr>
          <w:ilvl w:val="0"/>
          <w:numId w:val="2"/>
        </w:numPr>
        <w:spacing w:after="40" w:before="40" w:line="276"/>
        <w:jc w:val="both"/>
      </w:pPr>
      <w:r>
        <w:rPr>
          <w:sz w:val="20"/>
          <w:szCs w:val="20"/>
        </w:rPr>
        <w:t xml:space="preserve">La suma de los pagos convertidos a dólares debe ser mayor o igual al total de la venta.</w:t>
      </w:r>
    </w:p>
    <w:p>
      <w:pPr>
        <w:pStyle w:val="ListParagraph"/>
        <w:numPr>
          <w:ilvl w:val="0"/>
          <w:numId w:val="2"/>
        </w:numPr>
        <w:spacing w:after="40" w:before="40" w:line="276"/>
        <w:jc w:val="both"/>
      </w:pPr>
      <w:r>
        <w:rPr>
          <w:sz w:val="20"/>
          <w:szCs w:val="20"/>
        </w:rPr>
        <w:t xml:space="preserve">Una sesión de caja no puede tener dos aperturas simultáneas.</w:t>
      </w:r>
    </w:p>
    <w:p>
      <w:pPr>
        <w:pStyle w:val="ListParagraph"/>
        <w:numPr>
          <w:ilvl w:val="0"/>
          <w:numId w:val="2"/>
        </w:numPr>
        <w:spacing w:after="40" w:before="40" w:line="276"/>
        <w:jc w:val="both"/>
      </w:pPr>
      <w:r>
        <w:rPr>
          <w:sz w:val="20"/>
          <w:szCs w:val="20"/>
        </w:rPr>
        <w:t xml:space="preserve">Un producto marcado con control de vencimiento no admite movimientos de entrada sin lote asociado.</w:t>
      </w:r>
    </w:p>
    <w:p>
      <w:pPr>
        <w:pStyle w:val="Heading1"/>
        <w:shd w:fill="212121" w:color="auto" w:val="clear"/>
        <w:spacing w:after="150" w:before="320"/>
        <w:ind w:left="100" w:right="100"/>
      </w:pPr>
      <w:r>
        <w:rPr>
          <w:b/>
          <w:bCs/>
          <w:color w:val="FFFFFF"/>
          <w:sz w:val="24"/>
          <w:szCs w:val="24"/>
        </w:rPr>
        <w:t xml:space="preserve">5. ESTIMACIÓN DE VOLUMEN</w:t>
      </w:r>
    </w:p>
    <w:p>
      <w:pPr>
        <w:spacing w:after="90" w:before="90" w:line="288"/>
        <w:jc w:val="both"/>
      </w:pPr>
      <w:r>
        <w:rPr>
          <w:color w:val="222222"/>
          <w:sz w:val="20"/>
          <w:szCs w:val="20"/>
        </w:rPr>
        <w:t xml:space="preserve">Los valores siguientes orientan las decisiones de indexación y de estrategia de respaldo. Corresponden a la operación prevista de un minimarket con una caja.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200"/>
        <w:gridCol w:w="3080"/>
        <w:gridCol w:w="3080"/>
      </w:tblGrid>
      <w:tr>
        <w:trPr>
          <w:tblHeader/>
        </w:trPr>
        <w:tc>
          <w:tcPr>
            <w:tcW w:type="dxa" w:w="3200"/>
            <w:shd w:fill="212121" w:color="auto" w:val="clear"/>
            <w:tcMar>
              <w:top w:type="dxa" w:w="80"/>
              <w:left w:type="dxa" w:w="120"/>
              <w:bottom w:type="dxa" w:w="80"/>
              <w:right w:type="dxa" w:w="120"/>
            </w:tcMar>
          </w:tcPr>
          <w:p>
            <w:r>
              <w:rPr>
                <w:b/>
                <w:bCs/>
                <w:color w:val="FFFFFF"/>
                <w:sz w:val="18"/>
                <w:szCs w:val="18"/>
              </w:rPr>
              <w:t xml:space="preserve">Tabla</w:t>
            </w:r>
          </w:p>
        </w:tc>
        <w:tc>
          <w:tcPr>
            <w:tcW w:type="dxa" w:w="3080"/>
            <w:shd w:fill="212121" w:color="auto" w:val="clear"/>
            <w:tcMar>
              <w:top w:type="dxa" w:w="80"/>
              <w:left w:type="dxa" w:w="120"/>
              <w:bottom w:type="dxa" w:w="80"/>
              <w:right w:type="dxa" w:w="120"/>
            </w:tcMar>
          </w:tcPr>
          <w:p>
            <w:r>
              <w:rPr>
                <w:b/>
                <w:bCs/>
                <w:color w:val="FFFFFF"/>
                <w:sz w:val="18"/>
                <w:szCs w:val="18"/>
              </w:rPr>
              <w:t xml:space="preserve">Volumen inicial</w:t>
            </w:r>
          </w:p>
        </w:tc>
        <w:tc>
          <w:tcPr>
            <w:tcW w:type="dxa" w:w="3080"/>
            <w:shd w:fill="212121" w:color="auto" w:val="clear"/>
            <w:tcMar>
              <w:top w:type="dxa" w:w="80"/>
              <w:left w:type="dxa" w:w="120"/>
              <w:bottom w:type="dxa" w:w="80"/>
              <w:right w:type="dxa" w:w="120"/>
            </w:tcMar>
          </w:tcPr>
          <w:p>
            <w:r>
              <w:rPr>
                <w:b/>
                <w:bCs/>
                <w:color w:val="FFFFFF"/>
                <w:sz w:val="18"/>
                <w:szCs w:val="18"/>
              </w:rPr>
              <w:t xml:space="preserve">Crecimiento anual estimado</w:t>
            </w:r>
          </w:p>
        </w:tc>
      </w:tr>
      <w:tr>
        <w:trPr>
          <w:tblHeader w:val="false"/>
        </w:trPr>
        <w:tc>
          <w:tcPr>
            <w:tcW w:type="dxa" w:w="3200"/>
            <w:tcMar>
              <w:top w:type="dxa" w:w="80"/>
              <w:left w:type="dxa" w:w="120"/>
              <w:bottom w:type="dxa" w:w="80"/>
              <w:right w:type="dxa" w:w="120"/>
            </w:tcMar>
          </w:tcPr>
          <w:p>
            <w:r>
              <w:rPr>
                <w:color w:val="222222"/>
                <w:sz w:val="18"/>
                <w:szCs w:val="18"/>
              </w:rPr>
              <w:t xml:space="preserve">producto</w:t>
            </w:r>
          </w:p>
        </w:tc>
        <w:tc>
          <w:tcPr>
            <w:tcW w:type="dxa" w:w="3080"/>
            <w:tcMar>
              <w:top w:type="dxa" w:w="80"/>
              <w:left w:type="dxa" w:w="120"/>
              <w:bottom w:type="dxa" w:w="80"/>
              <w:right w:type="dxa" w:w="120"/>
            </w:tcMar>
          </w:tcPr>
          <w:p>
            <w:r>
              <w:rPr>
                <w:b w:val="false"/>
                <w:bCs w:val="false"/>
                <w:color w:val="222222"/>
                <w:sz w:val="18"/>
                <w:szCs w:val="18"/>
              </w:rPr>
              <w:t xml:space="preserve">1.500 a 2.500 registros</w:t>
            </w:r>
          </w:p>
        </w:tc>
        <w:tc>
          <w:tcPr>
            <w:tcW w:type="dxa" w:w="3080"/>
            <w:tcMar>
              <w:top w:type="dxa" w:w="80"/>
              <w:left w:type="dxa" w:w="120"/>
              <w:bottom w:type="dxa" w:w="80"/>
              <w:right w:type="dxa" w:w="120"/>
            </w:tcMar>
          </w:tcPr>
          <w:p>
            <w:r>
              <w:rPr>
                <w:b w:val="false"/>
                <w:bCs w:val="false"/>
                <w:color w:val="222222"/>
                <w:sz w:val="18"/>
                <w:szCs w:val="18"/>
              </w:rPr>
              <w:t xml:space="preserve">Bajo</w:t>
            </w:r>
          </w:p>
        </w:tc>
      </w:tr>
      <w:tr>
        <w:trPr>
          <w:tblHeader w:val="false"/>
        </w:trPr>
        <w:tc>
          <w:tcPr>
            <w:tcW w:type="dxa" w:w="3200"/>
            <w:tcMar>
              <w:top w:type="dxa" w:w="80"/>
              <w:left w:type="dxa" w:w="120"/>
              <w:bottom w:type="dxa" w:w="80"/>
              <w:right w:type="dxa" w:w="120"/>
            </w:tcMar>
          </w:tcPr>
          <w:p>
            <w:r>
              <w:rPr>
                <w:color w:val="222222"/>
                <w:sz w:val="18"/>
                <w:szCs w:val="18"/>
              </w:rPr>
              <w:t xml:space="preserve">venta</w:t>
            </w:r>
          </w:p>
        </w:tc>
        <w:tc>
          <w:tcPr>
            <w:tcW w:type="dxa" w:w="3080"/>
            <w:tcMar>
              <w:top w:type="dxa" w:w="80"/>
              <w:left w:type="dxa" w:w="120"/>
              <w:bottom w:type="dxa" w:w="80"/>
              <w:right w:type="dxa" w:w="120"/>
            </w:tcMar>
          </w:tcPr>
          <w:p>
            <w:r>
              <w:rPr>
                <w:b w:val="false"/>
                <w:bCs w:val="false"/>
                <w:color w:val="222222"/>
                <w:sz w:val="18"/>
                <w:szCs w:val="18"/>
              </w:rPr>
              <w:t xml:space="preserve">—</w:t>
            </w:r>
          </w:p>
        </w:tc>
        <w:tc>
          <w:tcPr>
            <w:tcW w:type="dxa" w:w="3080"/>
            <w:tcMar>
              <w:top w:type="dxa" w:w="80"/>
              <w:left w:type="dxa" w:w="120"/>
              <w:bottom w:type="dxa" w:w="80"/>
              <w:right w:type="dxa" w:w="120"/>
            </w:tcMar>
          </w:tcPr>
          <w:p>
            <w:r>
              <w:rPr>
                <w:b w:val="false"/>
                <w:bCs w:val="false"/>
                <w:color w:val="222222"/>
                <w:sz w:val="18"/>
                <w:szCs w:val="18"/>
              </w:rPr>
              <w:t xml:space="preserve">60.000 a 110.000 registros</w:t>
            </w:r>
          </w:p>
        </w:tc>
      </w:tr>
      <w:tr>
        <w:trPr>
          <w:tblHeader w:val="false"/>
        </w:trPr>
        <w:tc>
          <w:tcPr>
            <w:tcW w:type="dxa" w:w="3200"/>
            <w:tcMar>
              <w:top w:type="dxa" w:w="80"/>
              <w:left w:type="dxa" w:w="120"/>
              <w:bottom w:type="dxa" w:w="80"/>
              <w:right w:type="dxa" w:w="120"/>
            </w:tcMar>
          </w:tcPr>
          <w:p>
            <w:r>
              <w:rPr>
                <w:color w:val="222222"/>
                <w:sz w:val="18"/>
                <w:szCs w:val="18"/>
              </w:rPr>
              <w:t xml:space="preserve">venta_detalle</w:t>
            </w:r>
          </w:p>
        </w:tc>
        <w:tc>
          <w:tcPr>
            <w:tcW w:type="dxa" w:w="3080"/>
            <w:tcMar>
              <w:top w:type="dxa" w:w="80"/>
              <w:left w:type="dxa" w:w="120"/>
              <w:bottom w:type="dxa" w:w="80"/>
              <w:right w:type="dxa" w:w="120"/>
            </w:tcMar>
          </w:tcPr>
          <w:p>
            <w:r>
              <w:rPr>
                <w:b w:val="false"/>
                <w:bCs w:val="false"/>
                <w:color w:val="222222"/>
                <w:sz w:val="18"/>
                <w:szCs w:val="18"/>
              </w:rPr>
              <w:t xml:space="preserve">—</w:t>
            </w:r>
          </w:p>
        </w:tc>
        <w:tc>
          <w:tcPr>
            <w:tcW w:type="dxa" w:w="3080"/>
            <w:tcMar>
              <w:top w:type="dxa" w:w="80"/>
              <w:left w:type="dxa" w:w="120"/>
              <w:bottom w:type="dxa" w:w="80"/>
              <w:right w:type="dxa" w:w="120"/>
            </w:tcMar>
          </w:tcPr>
          <w:p>
            <w:r>
              <w:rPr>
                <w:b w:val="false"/>
                <w:bCs w:val="false"/>
                <w:color w:val="222222"/>
                <w:sz w:val="18"/>
                <w:szCs w:val="18"/>
              </w:rPr>
              <w:t xml:space="preserve">300.000 a 600.000 registros</w:t>
            </w:r>
          </w:p>
        </w:tc>
      </w:tr>
      <w:tr>
        <w:trPr>
          <w:tblHeader w:val="false"/>
        </w:trPr>
        <w:tc>
          <w:tcPr>
            <w:tcW w:type="dxa" w:w="3200"/>
            <w:tcMar>
              <w:top w:type="dxa" w:w="80"/>
              <w:left w:type="dxa" w:w="120"/>
              <w:bottom w:type="dxa" w:w="80"/>
              <w:right w:type="dxa" w:w="120"/>
            </w:tcMar>
          </w:tcPr>
          <w:p>
            <w:r>
              <w:rPr>
                <w:color w:val="222222"/>
                <w:sz w:val="18"/>
                <w:szCs w:val="18"/>
              </w:rPr>
              <w:t xml:space="preserve">movimiento_inventario</w:t>
            </w:r>
          </w:p>
        </w:tc>
        <w:tc>
          <w:tcPr>
            <w:tcW w:type="dxa" w:w="3080"/>
            <w:tcMar>
              <w:top w:type="dxa" w:w="80"/>
              <w:left w:type="dxa" w:w="120"/>
              <w:bottom w:type="dxa" w:w="80"/>
              <w:right w:type="dxa" w:w="120"/>
            </w:tcMar>
          </w:tcPr>
          <w:p>
            <w:r>
              <w:rPr>
                <w:b w:val="false"/>
                <w:bCs w:val="false"/>
                <w:color w:val="222222"/>
                <w:sz w:val="18"/>
                <w:szCs w:val="18"/>
              </w:rPr>
              <w:t xml:space="preserve">2.500 (carga inicial)</w:t>
            </w:r>
          </w:p>
        </w:tc>
        <w:tc>
          <w:tcPr>
            <w:tcW w:type="dxa" w:w="3080"/>
            <w:tcMar>
              <w:top w:type="dxa" w:w="80"/>
              <w:left w:type="dxa" w:w="120"/>
              <w:bottom w:type="dxa" w:w="80"/>
              <w:right w:type="dxa" w:w="120"/>
            </w:tcMar>
          </w:tcPr>
          <w:p>
            <w:r>
              <w:rPr>
                <w:b w:val="false"/>
                <w:bCs w:val="false"/>
                <w:color w:val="222222"/>
                <w:sz w:val="18"/>
                <w:szCs w:val="18"/>
              </w:rPr>
              <w:t xml:space="preserve">350.000 a 700.000 registros</w:t>
            </w:r>
          </w:p>
        </w:tc>
      </w:tr>
      <w:tr>
        <w:trPr>
          <w:tblHeader w:val="false"/>
        </w:trPr>
        <w:tc>
          <w:tcPr>
            <w:tcW w:type="dxa" w:w="3200"/>
            <w:tcMar>
              <w:top w:type="dxa" w:w="80"/>
              <w:left w:type="dxa" w:w="120"/>
              <w:bottom w:type="dxa" w:w="80"/>
              <w:right w:type="dxa" w:w="120"/>
            </w:tcMar>
          </w:tcPr>
          <w:p>
            <w:r>
              <w:rPr>
                <w:color w:val="222222"/>
                <w:sz w:val="18"/>
                <w:szCs w:val="18"/>
              </w:rPr>
              <w:t xml:space="preserve">compra_detalle</w:t>
            </w:r>
          </w:p>
        </w:tc>
        <w:tc>
          <w:tcPr>
            <w:tcW w:type="dxa" w:w="3080"/>
            <w:tcMar>
              <w:top w:type="dxa" w:w="80"/>
              <w:left w:type="dxa" w:w="120"/>
              <w:bottom w:type="dxa" w:w="80"/>
              <w:right w:type="dxa" w:w="120"/>
            </w:tcMar>
          </w:tcPr>
          <w:p>
            <w:r>
              <w:rPr>
                <w:b w:val="false"/>
                <w:bCs w:val="false"/>
                <w:color w:val="222222"/>
                <w:sz w:val="18"/>
                <w:szCs w:val="18"/>
              </w:rPr>
              <w:t xml:space="preserve">—</w:t>
            </w:r>
          </w:p>
        </w:tc>
        <w:tc>
          <w:tcPr>
            <w:tcW w:type="dxa" w:w="3080"/>
            <w:tcMar>
              <w:top w:type="dxa" w:w="80"/>
              <w:left w:type="dxa" w:w="120"/>
              <w:bottom w:type="dxa" w:w="80"/>
              <w:right w:type="dxa" w:w="120"/>
            </w:tcMar>
          </w:tcPr>
          <w:p>
            <w:r>
              <w:rPr>
                <w:b w:val="false"/>
                <w:bCs w:val="false"/>
                <w:color w:val="222222"/>
                <w:sz w:val="18"/>
                <w:szCs w:val="18"/>
              </w:rPr>
              <w:t xml:space="preserve">15.000 a 25.000 registros</w:t>
            </w:r>
          </w:p>
        </w:tc>
      </w:tr>
      <w:tr>
        <w:trPr>
          <w:tblHeader w:val="false"/>
        </w:trPr>
        <w:tc>
          <w:tcPr>
            <w:tcW w:type="dxa" w:w="3200"/>
            <w:tcMar>
              <w:top w:type="dxa" w:w="80"/>
              <w:left w:type="dxa" w:w="120"/>
              <w:bottom w:type="dxa" w:w="80"/>
              <w:right w:type="dxa" w:w="120"/>
            </w:tcMar>
          </w:tcPr>
          <w:p>
            <w:r>
              <w:rPr>
                <w:color w:val="222222"/>
                <w:sz w:val="18"/>
                <w:szCs w:val="18"/>
              </w:rPr>
              <w:t xml:space="preserve">tasa_cambio</w:t>
            </w:r>
          </w:p>
        </w:tc>
        <w:tc>
          <w:tcPr>
            <w:tcW w:type="dxa" w:w="3080"/>
            <w:tcMar>
              <w:top w:type="dxa" w:w="80"/>
              <w:left w:type="dxa" w:w="120"/>
              <w:bottom w:type="dxa" w:w="80"/>
              <w:right w:type="dxa" w:w="120"/>
            </w:tcMar>
          </w:tcPr>
          <w:p>
            <w:r>
              <w:rPr>
                <w:b w:val="false"/>
                <w:bCs w:val="false"/>
                <w:color w:val="222222"/>
                <w:sz w:val="18"/>
                <w:szCs w:val="18"/>
              </w:rPr>
              <w:t xml:space="preserve">—</w:t>
            </w:r>
          </w:p>
        </w:tc>
        <w:tc>
          <w:tcPr>
            <w:tcW w:type="dxa" w:w="3080"/>
            <w:tcMar>
              <w:top w:type="dxa" w:w="80"/>
              <w:left w:type="dxa" w:w="120"/>
              <w:bottom w:type="dxa" w:w="80"/>
              <w:right w:type="dxa" w:w="120"/>
            </w:tcMar>
          </w:tcPr>
          <w:p>
            <w:r>
              <w:rPr>
                <w:b w:val="false"/>
                <w:bCs w:val="false"/>
                <w:color w:val="222222"/>
                <w:sz w:val="18"/>
                <w:szCs w:val="18"/>
              </w:rPr>
              <w:t xml:space="preserve">365 registros</w:t>
            </w:r>
          </w:p>
        </w:tc>
      </w:tr>
    </w:tbl>
    <w:tbl>
      <w:tblPr>
        <w:tblW w:type="dxa" w:w="9360"/>
        <w:tblBorders>
          <w:top w:val="single" w:color="D2590B" w:sz="2"/>
          <w:left w:val="single" w:color="D2590B" w:sz="20"/>
          <w:bottom w:val="single" w:color="D2590B" w:sz="2"/>
          <w:right w:val="single" w:color="D2590B"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D2590B"/>
                <w:sz w:val="19"/>
                <w:szCs w:val="19"/>
              </w:rPr>
              <w:t xml:space="preserve">Consecuencia práctica</w:t>
            </w:r>
          </w:p>
          <w:p>
            <w:pPr>
              <w:spacing w:after="50" w:line="264"/>
              <w:jc w:val="both"/>
            </w:pPr>
            <w:r>
              <w:rPr>
                <w:color w:val="333333"/>
                <w:sz w:val="18"/>
                <w:szCs w:val="18"/>
              </w:rPr>
              <w:t xml:space="preserve">La tabla de movimientos supera el medio millón de filas en el primer año. Calcular la existencia sumando movimientos en cada lectura resulta viable con los índices indicados, pero conviene mantener una existencia calculada en caché por producto, recalculable a partir de los movimientos y nunca editable de forma directa.</w:t>
            </w:r>
          </w:p>
          <w:p>
            <w:pPr>
              <w:spacing w:after="50" w:line="264"/>
              <w:jc w:val="both"/>
            </w:pPr>
            <w:r>
              <w:rPr>
                <w:color w:val="333333"/>
                <w:sz w:val="18"/>
                <w:szCs w:val="18"/>
              </w:rPr>
              <w:t xml:space="preserve">Es igualmente recomendable prever desde el inicio un procedimiento de cierre anual que consolide los movimientos antiguos en un saldo de apertura, aun cuando no se implemente en esta versión.</w:t>
            </w:r>
          </w:p>
        </w:tc>
      </w:tr>
    </w:tbl>
    <w:p>
      <w:r>
        <w:br w:type="page"/>
      </w:r>
    </w:p>
    <w:p>
      <w:pPr>
        <w:pStyle w:val="Heading1"/>
        <w:shd w:fill="212121" w:color="auto" w:val="clear"/>
        <w:spacing w:after="150" w:before="320"/>
        <w:ind w:left="100" w:right="100"/>
      </w:pPr>
      <w:r>
        <w:rPr>
          <w:b/>
          <w:bCs/>
          <w:color w:val="FFFFFF"/>
          <w:sz w:val="24"/>
          <w:szCs w:val="24"/>
        </w:rPr>
        <w:t xml:space="preserve">ANEXO — ESQUEMA DE CREACIÓN</w:t>
      </w:r>
    </w:p>
    <w:p>
      <w:pPr>
        <w:spacing w:after="90" w:before="90" w:line="288"/>
        <w:jc w:val="both"/>
      </w:pPr>
      <w:r>
        <w:rPr>
          <w:color w:val="222222"/>
          <w:sz w:val="20"/>
          <w:szCs w:val="20"/>
        </w:rPr>
        <w:t xml:space="preserve">El archivo esquema.sql acompaña a este documento y contiene la definición completa en sintaxis compatible con PostgreSQL, incluidos los índices, las restricciones y los datos iniciales de alícuotas, motivos de pérdida y configuración.</w:t>
      </w:r>
    </w:p>
    <w:p>
      <w:pPr>
        <w:spacing w:after="90" w:before="90" w:line="288"/>
        <w:jc w:val="both"/>
      </w:pPr>
      <w:r>
        <w:rPr>
          <w:color w:val="222222"/>
          <w:sz w:val="20"/>
          <w:szCs w:val="20"/>
        </w:rPr>
        <w:t xml:space="preserve">Fragmento representativo de las dos tablas centrales del modelo:</w:t>
      </w:r>
    </w:p>
    <w:p>
      <w:pPr>
        <w:shd w:fill="F2F2F2" w:color="auto" w:val="clear"/>
        <w:spacing w:after="0" w:before="0" w:line="264"/>
        <w:ind w:left="300"/>
      </w:pPr>
      <w:r>
        <w:rPr>
          <w:rFonts w:ascii="Consolas" w:cs="Consolas" w:eastAsia="Consolas" w:hAnsi="Consolas"/>
          <w:color w:val="1A1A1A"/>
          <w:sz w:val="17"/>
          <w:szCs w:val="17"/>
        </w:rPr>
        <w:t xml:space="preserve">CREATE TABLE movimiento_inventario (</w:t>
      </w:r>
    </w:p>
    <w:p>
      <w:pPr>
        <w:shd w:fill="F2F2F2" w:color="auto" w:val="clear"/>
        <w:spacing w:after="0" w:before="0" w:line="264"/>
        <w:ind w:left="300"/>
      </w:pPr>
      <w:r>
        <w:rPr>
          <w:rFonts w:ascii="Consolas" w:cs="Consolas" w:eastAsia="Consolas" w:hAnsi="Consolas"/>
          <w:color w:val="1A1A1A"/>
          <w:sz w:val="17"/>
          <w:szCs w:val="17"/>
        </w:rPr>
        <w:t xml:space="preserve">    id                  SERIAL PRIMARY KEY,</w:t>
      </w:r>
    </w:p>
    <w:p>
      <w:pPr>
        <w:shd w:fill="F2F2F2" w:color="auto" w:val="clear"/>
        <w:spacing w:after="0" w:before="0" w:line="264"/>
        <w:ind w:left="300"/>
      </w:pPr>
      <w:r>
        <w:rPr>
          <w:rFonts w:ascii="Consolas" w:cs="Consolas" w:eastAsia="Consolas" w:hAnsi="Consolas"/>
          <w:color w:val="1A1A1A"/>
          <w:sz w:val="17"/>
          <w:szCs w:val="17"/>
        </w:rPr>
        <w:t xml:space="preserve">    producto_id         INTEGER NOT NULL REFERENCES producto(id),</w:t>
      </w:r>
    </w:p>
    <w:p>
      <w:pPr>
        <w:shd w:fill="F2F2F2" w:color="auto" w:val="clear"/>
        <w:spacing w:after="0" w:before="0" w:line="264"/>
        <w:ind w:left="300"/>
      </w:pPr>
      <w:r>
        <w:rPr>
          <w:rFonts w:ascii="Consolas" w:cs="Consolas" w:eastAsia="Consolas" w:hAnsi="Consolas"/>
          <w:color w:val="1A1A1A"/>
          <w:sz w:val="17"/>
          <w:szCs w:val="17"/>
        </w:rPr>
        <w:t xml:space="preserve">    lote_id             INTEGER NULL REFERENCES lote(id),</w:t>
      </w:r>
    </w:p>
    <w:p>
      <w:pPr>
        <w:shd w:fill="F2F2F2" w:color="auto" w:val="clear"/>
        <w:spacing w:after="0" w:before="0" w:line="264"/>
        <w:ind w:left="300"/>
      </w:pPr>
      <w:r>
        <w:rPr>
          <w:rFonts w:ascii="Consolas" w:cs="Consolas" w:eastAsia="Consolas" w:hAnsi="Consolas"/>
          <w:color w:val="1A1A1A"/>
          <w:sz w:val="17"/>
          <w:szCs w:val="17"/>
        </w:rPr>
        <w:t xml:space="preserve">    tipo                VARCHAR(20) NOT NULL,</w:t>
      </w:r>
    </w:p>
    <w:p>
      <w:pPr>
        <w:shd w:fill="F2F2F2" w:color="auto" w:val="clear"/>
        <w:spacing w:after="0" w:before="0" w:line="264"/>
        <w:ind w:left="300"/>
      </w:pPr>
      <w:r>
        <w:rPr>
          <w:rFonts w:ascii="Consolas" w:cs="Consolas" w:eastAsia="Consolas" w:hAnsi="Consolas"/>
          <w:color w:val="1A1A1A"/>
          <w:sz w:val="17"/>
          <w:szCs w:val="17"/>
        </w:rPr>
        <w:t xml:space="preserve">    cantidad            NUMERIC(14,3) NOT NULL,</w:t>
      </w:r>
    </w:p>
    <w:p>
      <w:pPr>
        <w:shd w:fill="F2F2F2" w:color="auto" w:val="clear"/>
        <w:spacing w:after="0" w:before="0" w:line="264"/>
        <w:ind w:left="300"/>
      </w:pPr>
      <w:r>
        <w:rPr>
          <w:rFonts w:ascii="Consolas" w:cs="Consolas" w:eastAsia="Consolas" w:hAnsi="Consolas"/>
          <w:color w:val="1A1A1A"/>
          <w:sz w:val="17"/>
          <w:szCs w:val="17"/>
        </w:rPr>
        <w:t xml:space="preserve">    costo_unitario_usd  NUMERIC(12,4) NOT NULL DEFAULT 0,</w:t>
      </w:r>
    </w:p>
    <w:p>
      <w:pPr>
        <w:shd w:fill="F2F2F2" w:color="auto" w:val="clear"/>
        <w:spacing w:after="0" w:before="0" w:line="264"/>
        <w:ind w:left="300"/>
      </w:pPr>
      <w:r>
        <w:rPr>
          <w:rFonts w:ascii="Consolas" w:cs="Consolas" w:eastAsia="Consolas" w:hAnsi="Consolas"/>
          <w:color w:val="1A1A1A"/>
          <w:sz w:val="17"/>
          <w:szCs w:val="17"/>
        </w:rPr>
        <w:t xml:space="preserve">    referencia_tipo     VARCHAR(30) NOT NULL,</w:t>
      </w:r>
    </w:p>
    <w:p>
      <w:pPr>
        <w:shd w:fill="F2F2F2" w:color="auto" w:val="clear"/>
        <w:spacing w:after="0" w:before="0" w:line="264"/>
        <w:ind w:left="300"/>
      </w:pPr>
      <w:r>
        <w:rPr>
          <w:rFonts w:ascii="Consolas" w:cs="Consolas" w:eastAsia="Consolas" w:hAnsi="Consolas"/>
          <w:color w:val="1A1A1A"/>
          <w:sz w:val="17"/>
          <w:szCs w:val="17"/>
        </w:rPr>
        <w:t xml:space="preserve">    referencia_id       INTEGER NOT NULL,</w:t>
      </w:r>
    </w:p>
    <w:p>
      <w:pPr>
        <w:shd w:fill="F2F2F2" w:color="auto" w:val="clear"/>
        <w:spacing w:after="0" w:before="0" w:line="264"/>
        <w:ind w:left="300"/>
      </w:pPr>
      <w:r>
        <w:rPr>
          <w:rFonts w:ascii="Consolas" w:cs="Consolas" w:eastAsia="Consolas" w:hAnsi="Consolas"/>
          <w:color w:val="1A1A1A"/>
          <w:sz w:val="17"/>
          <w:szCs w:val="17"/>
        </w:rPr>
        <w:t xml:space="preserve">    fecha_hora          TIMESTAMP NOT NULL DEFAULT NOW(),</w:t>
      </w:r>
    </w:p>
    <w:p>
      <w:pPr>
        <w:shd w:fill="F2F2F2" w:color="auto" w:val="clear"/>
        <w:spacing w:after="0" w:before="0" w:line="264"/>
        <w:ind w:left="300"/>
      </w:pPr>
      <w:r>
        <w:rPr>
          <w:rFonts w:ascii="Consolas" w:cs="Consolas" w:eastAsia="Consolas" w:hAnsi="Consolas"/>
          <w:color w:val="1A1A1A"/>
          <w:sz w:val="17"/>
          <w:szCs w:val="17"/>
        </w:rPr>
        <w:t xml:space="preserve">    usuario_id          INTEGER NOT NULL REFERENCES usuario(id),</w:t>
      </w:r>
    </w:p>
    <w:p>
      <w:pPr>
        <w:shd w:fill="F2F2F2" w:color="auto" w:val="clear"/>
        <w:spacing w:after="0" w:before="0" w:line="264"/>
        <w:ind w:left="300"/>
      </w:pPr>
      <w:r>
        <w:rPr>
          <w:rFonts w:ascii="Consolas" w:cs="Consolas" w:eastAsia="Consolas" w:hAnsi="Consolas"/>
          <w:color w:val="1A1A1A"/>
          <w:sz w:val="17"/>
          <w:szCs w:val="17"/>
        </w:rPr>
        <w:t xml:space="preserve">    observacion         VARCHAR(250),</w:t>
      </w:r>
    </w:p>
    <w:p>
      <w:pPr>
        <w:shd w:fill="F2F2F2" w:color="auto" w:val="clear"/>
        <w:spacing w:after="0" w:before="0" w:line="264"/>
        <w:ind w:left="300"/>
      </w:pPr>
      <w:r>
        <w:rPr>
          <w:rFonts w:ascii="Consolas" w:cs="Consolas" w:eastAsia="Consolas" w:hAnsi="Consolas"/>
          <w:color w:val="1A1A1A"/>
          <w:sz w:val="17"/>
          <w:szCs w:val="17"/>
        </w:rPr>
        <w:t xml:space="preserve">    CONSTRAINT ck_cantidad_no_cero CHECK (cantidad &lt;&gt; 0)</w:t>
      </w:r>
    </w:p>
    <w:p>
      <w:pPr>
        <w:shd w:fill="F2F2F2" w:color="auto" w:val="clear"/>
        <w:spacing w:after="0" w:before="0" w:line="264"/>
        <w:ind w:left="300"/>
      </w:pPr>
      <w:r>
        <w:rPr>
          <w:rFonts w:ascii="Consolas" w:cs="Consolas" w:eastAsia="Consolas" w:hAnsi="Consolas"/>
          <w:color w:val="1A1A1A"/>
          <w:sz w:val="17"/>
          <w:szCs w:val="17"/>
        </w:rPr>
        <w:t xml:space="preserve">);</w:t>
      </w:r>
    </w:p>
    <w:p>
      <w:pPr>
        <w:shd w:fill="F2F2F2" w:color="auto" w:val="clear"/>
        <w:spacing w:after="0" w:before="0" w:line="264"/>
        <w:ind w:left="300"/>
      </w:pPr>
      <w:r>
        <w:rPr>
          <w:rFonts w:ascii="Consolas" w:cs="Consolas" w:eastAsia="Consolas" w:hAnsi="Consolas"/>
          <w:color w:val="1A1A1A"/>
          <w:sz w:val="17"/>
          <w:szCs w:val="17"/>
        </w:rPr>
        <w:t xml:space="preserve"> </w:t>
      </w:r>
    </w:p>
    <w:p>
      <w:pPr>
        <w:shd w:fill="F2F2F2" w:color="auto" w:val="clear"/>
        <w:spacing w:after="0" w:before="0" w:line="264"/>
        <w:ind w:left="300"/>
      </w:pPr>
      <w:r>
        <w:rPr>
          <w:rFonts w:ascii="Consolas" w:cs="Consolas" w:eastAsia="Consolas" w:hAnsi="Consolas"/>
          <w:color w:val="1A1A1A"/>
          <w:sz w:val="17"/>
          <w:szCs w:val="17"/>
        </w:rPr>
        <w:t xml:space="preserve">CREATE TABLE venta_detalle (</w:t>
      </w:r>
    </w:p>
    <w:p>
      <w:pPr>
        <w:shd w:fill="F2F2F2" w:color="auto" w:val="clear"/>
        <w:spacing w:after="0" w:before="0" w:line="264"/>
        <w:ind w:left="300"/>
      </w:pPr>
      <w:r>
        <w:rPr>
          <w:rFonts w:ascii="Consolas" w:cs="Consolas" w:eastAsia="Consolas" w:hAnsi="Consolas"/>
          <w:color w:val="1A1A1A"/>
          <w:sz w:val="17"/>
          <w:szCs w:val="17"/>
        </w:rPr>
        <w:t xml:space="preserve">    id                  SERIAL PRIMARY KEY,</w:t>
      </w:r>
    </w:p>
    <w:p>
      <w:pPr>
        <w:shd w:fill="F2F2F2" w:color="auto" w:val="clear"/>
        <w:spacing w:after="0" w:before="0" w:line="264"/>
        <w:ind w:left="300"/>
      </w:pPr>
      <w:r>
        <w:rPr>
          <w:rFonts w:ascii="Consolas" w:cs="Consolas" w:eastAsia="Consolas" w:hAnsi="Consolas"/>
          <w:color w:val="1A1A1A"/>
          <w:sz w:val="17"/>
          <w:szCs w:val="17"/>
        </w:rPr>
        <w:t xml:space="preserve">    venta_id            INTEGER NOT NULL REFERENCES venta(id),</w:t>
      </w:r>
    </w:p>
    <w:p>
      <w:pPr>
        <w:shd w:fill="F2F2F2" w:color="auto" w:val="clear"/>
        <w:spacing w:after="0" w:before="0" w:line="264"/>
        <w:ind w:left="300"/>
      </w:pPr>
      <w:r>
        <w:rPr>
          <w:rFonts w:ascii="Consolas" w:cs="Consolas" w:eastAsia="Consolas" w:hAnsi="Consolas"/>
          <w:color w:val="1A1A1A"/>
          <w:sz w:val="17"/>
          <w:szCs w:val="17"/>
        </w:rPr>
        <w:t xml:space="preserve">    producto_id         INTEGER NOT NULL REFERENCES producto(id),</w:t>
      </w:r>
    </w:p>
    <w:p>
      <w:pPr>
        <w:shd w:fill="F2F2F2" w:color="auto" w:val="clear"/>
        <w:spacing w:after="0" w:before="0" w:line="264"/>
        <w:ind w:left="300"/>
      </w:pPr>
      <w:r>
        <w:rPr>
          <w:rFonts w:ascii="Consolas" w:cs="Consolas" w:eastAsia="Consolas" w:hAnsi="Consolas"/>
          <w:color w:val="1A1A1A"/>
          <w:sz w:val="17"/>
          <w:szCs w:val="17"/>
        </w:rPr>
        <w:t xml:space="preserve">    lote_id             INTEGER NULL REFERENCES lote(id),</w:t>
      </w:r>
    </w:p>
    <w:p>
      <w:pPr>
        <w:shd w:fill="F2F2F2" w:color="auto" w:val="clear"/>
        <w:spacing w:after="0" w:before="0" w:line="264"/>
        <w:ind w:left="300"/>
      </w:pPr>
      <w:r>
        <w:rPr>
          <w:rFonts w:ascii="Consolas" w:cs="Consolas" w:eastAsia="Consolas" w:hAnsi="Consolas"/>
          <w:color w:val="1A1A1A"/>
          <w:sz w:val="17"/>
          <w:szCs w:val="17"/>
        </w:rPr>
        <w:t xml:space="preserve">    descripcion         VARCHAR(150) NOT NULL,</w:t>
      </w:r>
    </w:p>
    <w:p>
      <w:pPr>
        <w:shd w:fill="F2F2F2" w:color="auto" w:val="clear"/>
        <w:spacing w:after="0" w:before="0" w:line="264"/>
        <w:ind w:left="300"/>
      </w:pPr>
      <w:r>
        <w:rPr>
          <w:rFonts w:ascii="Consolas" w:cs="Consolas" w:eastAsia="Consolas" w:hAnsi="Consolas"/>
          <w:color w:val="1A1A1A"/>
          <w:sz w:val="17"/>
          <w:szCs w:val="17"/>
        </w:rPr>
        <w:t xml:space="preserve">    cantidad            NUMERIC(14,3) NOT NULL,</w:t>
      </w:r>
    </w:p>
    <w:p>
      <w:pPr>
        <w:shd w:fill="F2F2F2" w:color="auto" w:val="clear"/>
        <w:spacing w:after="0" w:before="0" w:line="264"/>
        <w:ind w:left="300"/>
      </w:pPr>
      <w:r>
        <w:rPr>
          <w:rFonts w:ascii="Consolas" w:cs="Consolas" w:eastAsia="Consolas" w:hAnsi="Consolas"/>
          <w:color w:val="1A1A1A"/>
          <w:sz w:val="17"/>
          <w:szCs w:val="17"/>
        </w:rPr>
        <w:t xml:space="preserve">    precio_unit_usd     NUMERIC(12,4) NOT NULL,</w:t>
      </w:r>
    </w:p>
    <w:p>
      <w:pPr>
        <w:shd w:fill="F2F2F2" w:color="auto" w:val="clear"/>
        <w:spacing w:after="0" w:before="0" w:line="264"/>
        <w:ind w:left="300"/>
      </w:pPr>
      <w:r>
        <w:rPr>
          <w:rFonts w:ascii="Consolas" w:cs="Consolas" w:eastAsia="Consolas" w:hAnsi="Consolas"/>
          <w:color w:val="1A1A1A"/>
          <w:sz w:val="17"/>
          <w:szCs w:val="17"/>
        </w:rPr>
        <w:t xml:space="preserve">    alicuota_pct        NUMERIC(5,2)  NOT NULL,</w:t>
      </w:r>
    </w:p>
    <w:p>
      <w:pPr>
        <w:shd w:fill="F2F2F2" w:color="auto" w:val="clear"/>
        <w:spacing w:after="0" w:before="0" w:line="264"/>
        <w:ind w:left="300"/>
      </w:pPr>
      <w:r>
        <w:rPr>
          <w:rFonts w:ascii="Consolas" w:cs="Consolas" w:eastAsia="Consolas" w:hAnsi="Consolas"/>
          <w:color w:val="1A1A1A"/>
          <w:sz w:val="17"/>
          <w:szCs w:val="17"/>
        </w:rPr>
        <w:t xml:space="preserve">    base_imponible_usd  NUMERIC(14,2) NOT NULL,</w:t>
      </w:r>
    </w:p>
    <w:p>
      <w:pPr>
        <w:shd w:fill="F2F2F2" w:color="auto" w:val="clear"/>
        <w:spacing w:after="0" w:before="0" w:line="264"/>
        <w:ind w:left="300"/>
      </w:pPr>
      <w:r>
        <w:rPr>
          <w:rFonts w:ascii="Consolas" w:cs="Consolas" w:eastAsia="Consolas" w:hAnsi="Consolas"/>
          <w:color w:val="1A1A1A"/>
          <w:sz w:val="17"/>
          <w:szCs w:val="17"/>
        </w:rPr>
        <w:t xml:space="preserve">    iva_usd             NUMERIC(14,2) NOT NULL,</w:t>
      </w:r>
    </w:p>
    <w:p>
      <w:pPr>
        <w:shd w:fill="F2F2F2" w:color="auto" w:val="clear"/>
        <w:spacing w:after="0" w:before="0" w:line="264"/>
        <w:ind w:left="300"/>
      </w:pPr>
      <w:r>
        <w:rPr>
          <w:rFonts w:ascii="Consolas" w:cs="Consolas" w:eastAsia="Consolas" w:hAnsi="Consolas"/>
          <w:color w:val="1A1A1A"/>
          <w:sz w:val="17"/>
          <w:szCs w:val="17"/>
        </w:rPr>
        <w:t xml:space="preserve">    total_linea_usd     NUMERIC(14,2) NOT NULL,</w:t>
      </w:r>
    </w:p>
    <w:p>
      <w:pPr>
        <w:shd w:fill="F2F2F2" w:color="auto" w:val="clear"/>
        <w:spacing w:after="0" w:before="0" w:line="264"/>
        <w:ind w:left="300"/>
      </w:pPr>
      <w:r>
        <w:rPr>
          <w:rFonts w:ascii="Consolas" w:cs="Consolas" w:eastAsia="Consolas" w:hAnsi="Consolas"/>
          <w:color w:val="1A1A1A"/>
          <w:sz w:val="17"/>
          <w:szCs w:val="17"/>
        </w:rPr>
        <w:t xml:space="preserve">    costo_unitario_usd  NUMERIC(12,4) NOT NULL</w:t>
      </w:r>
    </w:p>
    <w:p>
      <w:pPr>
        <w:shd w:fill="F2F2F2" w:color="auto" w:val="clear"/>
        <w:spacing w:after="0" w:before="0" w:line="264"/>
        <w:ind w:left="300"/>
      </w:pPr>
      <w:r>
        <w:rPr>
          <w:rFonts w:ascii="Consolas" w:cs="Consolas" w:eastAsia="Consolas" w:hAnsi="Consolas"/>
          <w:color w:val="1A1A1A"/>
          <w:sz w:val="17"/>
          <w:szCs w:val="17"/>
        </w:rPr>
        <w:t xml:space="preserve">);</w:t>
      </w:r>
    </w:p>
    <w:sectPr>
      <w:headerReference w:type="default" r:id="rId11"/>
      <w:footerReference w:type="default" r:id="rId12"/>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b/>
        <w:bCs/>
        <w:color w:val="D2590B"/>
        <w:spacing w:val="40"/>
        <w:sz w:val="16"/>
        <w:szCs w:val="16"/>
      </w:rPr>
      <w:t xml:space="preserve">BOREALIS</w:t>
    </w:r>
    <w:r>
      <w:rPr>
        <w:color w:val="666666"/>
        <w:sz w:val="16"/>
        <w:szCs w:val="16"/>
      </w:rPr>
      <w:t xml:space="preserve">     Modelo de Datos · Minimarket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b/>
        <w:bCs/>
        <w:color w:val="D2590B"/>
        <w:spacing w:val="40"/>
        <w:sz w:val="16"/>
        <w:szCs w:val="16"/>
      </w:rPr>
      <w:t xml:space="preserve">BOREALIS</w:t>
    </w:r>
    <w:r>
      <w:rPr>
        <w:color w:val="666666"/>
        <w:sz w:val="16"/>
        <w:szCs w:val="16"/>
      </w:rPr>
      <w:t xml:space="preserve">     Modelo de Datos · Minimarket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b/>
        <w:bCs/>
        <w:color w:val="D2590B"/>
        <w:spacing w:val="40"/>
        <w:sz w:val="16"/>
        <w:szCs w:val="16"/>
      </w:rPr>
      <w:t xml:space="preserve">BOREALIS</w:t>
    </w:r>
    <w:r>
      <w:rPr>
        <w:color w:val="666666"/>
        <w:sz w:val="16"/>
        <w:szCs w:val="16"/>
      </w:rPr>
      <w:t xml:space="preserve">     Modelo de Datos · Minimarket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D259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e73dfedd815e690950bd166f910a348d7069d09.undefined"/><Relationship Id="rId14" Type="http://schemas.openxmlformats.org/officeDocument/2006/relationships/image" Target="media/7449c9be6ba44cc2b7fda1dc03e2a985d1d9c64f.undefined"/><Relationship Id="rId15" Type="http://schemas.openxmlformats.org/officeDocument/2006/relationships/image" Target="media/7afbae014cc761190b9cbebce246e55137669ffe.undefined"/><Relationship Id="rId16" Type="http://schemas.openxmlformats.org/officeDocument/2006/relationships/image" Target="media/b1d1ffc0a4f73b47ea4b8d0fb02eb90f1e2e1296.undefined"/><Relationship Id="rId17" Type="http://schemas.openxmlformats.org/officeDocument/2006/relationships/image" Target="media/73264be775d449ab1fced6811cd3b3581e6a0f8e.undefined"/><Relationship Id="rId18" Type="http://schemas.openxmlformats.org/officeDocument/2006/relationships/image" Target="media/98d259b229cca17674072b8595ac14efcfb84f22.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2026-08-25T14:34:38.847Z</dcterms:created>
  <dcterms:modified xsi:type="dcterms:W3CDTF">2026-08-25T14:34:38.847Z</dcterms:modified>
</cp:coreProperties>
</file>

<file path=docProps/custom.xml><?xml version="1.0" encoding="utf-8"?>
<Properties xmlns="http://schemas.openxmlformats.org/officeDocument/2006/custom-properties" xmlns:vt="http://schemas.openxmlformats.org/officeDocument/2006/docPropsVTypes"/>
</file>