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500"/>
      </w:pPr>
      <w:r>
        <w:t xml:space="preserve"/>
      </w:r>
    </w:p>
    <w:p>
      <w:pPr>
        <w:spacing w:after="260"/>
        <w:jc w:val="center"/>
      </w:pPr>
      <w:r>
        <w:drawing>
          <wp:inline distT="0" distB="0" distL="0" distR="0">
            <wp:extent cx="1524000" cy="1524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524000" cy="1524000"/>
                    </a:xfrm>
                    <a:prstGeom prst="rect">
                      <a:avLst/>
                    </a:prstGeom>
                  </pic:spPr>
                </pic:pic>
              </a:graphicData>
            </a:graphic>
          </wp:inline>
        </w:drawing>
      </w:r>
    </w:p>
    <w:p>
      <w:pPr>
        <w:pBdr>
          <w:bottom w:val="single" w:color="D2590B" w:sz="8" w:space="10"/>
        </w:pBdr>
        <w:spacing w:after="560"/>
      </w:pPr>
      <w:r>
        <w:rPr>
          <w:sz w:val="4"/>
          <w:szCs w:val="4"/>
        </w:rPr>
        <w:t xml:space="preserve"/>
      </w:r>
    </w:p>
    <w:p>
      <w:pPr>
        <w:spacing w:after="100" w:before="300"/>
        <w:jc w:val="center"/>
      </w:pPr>
      <w:r>
        <w:rPr>
          <w:b/>
          <w:bCs/>
          <w:color w:val="212121"/>
          <w:sz w:val="34"/>
          <w:szCs w:val="34"/>
        </w:rPr>
        <w:t xml:space="preserve">Reglas de Negocio</w:t>
      </w:r>
    </w:p>
    <w:p>
      <w:pPr>
        <w:spacing w:after="760"/>
        <w:jc w:val="center"/>
      </w:pPr>
      <w:r>
        <w:rPr>
          <w:color w:val="D2590B"/>
          <w:sz w:val="21"/>
          <w:szCs w:val="21"/>
        </w:rPr>
        <w:t xml:space="preserve">Sistema de gestión para minimarket  ·  Opción C</w:t>
      </w:r>
    </w:p>
    <w:tbl>
      <w:tblPr>
        <w:tblW w:type="dxa" w:w="9360"/>
        <w:tblBorders>
          <w:top w:val="single" w:color="BBBBBB" w:sz="4"/>
          <w:left w:val="single" w:color="BBBBBB" w:sz="4"/>
          <w:bottom w:val="single" w:color="BBBBBB" w:sz="4"/>
          <w:right w:val="single" w:color="BBBBBB" w:sz="4"/>
          <w:insideH w:val="single" w:color="E0E0E0" w:sz="4"/>
          <w:insideV w:val="single" w:color="E0E0E0" w:sz="4"/>
        </w:tblBorders>
      </w:tblPr>
      <w:tblGrid>
        <w:gridCol w:w="3000"/>
        <w:gridCol w:w="6360"/>
      </w:tblGrid>
      <w:tr>
        <w:tc>
          <w:tcPr>
            <w:tcW w:type="dxa" w:w="3000"/>
            <w:shd w:fill="F8F4F0" w:color="auto" w:val="clear"/>
            <w:tcMar>
              <w:top w:type="dxa" w:w="80"/>
              <w:left w:type="dxa" w:w="120"/>
              <w:bottom w:type="dxa" w:w="80"/>
              <w:right w:type="dxa" w:w="120"/>
            </w:tcMar>
          </w:tcPr>
          <w:p>
            <w:r>
              <w:rPr>
                <w:b/>
                <w:bCs/>
                <w:color w:val="222222"/>
                <w:sz w:val="18"/>
                <w:szCs w:val="18"/>
              </w:rPr>
              <w:t xml:space="preserve">Cliente</w:t>
            </w:r>
          </w:p>
        </w:tc>
        <w:tc>
          <w:tcPr>
            <w:tcW w:type="dxa" w:w="6360"/>
            <w:tcMar>
              <w:top w:type="dxa" w:w="80"/>
              <w:left w:type="dxa" w:w="120"/>
              <w:bottom w:type="dxa" w:w="80"/>
              <w:right w:type="dxa" w:w="120"/>
            </w:tcMar>
          </w:tcPr>
          <w:p>
            <w:r>
              <w:rPr>
                <w:b w:val="false"/>
                <w:bCs w:val="false"/>
                <w:color w:val="222222"/>
                <w:sz w:val="18"/>
                <w:szCs w:val="18"/>
              </w:rPr>
              <w:t xml:space="preserve"/>
            </w:r>
          </w:p>
        </w:tc>
      </w:tr>
      <w:tr>
        <w:trPr>
          <w:tblHeader w:val="false"/>
        </w:trPr>
        <w:tc>
          <w:tcPr>
            <w:tcW w:type="dxa" w:w="3000"/>
            <w:shd w:fill="F8F4F0" w:color="auto" w:val="clear"/>
            <w:tcMar>
              <w:top w:type="dxa" w:w="80"/>
              <w:left w:type="dxa" w:w="120"/>
              <w:bottom w:type="dxa" w:w="80"/>
              <w:right w:type="dxa" w:w="120"/>
            </w:tcMar>
          </w:tcPr>
          <w:p>
            <w:r>
              <w:rPr>
                <w:b/>
                <w:bCs/>
                <w:color w:val="222222"/>
                <w:sz w:val="18"/>
                <w:szCs w:val="18"/>
              </w:rPr>
              <w:t xml:space="preserve">Proyecto</w:t>
            </w:r>
          </w:p>
        </w:tc>
        <w:tc>
          <w:tcPr>
            <w:tcW w:type="dxa" w:w="6360"/>
            <w:tcMar>
              <w:top w:type="dxa" w:w="80"/>
              <w:left w:type="dxa" w:w="120"/>
              <w:bottom w:type="dxa" w:w="80"/>
              <w:right w:type="dxa" w:w="120"/>
            </w:tcMar>
          </w:tcPr>
          <w:p>
            <w:r>
              <w:rPr>
                <w:b w:val="false"/>
                <w:bCs w:val="false"/>
                <w:color w:val="222222"/>
                <w:sz w:val="18"/>
                <w:szCs w:val="18"/>
              </w:rPr>
              <w:t xml:space="preserve">Sistema de gestión comercial</w:t>
            </w:r>
          </w:p>
        </w:tc>
      </w:tr>
      <w:tr>
        <w:trPr>
          <w:tblHeader w:val="false"/>
        </w:trPr>
        <w:tc>
          <w:tcPr>
            <w:tcW w:type="dxa" w:w="3000"/>
            <w:shd w:fill="F8F4F0" w:color="auto" w:val="clear"/>
            <w:tcMar>
              <w:top w:type="dxa" w:w="80"/>
              <w:left w:type="dxa" w:w="120"/>
              <w:bottom w:type="dxa" w:w="80"/>
              <w:right w:type="dxa" w:w="120"/>
            </w:tcMar>
          </w:tcPr>
          <w:p>
            <w:r>
              <w:rPr>
                <w:b/>
                <w:bCs/>
                <w:color w:val="222222"/>
                <w:sz w:val="18"/>
                <w:szCs w:val="18"/>
              </w:rPr>
              <w:t xml:space="preserve">Versión</w:t>
            </w:r>
          </w:p>
        </w:tc>
        <w:tc>
          <w:tcPr>
            <w:tcW w:type="dxa" w:w="6360"/>
            <w:tcMar>
              <w:top w:type="dxa" w:w="80"/>
              <w:left w:type="dxa" w:w="120"/>
              <w:bottom w:type="dxa" w:w="80"/>
              <w:right w:type="dxa" w:w="120"/>
            </w:tcMar>
          </w:tcPr>
          <w:p>
            <w:r>
              <w:rPr>
                <w:b w:val="false"/>
                <w:bCs w:val="false"/>
                <w:color w:val="222222"/>
                <w:sz w:val="18"/>
                <w:szCs w:val="18"/>
              </w:rPr>
              <w:t xml:space="preserve">1.0</w:t>
            </w:r>
          </w:p>
        </w:tc>
      </w:tr>
      <w:tr>
        <w:trPr>
          <w:tblHeader w:val="false"/>
        </w:trPr>
        <w:tc>
          <w:tcPr>
            <w:tcW w:type="dxa" w:w="3000"/>
            <w:shd w:fill="F8F4F0" w:color="auto" w:val="clear"/>
            <w:tcMar>
              <w:top w:type="dxa" w:w="80"/>
              <w:left w:type="dxa" w:w="120"/>
              <w:bottom w:type="dxa" w:w="80"/>
              <w:right w:type="dxa" w:w="120"/>
            </w:tcMar>
          </w:tcPr>
          <w:p>
            <w:r>
              <w:rPr>
                <w:b/>
                <w:bCs/>
                <w:color w:val="222222"/>
                <w:sz w:val="18"/>
                <w:szCs w:val="18"/>
              </w:rPr>
              <w:t xml:space="preserve">Fecha</w:t>
            </w:r>
          </w:p>
        </w:tc>
        <w:tc>
          <w:tcPr>
            <w:tcW w:type="dxa" w:w="6360"/>
            <w:tcMar>
              <w:top w:type="dxa" w:w="80"/>
              <w:left w:type="dxa" w:w="120"/>
              <w:bottom w:type="dxa" w:w="80"/>
              <w:right w:type="dxa" w:w="120"/>
            </w:tcMar>
          </w:tcPr>
          <w:p>
            <w:r>
              <w:rPr>
                <w:b w:val="false"/>
                <w:bCs w:val="false"/>
                <w:color w:val="222222"/>
                <w:sz w:val="18"/>
                <w:szCs w:val="18"/>
              </w:rPr>
              <w:t xml:space="preserve">19 de agosto de 2026</w:t>
            </w:r>
          </w:p>
        </w:tc>
      </w:tr>
      <w:tr>
        <w:trPr>
          <w:tblHeader w:val="false"/>
        </w:trPr>
        <w:tc>
          <w:tcPr>
            <w:tcW w:type="dxa" w:w="3000"/>
            <w:shd w:fill="F8F4F0" w:color="auto" w:val="clear"/>
            <w:tcMar>
              <w:top w:type="dxa" w:w="80"/>
              <w:left w:type="dxa" w:w="120"/>
              <w:bottom w:type="dxa" w:w="80"/>
              <w:right w:type="dxa" w:w="120"/>
            </w:tcMar>
          </w:tcPr>
          <w:p>
            <w:r>
              <w:rPr>
                <w:b/>
                <w:bCs/>
                <w:color w:val="222222"/>
                <w:sz w:val="18"/>
                <w:szCs w:val="18"/>
              </w:rPr>
              <w:t xml:space="preserve">Autor</w:t>
            </w:r>
          </w:p>
        </w:tc>
        <w:tc>
          <w:tcPr>
            <w:tcW w:type="dxa" w:w="6360"/>
            <w:tcMar>
              <w:top w:type="dxa" w:w="80"/>
              <w:left w:type="dxa" w:w="120"/>
              <w:bottom w:type="dxa" w:w="80"/>
              <w:right w:type="dxa" w:w="120"/>
            </w:tcMar>
          </w:tcPr>
          <w:p>
            <w:r>
              <w:rPr>
                <w:b w:val="false"/>
                <w:bCs w:val="false"/>
                <w:color w:val="222222"/>
                <w:sz w:val="18"/>
                <w:szCs w:val="18"/>
              </w:rPr>
              <w:t xml:space="preserve">Gregor Barrios — Borealis Software Solutions</w:t>
            </w:r>
          </w:p>
        </w:tc>
      </w:tr>
      <w:tr>
        <w:trPr>
          <w:tblHeader w:val="false"/>
        </w:trPr>
        <w:tc>
          <w:tcPr>
            <w:tcW w:type="dxa" w:w="3000"/>
            <w:shd w:fill="F8F4F0" w:color="auto" w:val="clear"/>
            <w:tcMar>
              <w:top w:type="dxa" w:w="80"/>
              <w:left w:type="dxa" w:w="120"/>
              <w:bottom w:type="dxa" w:w="80"/>
              <w:right w:type="dxa" w:w="120"/>
            </w:tcMar>
          </w:tcPr>
          <w:p>
            <w:r>
              <w:rPr>
                <w:b/>
                <w:bCs/>
                <w:color w:val="222222"/>
                <w:sz w:val="18"/>
                <w:szCs w:val="18"/>
              </w:rPr>
              <w:t xml:space="preserve">Documentos relacionados</w:t>
            </w:r>
          </w:p>
        </w:tc>
        <w:tc>
          <w:tcPr>
            <w:tcW w:type="dxa" w:w="6360"/>
            <w:tcMar>
              <w:top w:type="dxa" w:w="80"/>
              <w:left w:type="dxa" w:w="120"/>
              <w:bottom w:type="dxa" w:w="80"/>
              <w:right w:type="dxa" w:w="120"/>
            </w:tcMar>
          </w:tcPr>
          <w:p>
            <w:r>
              <w:rPr>
                <w:b w:val="false"/>
                <w:bCs w:val="false"/>
                <w:color w:val="222222"/>
                <w:sz w:val="18"/>
                <w:szCs w:val="18"/>
              </w:rPr>
              <w:t xml:space="preserve">Especificación de Requisitos, Modelo de Datos</w:t>
            </w:r>
          </w:p>
        </w:tc>
      </w:tr>
    </w:tbl>
    <w:p>
      <w:r>
        <w:br w:type="page"/>
      </w:r>
    </w:p>
    <w:p>
      <w:pPr>
        <w:pStyle w:val="Heading1"/>
        <w:shd w:fill="212121" w:color="auto" w:val="clear"/>
        <w:spacing w:after="150" w:before="320"/>
        <w:ind w:left="100" w:right="100"/>
      </w:pPr>
      <w:r>
        <w:rPr>
          <w:b/>
          <w:bCs/>
          <w:color w:val="FFFFFF"/>
          <w:sz w:val="24"/>
          <w:szCs w:val="24"/>
        </w:rPr>
        <w:t xml:space="preserve">PROPÓSITO</w:t>
      </w:r>
    </w:p>
    <w:p>
      <w:pPr>
        <w:spacing w:after="90" w:before="90" w:line="288"/>
        <w:jc w:val="both"/>
      </w:pPr>
      <w:r>
        <w:rPr>
          <w:color w:val="222222"/>
          <w:sz w:val="20"/>
          <w:szCs w:val="20"/>
        </w:rPr>
        <w:t xml:space="preserve">Este documento define cómo calcula el sistema. La especificación de requisitos establece qué debe hacer; aquí se fija con qué fórmula, con qué precisión y en qué orden. Cada regla tiene un identificador que debe citarse en el código fuente y en las pruebas.</w:t>
      </w:r>
    </w:p>
    <w:p>
      <w:pPr>
        <w:spacing w:after="90" w:before="90" w:line="288"/>
        <w:jc w:val="both"/>
      </w:pPr>
      <w:r>
        <w:rPr>
          <w:color w:val="222222"/>
          <w:sz w:val="20"/>
          <w:szCs w:val="20"/>
        </w:rPr>
        <w:t xml:space="preserve">Todas las reglas se ilustran con ejemplos numéricos tomados de productos reales del negocio. Los ejemplos son parte de la especificación: si el código produce un resultado distinto, el código está equivocado.</w:t>
      </w:r>
    </w:p>
    <w:tbl>
      <w:tblPr>
        <w:tblW w:type="dxa" w:w="9360"/>
        <w:tblBorders>
          <w:top w:val="single" w:color="D2590B" w:sz="2"/>
          <w:left w:val="single" w:color="D2590B" w:sz="20"/>
          <w:bottom w:val="single" w:color="D2590B" w:sz="2"/>
          <w:right w:val="single" w:color="D2590B" w:sz="2"/>
          <w:insideH w:val="none"/>
          <w:insideV w:val="none"/>
        </w:tblBorders>
      </w:tblPr>
      <w:tblGrid>
        <w:gridCol w:w="9360"/>
      </w:tblGrid>
      <w:tr>
        <w:tc>
          <w:tcPr>
            <w:tcW w:type="dxa" w:w="9360"/>
            <w:shd w:fill="F8F4F0" w:color="auto" w:val="clear"/>
            <w:tcMar>
              <w:top w:type="dxa" w:w="140"/>
              <w:left w:type="dxa" w:w="220"/>
              <w:bottom w:type="dxa" w:w="140"/>
              <w:right w:type="dxa" w:w="180"/>
            </w:tcMar>
          </w:tcPr>
          <w:p>
            <w:pPr>
              <w:spacing w:after="60"/>
            </w:pPr>
            <w:r>
              <w:rPr>
                <w:b/>
                <w:bCs/>
                <w:color w:val="D2590B"/>
                <w:sz w:val="19"/>
                <w:szCs w:val="19"/>
              </w:rPr>
              <w:t xml:space="preserve">Principio general de precisión</w:t>
            </w:r>
          </w:p>
          <w:p>
            <w:pPr>
              <w:spacing w:after="50" w:line="264"/>
              <w:jc w:val="both"/>
            </w:pPr>
            <w:r>
              <w:rPr>
                <w:color w:val="333333"/>
                <w:sz w:val="18"/>
                <w:szCs w:val="18"/>
              </w:rPr>
              <w:t xml:space="preserve">Todo importe monetario se representa con tipo decimal de precisión fija. Los cálculos intermedios se realizan con cuatro decimales y el redondeo a dos decimales se aplica únicamente al totalizar cada línea y al totalizar el documento. El modo de redondeo es medio hacia arriba.</w:t>
            </w:r>
          </w:p>
          <w:p>
            <w:pPr>
              <w:spacing w:after="50" w:line="264"/>
              <w:jc w:val="both"/>
            </w:pPr>
            <w:r>
              <w:rPr>
                <w:color w:val="333333"/>
                <w:sz w:val="18"/>
                <w:szCs w:val="18"/>
              </w:rPr>
              <w:t xml:space="preserve">La tasa de cambio se almacena con seis decimales. Las cantidades se almacenan con tres decimales, lo que permite incorporar en el futuro la venta por peso sin migrar datos.</w:t>
            </w:r>
          </w:p>
        </w:tc>
      </w:tr>
    </w:tbl>
    <w:p>
      <w:pPr>
        <w:pStyle w:val="Heading1"/>
        <w:shd w:fill="212121" w:color="auto" w:val="clear"/>
        <w:spacing w:after="150" w:before="320"/>
        <w:ind w:left="100" w:right="100"/>
      </w:pPr>
      <w:r>
        <w:rPr>
          <w:b/>
          <w:bCs/>
          <w:color w:val="FFFFFF"/>
          <w:sz w:val="24"/>
          <w:szCs w:val="24"/>
        </w:rPr>
        <w:t xml:space="preserve">1. MONEDA Y TASA DE CAMBIO</w:t>
      </w:r>
    </w:p>
    <w:p>
      <w:pPr>
        <w:pStyle w:val="Heading3"/>
        <w:spacing w:after="60" w:before="200"/>
      </w:pPr>
      <w:r>
        <w:rPr>
          <w:b/>
          <w:bCs/>
          <w:color w:val="333333"/>
          <w:sz w:val="20"/>
          <w:szCs w:val="20"/>
        </w:rPr>
        <w:t xml:space="preserve">RN-01 · Moneda base</w:t>
      </w:r>
    </w:p>
    <w:p>
      <w:pPr>
        <w:spacing w:after="90" w:before="90" w:line="288"/>
        <w:jc w:val="both"/>
      </w:pPr>
      <w:r>
        <w:rPr>
          <w:color w:val="222222"/>
          <w:sz w:val="20"/>
          <w:szCs w:val="20"/>
        </w:rPr>
        <w:t xml:space="preserve">El dólar estadounidense es la moneda base del sistema. Los precios de venta, los costos de compra y los gastos se almacenan en dólares. El bolívar es una moneda de presentación: se calcula al momento de mostrar o cobrar, y nunca se almacena como dato maestro.</w:t>
      </w:r>
    </w:p>
    <w:p>
      <w:pPr>
        <w:spacing w:after="90" w:before="90" w:line="288"/>
        <w:jc w:val="both"/>
      </w:pPr>
      <w:r>
        <w:rPr>
          <w:color w:val="222222"/>
          <w:sz w:val="20"/>
          <w:szCs w:val="20"/>
        </w:rPr>
        <w:t xml:space="preserve">La excepción son las operaciones ya consumadas —ventas, pagos y compras— que conservan el monto en bolívares efectivamente cobrado o pagado, junto con la tasa aplicada. Ese registro es histórico e inmutable.</w:t>
      </w:r>
    </w:p>
    <w:p>
      <w:pPr>
        <w:pStyle w:val="Heading3"/>
        <w:spacing w:after="60" w:before="200"/>
      </w:pPr>
      <w:r>
        <w:rPr>
          <w:b/>
          <w:bCs/>
          <w:color w:val="333333"/>
          <w:sz w:val="20"/>
          <w:szCs w:val="20"/>
        </w:rPr>
        <w:t xml:space="preserve">RN-02 · Tasa única por fecha</w:t>
      </w:r>
    </w:p>
    <w:p>
      <w:pPr>
        <w:spacing w:after="90" w:before="90" w:line="288"/>
        <w:jc w:val="both"/>
      </w:pPr>
      <w:r>
        <w:rPr>
          <w:color w:val="222222"/>
          <w:sz w:val="20"/>
          <w:szCs w:val="20"/>
        </w:rPr>
        <w:t xml:space="preserve">Existe como máximo una tasa por fecha. Si se registra una segunda tasa para una fecha ya cargada, se reemplaza el valor anterior dejando constancia en la bitácora. Las operaciones ya registradas conservan la tasa con la que fueron creadas y no se recalculan.</w:t>
      </w:r>
    </w:p>
    <w:p>
      <w:pPr>
        <w:pStyle w:val="Heading3"/>
        <w:spacing w:after="60" w:before="200"/>
      </w:pPr>
      <w:r>
        <w:rPr>
          <w:b/>
          <w:bCs/>
          <w:color w:val="333333"/>
          <w:sz w:val="20"/>
          <w:szCs w:val="20"/>
        </w:rPr>
        <w:t xml:space="preserve">RN-03 · Conversión a bolívares</w:t>
      </w:r>
    </w:p>
    <w:p>
      <w:pPr>
        <w:pBdr>
          <w:top w:val="single" w:color="C9DBE1" w:sz="2"/>
          <w:bottom w:val="single" w:color="C9DBE1" w:sz="2"/>
          <w:left w:val="single" w:color="C9DBE1" w:sz="2"/>
          <w:right w:val="single" w:color="C9DBE1" w:sz="2"/>
        </w:pBdr>
        <w:shd w:fill="EDF3F5" w:color="auto" w:val="clear"/>
        <w:spacing w:after="110" w:before="110"/>
        <w:jc w:val="center"/>
      </w:pPr>
      <w:r>
        <w:rPr>
          <w:rFonts w:ascii="Consolas" w:cs="Consolas" w:eastAsia="Consolas" w:hAnsi="Consolas"/>
          <w:b/>
          <w:bCs/>
          <w:color w:val="10333F"/>
          <w:sz w:val="20"/>
          <w:szCs w:val="20"/>
        </w:rPr>
        <w:t xml:space="preserve">monto_bs  =  redondear( monto_usd × tasa_vigente , 2 )</w:t>
      </w:r>
    </w:p>
    <w:p>
      <w:pPr>
        <w:spacing w:after="90" w:before="90" w:line="288"/>
        <w:jc w:val="both"/>
      </w:pPr>
      <w:r>
        <w:rPr>
          <w:color w:val="222222"/>
          <w:sz w:val="20"/>
          <w:szCs w:val="20"/>
        </w:rPr>
        <w:t xml:space="preserve">La tasa vigente es la de la fecha de la operación. Si no existe tasa para la fecha actual, el sistema no permite abrir caja ni registrar ventas, conforme a RF-12.</w:t>
      </w:r>
    </w:p>
    <w:p>
      <w:pPr>
        <w:pStyle w:val="Heading3"/>
        <w:spacing w:after="60" w:before="200"/>
      </w:pPr>
      <w:r>
        <w:rPr>
          <w:b/>
          <w:bCs/>
          <w:color w:val="333333"/>
          <w:sz w:val="20"/>
          <w:szCs w:val="20"/>
        </w:rPr>
        <w:t xml:space="preserve">RN-04 · Tasa faltante</w:t>
      </w:r>
    </w:p>
    <w:p>
      <w:pPr>
        <w:spacing w:after="90" w:before="90" w:line="288"/>
        <w:jc w:val="both"/>
      </w:pPr>
      <w:r>
        <w:rPr>
          <w:color w:val="222222"/>
          <w:sz w:val="20"/>
          <w:szCs w:val="20"/>
        </w:rPr>
        <w:t xml:space="preserve">Al iniciar el día, el sistema intenta obtener la tasa del BCV. Si no hay conexión o la consulta falla, solicita la carga manual y registra el origen como manual. En ningún caso el sistema asume automáticamente la tasa del día anterior.</w:t>
      </w:r>
    </w:p>
    <w:p>
      <w:r>
        <w:br w:type="page"/>
      </w:r>
    </w:p>
    <w:p>
      <w:pPr>
        <w:pStyle w:val="Heading1"/>
        <w:shd w:fill="212121" w:color="auto" w:val="clear"/>
        <w:spacing w:after="150" w:before="320"/>
        <w:ind w:left="100" w:right="100"/>
      </w:pPr>
      <w:r>
        <w:rPr>
          <w:b/>
          <w:bCs/>
          <w:color w:val="FFFFFF"/>
          <w:sz w:val="24"/>
          <w:szCs w:val="24"/>
        </w:rPr>
        <w:t xml:space="preserve">2. PRECIOS, IVA Y MÁRGENES</w:t>
      </w:r>
    </w:p>
    <w:tbl>
      <w:tblPr>
        <w:tblW w:type="dxa" w:w="9360"/>
        <w:tblBorders>
          <w:top w:val="single" w:color="8A5A1F" w:sz="2"/>
          <w:left w:val="single" w:color="8A5A1F" w:sz="20"/>
          <w:bottom w:val="single" w:color="8A5A1F" w:sz="2"/>
          <w:right w:val="single" w:color="8A5A1F" w:sz="2"/>
          <w:insideH w:val="none"/>
          <w:insideV w:val="none"/>
        </w:tblBorders>
      </w:tblPr>
      <w:tblGrid>
        <w:gridCol w:w="9360"/>
      </w:tblGrid>
      <w:tr>
        <w:tc>
          <w:tcPr>
            <w:tcW w:type="dxa" w:w="9360"/>
            <w:shd w:fill="F8F4F0" w:color="auto" w:val="clear"/>
            <w:tcMar>
              <w:top w:type="dxa" w:w="140"/>
              <w:left w:type="dxa" w:w="220"/>
              <w:bottom w:type="dxa" w:w="140"/>
              <w:right w:type="dxa" w:w="180"/>
            </w:tcMar>
          </w:tcPr>
          <w:p>
            <w:pPr>
              <w:spacing w:after="60"/>
            </w:pPr>
            <w:r>
              <w:rPr>
                <w:b/>
                <w:bCs/>
                <w:color w:val="8A5A1F"/>
                <w:sz w:val="19"/>
                <w:szCs w:val="19"/>
              </w:rPr>
              <w:t xml:space="preserve">La regla que más errores produce</w:t>
            </w:r>
          </w:p>
          <w:p>
            <w:pPr>
              <w:spacing w:after="50" w:line="264"/>
              <w:jc w:val="both"/>
            </w:pPr>
            <w:r>
              <w:rPr>
                <w:color w:val="333333"/>
                <w:sz w:val="18"/>
                <w:szCs w:val="18"/>
              </w:rPr>
              <w:t xml:space="preserve">El precio exhibido incluye el IVA, pero el margen de ganancia se calcula sobre la base imponible, no sobre el precio con impuesto. Comparar el precio con IVA contra el costo infla artificialmente el margen y lleva a fijar precios por debajo de lo necesario.</w:t>
            </w:r>
          </w:p>
          <w:p>
            <w:pPr>
              <w:spacing w:after="50" w:line="264"/>
              <w:jc w:val="both"/>
            </w:pPr>
            <w:r>
              <w:rPr>
                <w:color w:val="333333"/>
                <w:sz w:val="18"/>
                <w:szCs w:val="18"/>
              </w:rPr>
              <w:t xml:space="preserve">El IVA no es ingreso del negocio: es un impuesto que se cobra por cuenta del fisco. Nunca debe formar parte del cálculo de ganancia.</w:t>
            </w:r>
          </w:p>
        </w:tc>
      </w:tr>
    </w:tbl>
    <w:p>
      <w:pPr>
        <w:pStyle w:val="Heading3"/>
        <w:spacing w:after="60" w:before="200"/>
      </w:pPr>
      <w:r>
        <w:rPr>
          <w:b/>
          <w:bCs/>
          <w:color w:val="333333"/>
          <w:sz w:val="20"/>
          <w:szCs w:val="20"/>
        </w:rPr>
        <w:t xml:space="preserve">RN-05 · Desglose de un precio con IVA incluido</w:t>
      </w:r>
    </w:p>
    <w:p>
      <w:pPr>
        <w:pBdr>
          <w:top w:val="single" w:color="C9DBE1" w:sz="2"/>
          <w:bottom w:val="single" w:color="C9DBE1" w:sz="2"/>
          <w:left w:val="single" w:color="C9DBE1" w:sz="2"/>
          <w:right w:val="single" w:color="C9DBE1" w:sz="2"/>
        </w:pBdr>
        <w:shd w:fill="EDF3F5" w:color="auto" w:val="clear"/>
        <w:spacing w:after="110" w:before="110"/>
        <w:jc w:val="center"/>
      </w:pPr>
      <w:r>
        <w:rPr>
          <w:rFonts w:ascii="Consolas" w:cs="Consolas" w:eastAsia="Consolas" w:hAnsi="Consolas"/>
          <w:b/>
          <w:bCs/>
          <w:color w:val="10333F"/>
          <w:sz w:val="20"/>
          <w:szCs w:val="20"/>
        </w:rPr>
        <w:t xml:space="preserve">base_imponible  =  precio_con_iva  /  ( 1 + alícuota / 100 )</w:t>
      </w:r>
    </w:p>
    <w:p>
      <w:pPr>
        <w:pBdr>
          <w:top w:val="single" w:color="C9DBE1" w:sz="2"/>
          <w:bottom w:val="single" w:color="C9DBE1" w:sz="2"/>
          <w:left w:val="single" w:color="C9DBE1" w:sz="2"/>
          <w:right w:val="single" w:color="C9DBE1" w:sz="2"/>
        </w:pBdr>
        <w:shd w:fill="EDF3F5" w:color="auto" w:val="clear"/>
        <w:spacing w:after="110" w:before="110"/>
        <w:jc w:val="center"/>
      </w:pPr>
      <w:r>
        <w:rPr>
          <w:rFonts w:ascii="Consolas" w:cs="Consolas" w:eastAsia="Consolas" w:hAnsi="Consolas"/>
          <w:b/>
          <w:bCs/>
          <w:color w:val="10333F"/>
          <w:sz w:val="20"/>
          <w:szCs w:val="20"/>
        </w:rPr>
        <w:t xml:space="preserve">iva  =  precio_con_iva  −  base_imponible</w:t>
      </w:r>
    </w:p>
    <w:p>
      <w:pPr>
        <w:spacing w:after="90" w:before="90" w:line="288"/>
        <w:jc w:val="both"/>
      </w:pPr>
      <w:r>
        <w:rPr>
          <w:color w:val="222222"/>
          <w:sz w:val="20"/>
          <w:szCs w:val="20"/>
        </w:rPr>
        <w:t xml:space="preserve">En los productos exentos la alícuota es cero, con lo cual la base imponible coincide con el precio y el IVA es cero. No se requiere un tratamiento distinto.</w:t>
      </w:r>
    </w:p>
    <w:p>
      <w:pPr>
        <w:pStyle w:val="Heading3"/>
        <w:spacing w:after="60" w:before="200"/>
      </w:pPr>
      <w:r>
        <w:rPr>
          <w:b/>
          <w:bCs/>
          <w:color w:val="333333"/>
          <w:sz w:val="20"/>
          <w:szCs w:val="20"/>
        </w:rPr>
        <w:t xml:space="preserve">RN-06 · Costo unitario a partir de la presentación de compra</w:t>
      </w:r>
    </w:p>
    <w:p>
      <w:pPr>
        <w:pBdr>
          <w:top w:val="single" w:color="C9DBE1" w:sz="2"/>
          <w:bottom w:val="single" w:color="C9DBE1" w:sz="2"/>
          <w:left w:val="single" w:color="C9DBE1" w:sz="2"/>
          <w:right w:val="single" w:color="C9DBE1" w:sz="2"/>
        </w:pBdr>
        <w:shd w:fill="EDF3F5" w:color="auto" w:val="clear"/>
        <w:spacing w:after="110" w:before="110"/>
        <w:jc w:val="center"/>
      </w:pPr>
      <w:r>
        <w:rPr>
          <w:rFonts w:ascii="Consolas" w:cs="Consolas" w:eastAsia="Consolas" w:hAnsi="Consolas"/>
          <w:b/>
          <w:bCs/>
          <w:color w:val="10333F"/>
          <w:sz w:val="20"/>
          <w:szCs w:val="20"/>
        </w:rPr>
        <w:t xml:space="preserve">costo_unitario  =  costo_presentación  /  unidades_por_presentación</w:t>
      </w:r>
    </w:p>
    <w:p>
      <w:pPr>
        <w:spacing w:after="90" w:before="90" w:line="288"/>
        <w:jc w:val="both"/>
      </w:pPr>
      <w:r>
        <w:rPr>
          <w:color w:val="222222"/>
          <w:sz w:val="20"/>
          <w:szCs w:val="20"/>
        </w:rPr>
        <w:t xml:space="preserve">Las unidades por presentación se capturan en cada línea de compra, no en la ficha del producto, porque un mismo producto puede adquirirse en presentaciones de distinto tamaño según el proveedor o la oportunidad.</w:t>
      </w:r>
    </w:p>
    <w:p>
      <w:pPr>
        <w:pStyle w:val="Heading3"/>
        <w:spacing w:after="60" w:before="200"/>
      </w:pPr>
      <w:r>
        <w:rPr>
          <w:b/>
          <w:bCs/>
          <w:color w:val="333333"/>
          <w:sz w:val="20"/>
          <w:szCs w:val="20"/>
        </w:rPr>
        <w:t xml:space="preserve">RN-07 · Último costo</w:t>
      </w:r>
    </w:p>
    <w:p>
      <w:pPr>
        <w:spacing w:after="90" w:before="90" w:line="288"/>
        <w:jc w:val="both"/>
      </w:pPr>
      <w:r>
        <w:rPr>
          <w:color w:val="222222"/>
          <w:sz w:val="20"/>
          <w:szCs w:val="20"/>
        </w:rPr>
        <w:t xml:space="preserve">El costo vigente de un producto es el de su compra confirmada más reciente, ordenada por fecha de compra y, en caso de empate, por identificador. Las compras anuladas se excluyen. Este valor se utiliza para calcular márgenes, valorizar el inventario y valorizar las pérdidas.</w:t>
      </w:r>
    </w:p>
    <w:p>
      <w:pPr>
        <w:pStyle w:val="Heading3"/>
        <w:spacing w:after="60" w:before="200"/>
      </w:pPr>
      <w:r>
        <w:rPr>
          <w:b/>
          <w:bCs/>
          <w:color w:val="333333"/>
          <w:sz w:val="20"/>
          <w:szCs w:val="20"/>
        </w:rPr>
        <w:t xml:space="preserve">RN-08 · Margen de ganancia</w:t>
      </w:r>
    </w:p>
    <w:p>
      <w:pPr>
        <w:pBdr>
          <w:top w:val="single" w:color="C9DBE1" w:sz="2"/>
          <w:bottom w:val="single" w:color="C9DBE1" w:sz="2"/>
          <w:left w:val="single" w:color="C9DBE1" w:sz="2"/>
          <w:right w:val="single" w:color="C9DBE1" w:sz="2"/>
        </w:pBdr>
        <w:shd w:fill="EDF3F5" w:color="auto" w:val="clear"/>
        <w:spacing w:after="110" w:before="110"/>
        <w:jc w:val="center"/>
      </w:pPr>
      <w:r>
        <w:rPr>
          <w:rFonts w:ascii="Consolas" w:cs="Consolas" w:eastAsia="Consolas" w:hAnsi="Consolas"/>
          <w:b/>
          <w:bCs/>
          <w:color w:val="10333F"/>
          <w:sz w:val="20"/>
          <w:szCs w:val="20"/>
        </w:rPr>
        <w:t xml:space="preserve">margen %  =  ( base_imponible  −  costo_unitario )  /  costo_unitario  × 100</w:t>
      </w:r>
    </w:p>
    <w:p>
      <w:pPr>
        <w:spacing w:after="90" w:before="90" w:line="288"/>
        <w:jc w:val="both"/>
      </w:pPr>
      <w:r>
        <w:rPr>
          <w:color w:val="222222"/>
          <w:sz w:val="20"/>
          <w:szCs w:val="20"/>
        </w:rPr>
        <w:t xml:space="preserve">El margen se expresa siempre sobre el costo. Un producto que cuesta un dólar y cuya base imponible es de un dólar con treinta centavos tiene un margen del treinta por ciento.</w:t>
      </w:r>
    </w:p>
    <w:p>
      <w:pPr>
        <w:pStyle w:val="Heading3"/>
        <w:spacing w:after="60" w:before="200"/>
      </w:pPr>
      <w:r>
        <w:rPr>
          <w:b/>
          <w:bCs/>
          <w:color w:val="333333"/>
          <w:sz w:val="20"/>
          <w:szCs w:val="20"/>
        </w:rPr>
        <w:t xml:space="preserve">RN-09 · Precio calculado a partir del margen objetivo</w:t>
      </w:r>
    </w:p>
    <w:p>
      <w:pPr>
        <w:pBdr>
          <w:top w:val="single" w:color="C9DBE1" w:sz="2"/>
          <w:bottom w:val="single" w:color="C9DBE1" w:sz="2"/>
          <w:left w:val="single" w:color="C9DBE1" w:sz="2"/>
          <w:right w:val="single" w:color="C9DBE1" w:sz="2"/>
        </w:pBdr>
        <w:shd w:fill="EDF3F5" w:color="auto" w:val="clear"/>
        <w:spacing w:after="110" w:before="110"/>
        <w:jc w:val="center"/>
      </w:pPr>
      <w:r>
        <w:rPr>
          <w:rFonts w:ascii="Consolas" w:cs="Consolas" w:eastAsia="Consolas" w:hAnsi="Consolas"/>
          <w:b/>
          <w:bCs/>
          <w:color w:val="10333F"/>
          <w:sz w:val="20"/>
          <w:szCs w:val="20"/>
        </w:rPr>
        <w:t xml:space="preserve">precio_con_iva  =  costo_unitario  × ( 1 + margen / 100 )  × ( 1 + alícuota / 100 )</w:t>
      </w:r>
    </w:p>
    <w:p>
      <w:pPr>
        <w:spacing w:after="90" w:before="90" w:line="288"/>
        <w:jc w:val="both"/>
      </w:pPr>
      <w:r>
        <w:rPr>
          <w:color w:val="222222"/>
          <w:sz w:val="20"/>
          <w:szCs w:val="20"/>
        </w:rPr>
        <w:t xml:space="preserve">El margen objetivo aplicable es el del producto si lo tiene definido; en caso contrario, el de su categoría. El resultado se somete a la regla de redondeo comercial antes de guardarse.</w:t>
      </w:r>
    </w:p>
    <w:p>
      <w:pPr>
        <w:pStyle w:val="Heading3"/>
        <w:spacing w:after="60" w:before="200"/>
      </w:pPr>
      <w:r>
        <w:rPr>
          <w:b/>
          <w:bCs/>
          <w:color w:val="333333"/>
          <w:sz w:val="20"/>
          <w:szCs w:val="20"/>
        </w:rPr>
        <w:t xml:space="preserve">RN-10 · Redondeo comercial</w:t>
      </w:r>
    </w:p>
    <w:p>
      <w:pPr>
        <w:spacing w:after="90" w:before="90" w:line="288"/>
        <w:jc w:val="both"/>
      </w:pPr>
      <w:r>
        <w:rPr>
          <w:color w:val="222222"/>
          <w:sz w:val="20"/>
          <w:szCs w:val="20"/>
        </w:rPr>
        <w:t xml:space="preserve">El precio en bolívares se redondea al múltiplo configurado en el sistema, siempre hacia arriba, para evitar la necesidad de sencillo. El valor por defecto es un múltiplo de uno. El redondeo se aplica al importe en bolívares mostrado al público, no al precio en dólares almacenado.</w:t>
      </w:r>
    </w:p>
    <w:p>
      <w:pPr>
        <w:pStyle w:val="Heading2"/>
        <w:pBdr>
          <w:bottom w:val="single" w:color="E0D8D0" w:sz="4" w:space="4"/>
        </w:pBdr>
        <w:spacing w:after="100" w:before="280"/>
      </w:pPr>
      <w:r>
        <w:rPr>
          <w:b/>
          <w:bCs/>
          <w:color w:val="D2590B"/>
          <w:sz w:val="21"/>
          <w:szCs w:val="21"/>
        </w:rPr>
        <w:t xml:space="preserve">Ejemplo trabajado A — producto exento</w:t>
      </w:r>
    </w:p>
    <w:p>
      <w:pPr>
        <w:spacing w:after="90" w:before="90" w:line="288"/>
        <w:jc w:val="both"/>
      </w:pPr>
      <w:r>
        <w:rPr>
          <w:color w:val="222222"/>
          <w:sz w:val="20"/>
          <w:szCs w:val="20"/>
        </w:rPr>
        <w:t xml:space="preserve">Harina de maíz precocida, comprada en bulto de veinte unidades a doce dólares el bulto, con un margen objetivo del treinta por ciento y alícuota exenta. Tasa del día: 210,500000 bolívares por dólar.</w:t>
      </w:r>
    </w:p>
    <w:tbl>
      <w:tblPr>
        <w:tblW w:type="dxa" w:w="9360"/>
        <w:tblBorders>
          <w:top w:val="single" w:color="BBBBBB" w:sz="4"/>
          <w:left w:val="single" w:color="BBBBBB" w:sz="4"/>
          <w:bottom w:val="single" w:color="BBBBBB" w:sz="4"/>
          <w:right w:val="single" w:color="BBBBBB" w:sz="4"/>
          <w:insideH w:val="single" w:color="E0E0E0" w:sz="4"/>
          <w:insideV w:val="single" w:color="E0E0E0" w:sz="4"/>
        </w:tblBorders>
      </w:tblPr>
      <w:tblGrid>
        <w:gridCol w:w="2900"/>
        <w:gridCol w:w="3860"/>
        <w:gridCol w:w="2600"/>
      </w:tblGrid>
      <w:tr>
        <w:trPr>
          <w:tblHeader/>
        </w:trPr>
        <w:tc>
          <w:tcPr>
            <w:tcW w:type="dxa" w:w="2900"/>
            <w:shd w:fill="212121" w:color="auto" w:val="clear"/>
            <w:tcMar>
              <w:top w:type="dxa" w:w="80"/>
              <w:left w:type="dxa" w:w="120"/>
              <w:bottom w:type="dxa" w:w="80"/>
              <w:right w:type="dxa" w:w="120"/>
            </w:tcMar>
          </w:tcPr>
          <w:p>
            <w:r>
              <w:rPr>
                <w:b/>
                <w:bCs/>
                <w:color w:val="FFFFFF"/>
                <w:sz w:val="18"/>
                <w:szCs w:val="18"/>
              </w:rPr>
              <w:t xml:space="preserve">Paso</w:t>
            </w:r>
          </w:p>
        </w:tc>
        <w:tc>
          <w:tcPr>
            <w:tcW w:type="dxa" w:w="3860"/>
            <w:shd w:fill="212121" w:color="auto" w:val="clear"/>
            <w:tcMar>
              <w:top w:type="dxa" w:w="80"/>
              <w:left w:type="dxa" w:w="120"/>
              <w:bottom w:type="dxa" w:w="80"/>
              <w:right w:type="dxa" w:w="120"/>
            </w:tcMar>
          </w:tcPr>
          <w:p>
            <w:r>
              <w:rPr>
                <w:b/>
                <w:bCs/>
                <w:color w:val="FFFFFF"/>
                <w:sz w:val="18"/>
                <w:szCs w:val="18"/>
              </w:rPr>
              <w:t xml:space="preserve">Cálculo</w:t>
            </w:r>
          </w:p>
        </w:tc>
        <w:tc>
          <w:tcPr>
            <w:tcW w:type="dxa" w:w="2600"/>
            <w:shd w:fill="212121" w:color="auto" w:val="clear"/>
            <w:tcMar>
              <w:top w:type="dxa" w:w="80"/>
              <w:left w:type="dxa" w:w="120"/>
              <w:bottom w:type="dxa" w:w="80"/>
              <w:right w:type="dxa" w:w="120"/>
            </w:tcMar>
          </w:tcPr>
          <w:p>
            <w:r>
              <w:rPr>
                <w:b/>
                <w:bCs/>
                <w:color w:val="FFFFFF"/>
                <w:sz w:val="18"/>
                <w:szCs w:val="18"/>
              </w:rPr>
              <w:t xml:space="preserve">Resultado</w:t>
            </w:r>
          </w:p>
        </w:tc>
      </w:tr>
      <w:tr>
        <w:trPr>
          <w:tblHeader w:val="false"/>
        </w:trPr>
        <w:tc>
          <w:tcPr>
            <w:tcW w:type="dxa" w:w="2900"/>
            <w:tcMar>
              <w:top w:type="dxa" w:w="80"/>
              <w:left w:type="dxa" w:w="120"/>
              <w:bottom w:type="dxa" w:w="80"/>
              <w:right w:type="dxa" w:w="120"/>
            </w:tcMar>
          </w:tcPr>
          <w:p>
            <w:r>
              <w:rPr>
                <w:color w:val="222222"/>
                <w:sz w:val="18"/>
                <w:szCs w:val="18"/>
              </w:rPr>
              <w:t xml:space="preserve">Costo unitario</w:t>
            </w:r>
          </w:p>
        </w:tc>
        <w:tc>
          <w:tcPr>
            <w:tcW w:type="dxa" w:w="3860"/>
            <w:tcMar>
              <w:top w:type="dxa" w:w="80"/>
              <w:left w:type="dxa" w:w="120"/>
              <w:bottom w:type="dxa" w:w="80"/>
              <w:right w:type="dxa" w:w="120"/>
            </w:tcMar>
          </w:tcPr>
          <w:p>
            <w:r>
              <w:rPr>
                <w:b w:val="false"/>
                <w:bCs w:val="false"/>
                <w:color w:val="222222"/>
                <w:sz w:val="18"/>
                <w:szCs w:val="18"/>
              </w:rPr>
              <w:t xml:space="preserve">12,0000 / 20</w:t>
            </w:r>
          </w:p>
        </w:tc>
        <w:tc>
          <w:tcPr>
            <w:tcW w:type="dxa" w:w="2600"/>
            <w:tcMar>
              <w:top w:type="dxa" w:w="80"/>
              <w:left w:type="dxa" w:w="120"/>
              <w:bottom w:type="dxa" w:w="80"/>
              <w:right w:type="dxa" w:w="120"/>
            </w:tcMar>
          </w:tcPr>
          <w:p>
            <w:r>
              <w:rPr>
                <w:b w:val="false"/>
                <w:bCs w:val="false"/>
                <w:color w:val="222222"/>
                <w:sz w:val="18"/>
                <w:szCs w:val="18"/>
              </w:rPr>
              <w:t xml:space="preserve">0,6000 USD</w:t>
            </w:r>
          </w:p>
        </w:tc>
      </w:tr>
      <w:tr>
        <w:trPr>
          <w:tblHeader w:val="false"/>
        </w:trPr>
        <w:tc>
          <w:tcPr>
            <w:tcW w:type="dxa" w:w="2900"/>
            <w:tcMar>
              <w:top w:type="dxa" w:w="80"/>
              <w:left w:type="dxa" w:w="120"/>
              <w:bottom w:type="dxa" w:w="80"/>
              <w:right w:type="dxa" w:w="120"/>
            </w:tcMar>
          </w:tcPr>
          <w:p>
            <w:r>
              <w:rPr>
                <w:color w:val="222222"/>
                <w:sz w:val="18"/>
                <w:szCs w:val="18"/>
              </w:rPr>
              <w:t xml:space="preserve">Base imponible objetivo</w:t>
            </w:r>
          </w:p>
        </w:tc>
        <w:tc>
          <w:tcPr>
            <w:tcW w:type="dxa" w:w="3860"/>
            <w:tcMar>
              <w:top w:type="dxa" w:w="80"/>
              <w:left w:type="dxa" w:w="120"/>
              <w:bottom w:type="dxa" w:w="80"/>
              <w:right w:type="dxa" w:w="120"/>
            </w:tcMar>
          </w:tcPr>
          <w:p>
            <w:r>
              <w:rPr>
                <w:b w:val="false"/>
                <w:bCs w:val="false"/>
                <w:color w:val="222222"/>
                <w:sz w:val="18"/>
                <w:szCs w:val="18"/>
              </w:rPr>
              <w:t xml:space="preserve">0,6000 × 1,30</w:t>
            </w:r>
          </w:p>
        </w:tc>
        <w:tc>
          <w:tcPr>
            <w:tcW w:type="dxa" w:w="2600"/>
            <w:tcMar>
              <w:top w:type="dxa" w:w="80"/>
              <w:left w:type="dxa" w:w="120"/>
              <w:bottom w:type="dxa" w:w="80"/>
              <w:right w:type="dxa" w:w="120"/>
            </w:tcMar>
          </w:tcPr>
          <w:p>
            <w:r>
              <w:rPr>
                <w:b w:val="false"/>
                <w:bCs w:val="false"/>
                <w:color w:val="222222"/>
                <w:sz w:val="18"/>
                <w:szCs w:val="18"/>
              </w:rPr>
              <w:t xml:space="preserve">0,7800 USD</w:t>
            </w:r>
          </w:p>
        </w:tc>
      </w:tr>
      <w:tr>
        <w:trPr>
          <w:tblHeader w:val="false"/>
        </w:trPr>
        <w:tc>
          <w:tcPr>
            <w:tcW w:type="dxa" w:w="2900"/>
            <w:tcMar>
              <w:top w:type="dxa" w:w="80"/>
              <w:left w:type="dxa" w:w="120"/>
              <w:bottom w:type="dxa" w:w="80"/>
              <w:right w:type="dxa" w:w="120"/>
            </w:tcMar>
          </w:tcPr>
          <w:p>
            <w:r>
              <w:rPr>
                <w:color w:val="222222"/>
                <w:sz w:val="18"/>
                <w:szCs w:val="18"/>
              </w:rPr>
              <w:t xml:space="preserve">Alícuota</w:t>
            </w:r>
          </w:p>
        </w:tc>
        <w:tc>
          <w:tcPr>
            <w:tcW w:type="dxa" w:w="3860"/>
            <w:tcMar>
              <w:top w:type="dxa" w:w="80"/>
              <w:left w:type="dxa" w:w="120"/>
              <w:bottom w:type="dxa" w:w="80"/>
              <w:right w:type="dxa" w:w="120"/>
            </w:tcMar>
          </w:tcPr>
          <w:p>
            <w:r>
              <w:rPr>
                <w:b w:val="false"/>
                <w:bCs w:val="false"/>
                <w:color w:val="222222"/>
                <w:sz w:val="18"/>
                <w:szCs w:val="18"/>
              </w:rPr>
              <w:t xml:space="preserve">Exento</w:t>
            </w:r>
          </w:p>
        </w:tc>
        <w:tc>
          <w:tcPr>
            <w:tcW w:type="dxa" w:w="2600"/>
            <w:tcMar>
              <w:top w:type="dxa" w:w="80"/>
              <w:left w:type="dxa" w:w="120"/>
              <w:bottom w:type="dxa" w:w="80"/>
              <w:right w:type="dxa" w:w="120"/>
            </w:tcMar>
          </w:tcPr>
          <w:p>
            <w:r>
              <w:rPr>
                <w:b w:val="false"/>
                <w:bCs w:val="false"/>
                <w:color w:val="222222"/>
                <w:sz w:val="18"/>
                <w:szCs w:val="18"/>
              </w:rPr>
              <w:t xml:space="preserve">0,00 %</w:t>
            </w:r>
          </w:p>
        </w:tc>
      </w:tr>
      <w:tr>
        <w:trPr>
          <w:tblHeader w:val="false"/>
        </w:trPr>
        <w:tc>
          <w:tcPr>
            <w:tcW w:type="dxa" w:w="2900"/>
            <w:tcMar>
              <w:top w:type="dxa" w:w="80"/>
              <w:left w:type="dxa" w:w="120"/>
              <w:bottom w:type="dxa" w:w="80"/>
              <w:right w:type="dxa" w:w="120"/>
            </w:tcMar>
          </w:tcPr>
          <w:p>
            <w:r>
              <w:rPr>
                <w:color w:val="222222"/>
                <w:sz w:val="18"/>
                <w:szCs w:val="18"/>
              </w:rPr>
              <w:t xml:space="preserve">Precio con IVA</w:t>
            </w:r>
          </w:p>
        </w:tc>
        <w:tc>
          <w:tcPr>
            <w:tcW w:type="dxa" w:w="3860"/>
            <w:tcMar>
              <w:top w:type="dxa" w:w="80"/>
              <w:left w:type="dxa" w:w="120"/>
              <w:bottom w:type="dxa" w:w="80"/>
              <w:right w:type="dxa" w:w="120"/>
            </w:tcMar>
          </w:tcPr>
          <w:p>
            <w:r>
              <w:rPr>
                <w:b w:val="false"/>
                <w:bCs w:val="false"/>
                <w:color w:val="222222"/>
                <w:sz w:val="18"/>
                <w:szCs w:val="18"/>
              </w:rPr>
              <w:t xml:space="preserve">0,7800 × 1,00</w:t>
            </w:r>
          </w:p>
        </w:tc>
        <w:tc>
          <w:tcPr>
            <w:tcW w:type="dxa" w:w="2600"/>
            <w:tcMar>
              <w:top w:type="dxa" w:w="80"/>
              <w:left w:type="dxa" w:w="120"/>
              <w:bottom w:type="dxa" w:w="80"/>
              <w:right w:type="dxa" w:w="120"/>
            </w:tcMar>
          </w:tcPr>
          <w:p>
            <w:r>
              <w:rPr>
                <w:b w:val="false"/>
                <w:bCs w:val="false"/>
                <w:color w:val="222222"/>
                <w:sz w:val="18"/>
                <w:szCs w:val="18"/>
              </w:rPr>
              <w:t xml:space="preserve">0,7800 USD</w:t>
            </w:r>
          </w:p>
        </w:tc>
      </w:tr>
      <w:tr>
        <w:trPr>
          <w:tblHeader w:val="false"/>
        </w:trPr>
        <w:tc>
          <w:tcPr>
            <w:tcW w:type="dxa" w:w="2900"/>
            <w:tcMar>
              <w:top w:type="dxa" w:w="80"/>
              <w:left w:type="dxa" w:w="120"/>
              <w:bottom w:type="dxa" w:w="80"/>
              <w:right w:type="dxa" w:w="120"/>
            </w:tcMar>
          </w:tcPr>
          <w:p>
            <w:r>
              <w:rPr>
                <w:color w:val="222222"/>
                <w:sz w:val="18"/>
                <w:szCs w:val="18"/>
              </w:rPr>
              <w:t xml:space="preserve">Precio en bolívares</w:t>
            </w:r>
          </w:p>
        </w:tc>
        <w:tc>
          <w:tcPr>
            <w:tcW w:type="dxa" w:w="3860"/>
            <w:tcMar>
              <w:top w:type="dxa" w:w="80"/>
              <w:left w:type="dxa" w:w="120"/>
              <w:bottom w:type="dxa" w:w="80"/>
              <w:right w:type="dxa" w:w="120"/>
            </w:tcMar>
          </w:tcPr>
          <w:p>
            <w:r>
              <w:rPr>
                <w:b w:val="false"/>
                <w:bCs w:val="false"/>
                <w:color w:val="222222"/>
                <w:sz w:val="18"/>
                <w:szCs w:val="18"/>
              </w:rPr>
              <w:t xml:space="preserve">0,7800 × 210,500000</w:t>
            </w:r>
          </w:p>
        </w:tc>
        <w:tc>
          <w:tcPr>
            <w:tcW w:type="dxa" w:w="2600"/>
            <w:tcMar>
              <w:top w:type="dxa" w:w="80"/>
              <w:left w:type="dxa" w:w="120"/>
              <w:bottom w:type="dxa" w:w="80"/>
              <w:right w:type="dxa" w:w="120"/>
            </w:tcMar>
          </w:tcPr>
          <w:p>
            <w:r>
              <w:rPr>
                <w:b w:val="false"/>
                <w:bCs w:val="false"/>
                <w:color w:val="222222"/>
                <w:sz w:val="18"/>
                <w:szCs w:val="18"/>
              </w:rPr>
              <w:t xml:space="preserve">164,19 Bs</w:t>
            </w:r>
          </w:p>
        </w:tc>
      </w:tr>
      <w:tr>
        <w:trPr>
          <w:tblHeader w:val="false"/>
        </w:trPr>
        <w:tc>
          <w:tcPr>
            <w:tcW w:type="dxa" w:w="2900"/>
            <w:tcMar>
              <w:top w:type="dxa" w:w="80"/>
              <w:left w:type="dxa" w:w="120"/>
              <w:bottom w:type="dxa" w:w="80"/>
              <w:right w:type="dxa" w:w="120"/>
            </w:tcMar>
          </w:tcPr>
          <w:p>
            <w:r>
              <w:rPr>
                <w:color w:val="222222"/>
                <w:sz w:val="18"/>
                <w:szCs w:val="18"/>
              </w:rPr>
              <w:t xml:space="preserve">Precio redondeado al público</w:t>
            </w:r>
          </w:p>
        </w:tc>
        <w:tc>
          <w:tcPr>
            <w:tcW w:type="dxa" w:w="3860"/>
            <w:tcMar>
              <w:top w:type="dxa" w:w="80"/>
              <w:left w:type="dxa" w:w="120"/>
              <w:bottom w:type="dxa" w:w="80"/>
              <w:right w:type="dxa" w:w="120"/>
            </w:tcMar>
          </w:tcPr>
          <w:p>
            <w:r>
              <w:rPr>
                <w:b w:val="false"/>
                <w:bCs w:val="false"/>
                <w:color w:val="222222"/>
                <w:sz w:val="18"/>
                <w:szCs w:val="18"/>
              </w:rPr>
              <w:t xml:space="preserve">Múltiplo de 1, hacia arriba</w:t>
            </w:r>
          </w:p>
        </w:tc>
        <w:tc>
          <w:tcPr>
            <w:tcW w:type="dxa" w:w="2600"/>
            <w:tcMar>
              <w:top w:type="dxa" w:w="80"/>
              <w:left w:type="dxa" w:w="120"/>
              <w:bottom w:type="dxa" w:w="80"/>
              <w:right w:type="dxa" w:w="120"/>
            </w:tcMar>
          </w:tcPr>
          <w:p>
            <w:r>
              <w:rPr>
                <w:b w:val="false"/>
                <w:bCs w:val="false"/>
                <w:color w:val="222222"/>
                <w:sz w:val="18"/>
                <w:szCs w:val="18"/>
              </w:rPr>
              <w:t xml:space="preserve">165,00 Bs</w:t>
            </w:r>
          </w:p>
        </w:tc>
      </w:tr>
      <w:tr>
        <w:trPr>
          <w:tblHeader w:val="false"/>
        </w:trPr>
        <w:tc>
          <w:tcPr>
            <w:tcW w:type="dxa" w:w="2900"/>
            <w:tcMar>
              <w:top w:type="dxa" w:w="80"/>
              <w:left w:type="dxa" w:w="120"/>
              <w:bottom w:type="dxa" w:w="80"/>
              <w:right w:type="dxa" w:w="120"/>
            </w:tcMar>
          </w:tcPr>
          <w:p>
            <w:r>
              <w:rPr>
                <w:color w:val="222222"/>
                <w:sz w:val="18"/>
                <w:szCs w:val="18"/>
              </w:rPr>
              <w:t xml:space="preserve">Margen real sobre el costo</w:t>
            </w:r>
          </w:p>
        </w:tc>
        <w:tc>
          <w:tcPr>
            <w:tcW w:type="dxa" w:w="3860"/>
            <w:tcMar>
              <w:top w:type="dxa" w:w="80"/>
              <w:left w:type="dxa" w:w="120"/>
              <w:bottom w:type="dxa" w:w="80"/>
              <w:right w:type="dxa" w:w="120"/>
            </w:tcMar>
          </w:tcPr>
          <w:p>
            <w:r>
              <w:rPr>
                <w:b w:val="false"/>
                <w:bCs w:val="false"/>
                <w:color w:val="222222"/>
                <w:sz w:val="18"/>
                <w:szCs w:val="18"/>
              </w:rPr>
              <w:t xml:space="preserve">(0,7800 − 0,6000) / 0,6000</w:t>
            </w:r>
          </w:p>
        </w:tc>
        <w:tc>
          <w:tcPr>
            <w:tcW w:type="dxa" w:w="2600"/>
            <w:tcMar>
              <w:top w:type="dxa" w:w="80"/>
              <w:left w:type="dxa" w:w="120"/>
              <w:bottom w:type="dxa" w:w="80"/>
              <w:right w:type="dxa" w:w="120"/>
            </w:tcMar>
          </w:tcPr>
          <w:p>
            <w:r>
              <w:rPr>
                <w:b w:val="false"/>
                <w:bCs w:val="false"/>
                <w:color w:val="222222"/>
                <w:sz w:val="18"/>
                <w:szCs w:val="18"/>
              </w:rPr>
              <w:t xml:space="preserve">30,00 %</w:t>
            </w:r>
          </w:p>
        </w:tc>
      </w:tr>
    </w:tbl>
    <w:p>
      <w:pPr>
        <w:pStyle w:val="Heading2"/>
        <w:pBdr>
          <w:bottom w:val="single" w:color="E0D8D0" w:sz="4" w:space="4"/>
        </w:pBdr>
        <w:spacing w:after="100" w:before="280"/>
      </w:pPr>
      <w:r>
        <w:rPr>
          <w:b/>
          <w:bCs/>
          <w:color w:val="D2590B"/>
          <w:sz w:val="21"/>
          <w:szCs w:val="21"/>
        </w:rPr>
        <w:t xml:space="preserve">Ejemplo trabajado B — producto gravado</w:t>
      </w:r>
    </w:p>
    <w:p>
      <w:pPr>
        <w:spacing w:after="90" w:before="90" w:line="288"/>
        <w:jc w:val="both"/>
      </w:pPr>
      <w:r>
        <w:rPr>
          <w:color w:val="222222"/>
          <w:sz w:val="20"/>
          <w:szCs w:val="20"/>
        </w:rPr>
        <w:t xml:space="preserve">Refresco en lata, comprado en caja de veinticuatro unidades a doce dólares con sesenta centavos la caja, margen objetivo del treinta y cinco por ciento y alícuota general del dieciséis por ciento. Misma tasa.</w:t>
      </w:r>
    </w:p>
    <w:tbl>
      <w:tblPr>
        <w:tblW w:type="dxa" w:w="9360"/>
        <w:tblBorders>
          <w:top w:val="single" w:color="BBBBBB" w:sz="4"/>
          <w:left w:val="single" w:color="BBBBBB" w:sz="4"/>
          <w:bottom w:val="single" w:color="BBBBBB" w:sz="4"/>
          <w:right w:val="single" w:color="BBBBBB" w:sz="4"/>
          <w:insideH w:val="single" w:color="E0E0E0" w:sz="4"/>
          <w:insideV w:val="single" w:color="E0E0E0" w:sz="4"/>
        </w:tblBorders>
      </w:tblPr>
      <w:tblGrid>
        <w:gridCol w:w="2900"/>
        <w:gridCol w:w="3860"/>
        <w:gridCol w:w="2600"/>
      </w:tblGrid>
      <w:tr>
        <w:trPr>
          <w:tblHeader/>
        </w:trPr>
        <w:tc>
          <w:tcPr>
            <w:tcW w:type="dxa" w:w="2900"/>
            <w:shd w:fill="212121" w:color="auto" w:val="clear"/>
            <w:tcMar>
              <w:top w:type="dxa" w:w="80"/>
              <w:left w:type="dxa" w:w="120"/>
              <w:bottom w:type="dxa" w:w="80"/>
              <w:right w:type="dxa" w:w="120"/>
            </w:tcMar>
          </w:tcPr>
          <w:p>
            <w:r>
              <w:rPr>
                <w:b/>
                <w:bCs/>
                <w:color w:val="FFFFFF"/>
                <w:sz w:val="18"/>
                <w:szCs w:val="18"/>
              </w:rPr>
              <w:t xml:space="preserve">Paso</w:t>
            </w:r>
          </w:p>
        </w:tc>
        <w:tc>
          <w:tcPr>
            <w:tcW w:type="dxa" w:w="3860"/>
            <w:shd w:fill="212121" w:color="auto" w:val="clear"/>
            <w:tcMar>
              <w:top w:type="dxa" w:w="80"/>
              <w:left w:type="dxa" w:w="120"/>
              <w:bottom w:type="dxa" w:w="80"/>
              <w:right w:type="dxa" w:w="120"/>
            </w:tcMar>
          </w:tcPr>
          <w:p>
            <w:r>
              <w:rPr>
                <w:b/>
                <w:bCs/>
                <w:color w:val="FFFFFF"/>
                <w:sz w:val="18"/>
                <w:szCs w:val="18"/>
              </w:rPr>
              <w:t xml:space="preserve">Cálculo</w:t>
            </w:r>
          </w:p>
        </w:tc>
        <w:tc>
          <w:tcPr>
            <w:tcW w:type="dxa" w:w="2600"/>
            <w:shd w:fill="212121" w:color="auto" w:val="clear"/>
            <w:tcMar>
              <w:top w:type="dxa" w:w="80"/>
              <w:left w:type="dxa" w:w="120"/>
              <w:bottom w:type="dxa" w:w="80"/>
              <w:right w:type="dxa" w:w="120"/>
            </w:tcMar>
          </w:tcPr>
          <w:p>
            <w:r>
              <w:rPr>
                <w:b/>
                <w:bCs/>
                <w:color w:val="FFFFFF"/>
                <w:sz w:val="18"/>
                <w:szCs w:val="18"/>
              </w:rPr>
              <w:t xml:space="preserve">Resultado</w:t>
            </w:r>
          </w:p>
        </w:tc>
      </w:tr>
      <w:tr>
        <w:trPr>
          <w:tblHeader w:val="false"/>
        </w:trPr>
        <w:tc>
          <w:tcPr>
            <w:tcW w:type="dxa" w:w="2900"/>
            <w:tcMar>
              <w:top w:type="dxa" w:w="80"/>
              <w:left w:type="dxa" w:w="120"/>
              <w:bottom w:type="dxa" w:w="80"/>
              <w:right w:type="dxa" w:w="120"/>
            </w:tcMar>
          </w:tcPr>
          <w:p>
            <w:r>
              <w:rPr>
                <w:color w:val="222222"/>
                <w:sz w:val="18"/>
                <w:szCs w:val="18"/>
              </w:rPr>
              <w:t xml:space="preserve">Costo unitario</w:t>
            </w:r>
          </w:p>
        </w:tc>
        <w:tc>
          <w:tcPr>
            <w:tcW w:type="dxa" w:w="3860"/>
            <w:tcMar>
              <w:top w:type="dxa" w:w="80"/>
              <w:left w:type="dxa" w:w="120"/>
              <w:bottom w:type="dxa" w:w="80"/>
              <w:right w:type="dxa" w:w="120"/>
            </w:tcMar>
          </w:tcPr>
          <w:p>
            <w:r>
              <w:rPr>
                <w:b w:val="false"/>
                <w:bCs w:val="false"/>
                <w:color w:val="222222"/>
                <w:sz w:val="18"/>
                <w:szCs w:val="18"/>
              </w:rPr>
              <w:t xml:space="preserve">12,6000 / 24</w:t>
            </w:r>
          </w:p>
        </w:tc>
        <w:tc>
          <w:tcPr>
            <w:tcW w:type="dxa" w:w="2600"/>
            <w:tcMar>
              <w:top w:type="dxa" w:w="80"/>
              <w:left w:type="dxa" w:w="120"/>
              <w:bottom w:type="dxa" w:w="80"/>
              <w:right w:type="dxa" w:w="120"/>
            </w:tcMar>
          </w:tcPr>
          <w:p>
            <w:r>
              <w:rPr>
                <w:b w:val="false"/>
                <w:bCs w:val="false"/>
                <w:color w:val="222222"/>
                <w:sz w:val="18"/>
                <w:szCs w:val="18"/>
              </w:rPr>
              <w:t xml:space="preserve">0,5250 USD</w:t>
            </w:r>
          </w:p>
        </w:tc>
      </w:tr>
      <w:tr>
        <w:trPr>
          <w:tblHeader w:val="false"/>
        </w:trPr>
        <w:tc>
          <w:tcPr>
            <w:tcW w:type="dxa" w:w="2900"/>
            <w:tcMar>
              <w:top w:type="dxa" w:w="80"/>
              <w:left w:type="dxa" w:w="120"/>
              <w:bottom w:type="dxa" w:w="80"/>
              <w:right w:type="dxa" w:w="120"/>
            </w:tcMar>
          </w:tcPr>
          <w:p>
            <w:r>
              <w:rPr>
                <w:color w:val="222222"/>
                <w:sz w:val="18"/>
                <w:szCs w:val="18"/>
              </w:rPr>
              <w:t xml:space="preserve">Base imponible objetivo</w:t>
            </w:r>
          </w:p>
        </w:tc>
        <w:tc>
          <w:tcPr>
            <w:tcW w:type="dxa" w:w="3860"/>
            <w:tcMar>
              <w:top w:type="dxa" w:w="80"/>
              <w:left w:type="dxa" w:w="120"/>
              <w:bottom w:type="dxa" w:w="80"/>
              <w:right w:type="dxa" w:w="120"/>
            </w:tcMar>
          </w:tcPr>
          <w:p>
            <w:r>
              <w:rPr>
                <w:b w:val="false"/>
                <w:bCs w:val="false"/>
                <w:color w:val="222222"/>
                <w:sz w:val="18"/>
                <w:szCs w:val="18"/>
              </w:rPr>
              <w:t xml:space="preserve">0,5250 × 1,35</w:t>
            </w:r>
          </w:p>
        </w:tc>
        <w:tc>
          <w:tcPr>
            <w:tcW w:type="dxa" w:w="2600"/>
            <w:tcMar>
              <w:top w:type="dxa" w:w="80"/>
              <w:left w:type="dxa" w:w="120"/>
              <w:bottom w:type="dxa" w:w="80"/>
              <w:right w:type="dxa" w:w="120"/>
            </w:tcMar>
          </w:tcPr>
          <w:p>
            <w:r>
              <w:rPr>
                <w:b w:val="false"/>
                <w:bCs w:val="false"/>
                <w:color w:val="222222"/>
                <w:sz w:val="18"/>
                <w:szCs w:val="18"/>
              </w:rPr>
              <w:t xml:space="preserve">0,7088 USD</w:t>
            </w:r>
          </w:p>
        </w:tc>
      </w:tr>
      <w:tr>
        <w:trPr>
          <w:tblHeader w:val="false"/>
        </w:trPr>
        <w:tc>
          <w:tcPr>
            <w:tcW w:type="dxa" w:w="2900"/>
            <w:tcMar>
              <w:top w:type="dxa" w:w="80"/>
              <w:left w:type="dxa" w:w="120"/>
              <w:bottom w:type="dxa" w:w="80"/>
              <w:right w:type="dxa" w:w="120"/>
            </w:tcMar>
          </w:tcPr>
          <w:p>
            <w:r>
              <w:rPr>
                <w:color w:val="222222"/>
                <w:sz w:val="18"/>
                <w:szCs w:val="18"/>
              </w:rPr>
              <w:t xml:space="preserve">IVA</w:t>
            </w:r>
          </w:p>
        </w:tc>
        <w:tc>
          <w:tcPr>
            <w:tcW w:type="dxa" w:w="3860"/>
            <w:tcMar>
              <w:top w:type="dxa" w:w="80"/>
              <w:left w:type="dxa" w:w="120"/>
              <w:bottom w:type="dxa" w:w="80"/>
              <w:right w:type="dxa" w:w="120"/>
            </w:tcMar>
          </w:tcPr>
          <w:p>
            <w:r>
              <w:rPr>
                <w:b w:val="false"/>
                <w:bCs w:val="false"/>
                <w:color w:val="222222"/>
                <w:sz w:val="18"/>
                <w:szCs w:val="18"/>
              </w:rPr>
              <w:t xml:space="preserve">0,7088 × 0,16</w:t>
            </w:r>
          </w:p>
        </w:tc>
        <w:tc>
          <w:tcPr>
            <w:tcW w:type="dxa" w:w="2600"/>
            <w:tcMar>
              <w:top w:type="dxa" w:w="80"/>
              <w:left w:type="dxa" w:w="120"/>
              <w:bottom w:type="dxa" w:w="80"/>
              <w:right w:type="dxa" w:w="120"/>
            </w:tcMar>
          </w:tcPr>
          <w:p>
            <w:r>
              <w:rPr>
                <w:b w:val="false"/>
                <w:bCs w:val="false"/>
                <w:color w:val="222222"/>
                <w:sz w:val="18"/>
                <w:szCs w:val="18"/>
              </w:rPr>
              <w:t xml:space="preserve">0,1134 USD</w:t>
            </w:r>
          </w:p>
        </w:tc>
      </w:tr>
      <w:tr>
        <w:trPr>
          <w:tblHeader w:val="false"/>
        </w:trPr>
        <w:tc>
          <w:tcPr>
            <w:tcW w:type="dxa" w:w="2900"/>
            <w:tcMar>
              <w:top w:type="dxa" w:w="80"/>
              <w:left w:type="dxa" w:w="120"/>
              <w:bottom w:type="dxa" w:w="80"/>
              <w:right w:type="dxa" w:w="120"/>
            </w:tcMar>
          </w:tcPr>
          <w:p>
            <w:r>
              <w:rPr>
                <w:color w:val="222222"/>
                <w:sz w:val="18"/>
                <w:szCs w:val="18"/>
              </w:rPr>
              <w:t xml:space="preserve">Precio con IVA</w:t>
            </w:r>
          </w:p>
        </w:tc>
        <w:tc>
          <w:tcPr>
            <w:tcW w:type="dxa" w:w="3860"/>
            <w:tcMar>
              <w:top w:type="dxa" w:w="80"/>
              <w:left w:type="dxa" w:w="120"/>
              <w:bottom w:type="dxa" w:w="80"/>
              <w:right w:type="dxa" w:w="120"/>
            </w:tcMar>
          </w:tcPr>
          <w:p>
            <w:r>
              <w:rPr>
                <w:b w:val="false"/>
                <w:bCs w:val="false"/>
                <w:color w:val="222222"/>
                <w:sz w:val="18"/>
                <w:szCs w:val="18"/>
              </w:rPr>
              <w:t xml:space="preserve">0,7088 + 0,1134</w:t>
            </w:r>
          </w:p>
        </w:tc>
        <w:tc>
          <w:tcPr>
            <w:tcW w:type="dxa" w:w="2600"/>
            <w:tcMar>
              <w:top w:type="dxa" w:w="80"/>
              <w:left w:type="dxa" w:w="120"/>
              <w:bottom w:type="dxa" w:w="80"/>
              <w:right w:type="dxa" w:w="120"/>
            </w:tcMar>
          </w:tcPr>
          <w:p>
            <w:r>
              <w:rPr>
                <w:b w:val="false"/>
                <w:bCs w:val="false"/>
                <w:color w:val="222222"/>
                <w:sz w:val="18"/>
                <w:szCs w:val="18"/>
              </w:rPr>
              <w:t xml:space="preserve">0,8222 USD</w:t>
            </w:r>
          </w:p>
        </w:tc>
      </w:tr>
      <w:tr>
        <w:trPr>
          <w:tblHeader w:val="false"/>
        </w:trPr>
        <w:tc>
          <w:tcPr>
            <w:tcW w:type="dxa" w:w="2900"/>
            <w:tcMar>
              <w:top w:type="dxa" w:w="80"/>
              <w:left w:type="dxa" w:w="120"/>
              <w:bottom w:type="dxa" w:w="80"/>
              <w:right w:type="dxa" w:w="120"/>
            </w:tcMar>
          </w:tcPr>
          <w:p>
            <w:r>
              <w:rPr>
                <w:color w:val="222222"/>
                <w:sz w:val="18"/>
                <w:szCs w:val="18"/>
              </w:rPr>
              <w:t xml:space="preserve">Precio en bolívares</w:t>
            </w:r>
          </w:p>
        </w:tc>
        <w:tc>
          <w:tcPr>
            <w:tcW w:type="dxa" w:w="3860"/>
            <w:tcMar>
              <w:top w:type="dxa" w:w="80"/>
              <w:left w:type="dxa" w:w="120"/>
              <w:bottom w:type="dxa" w:w="80"/>
              <w:right w:type="dxa" w:w="120"/>
            </w:tcMar>
          </w:tcPr>
          <w:p>
            <w:r>
              <w:rPr>
                <w:b w:val="false"/>
                <w:bCs w:val="false"/>
                <w:color w:val="222222"/>
                <w:sz w:val="18"/>
                <w:szCs w:val="18"/>
              </w:rPr>
              <w:t xml:space="preserve">0,8222 × 210,500000</w:t>
            </w:r>
          </w:p>
        </w:tc>
        <w:tc>
          <w:tcPr>
            <w:tcW w:type="dxa" w:w="2600"/>
            <w:tcMar>
              <w:top w:type="dxa" w:w="80"/>
              <w:left w:type="dxa" w:w="120"/>
              <w:bottom w:type="dxa" w:w="80"/>
              <w:right w:type="dxa" w:w="120"/>
            </w:tcMar>
          </w:tcPr>
          <w:p>
            <w:r>
              <w:rPr>
                <w:b w:val="false"/>
                <w:bCs w:val="false"/>
                <w:color w:val="222222"/>
                <w:sz w:val="18"/>
                <w:szCs w:val="18"/>
              </w:rPr>
              <w:t xml:space="preserve">173,08 Bs</w:t>
            </w:r>
          </w:p>
        </w:tc>
      </w:tr>
      <w:tr>
        <w:trPr>
          <w:tblHeader w:val="false"/>
        </w:trPr>
        <w:tc>
          <w:tcPr>
            <w:tcW w:type="dxa" w:w="2900"/>
            <w:tcMar>
              <w:top w:type="dxa" w:w="80"/>
              <w:left w:type="dxa" w:w="120"/>
              <w:bottom w:type="dxa" w:w="80"/>
              <w:right w:type="dxa" w:w="120"/>
            </w:tcMar>
          </w:tcPr>
          <w:p>
            <w:r>
              <w:rPr>
                <w:color w:val="222222"/>
                <w:sz w:val="18"/>
                <w:szCs w:val="18"/>
              </w:rPr>
              <w:t xml:space="preserve">Precio redondeado al público</w:t>
            </w:r>
          </w:p>
        </w:tc>
        <w:tc>
          <w:tcPr>
            <w:tcW w:type="dxa" w:w="3860"/>
            <w:tcMar>
              <w:top w:type="dxa" w:w="80"/>
              <w:left w:type="dxa" w:w="120"/>
              <w:bottom w:type="dxa" w:w="80"/>
              <w:right w:type="dxa" w:w="120"/>
            </w:tcMar>
          </w:tcPr>
          <w:p>
            <w:r>
              <w:rPr>
                <w:b w:val="false"/>
                <w:bCs w:val="false"/>
                <w:color w:val="222222"/>
                <w:sz w:val="18"/>
                <w:szCs w:val="18"/>
              </w:rPr>
              <w:t xml:space="preserve">Múltiplo de 1, hacia arriba</w:t>
            </w:r>
          </w:p>
        </w:tc>
        <w:tc>
          <w:tcPr>
            <w:tcW w:type="dxa" w:w="2600"/>
            <w:tcMar>
              <w:top w:type="dxa" w:w="80"/>
              <w:left w:type="dxa" w:w="120"/>
              <w:bottom w:type="dxa" w:w="80"/>
              <w:right w:type="dxa" w:w="120"/>
            </w:tcMar>
          </w:tcPr>
          <w:p>
            <w:r>
              <w:rPr>
                <w:b w:val="false"/>
                <w:bCs w:val="false"/>
                <w:color w:val="222222"/>
                <w:sz w:val="18"/>
                <w:szCs w:val="18"/>
              </w:rPr>
              <w:t xml:space="preserve">174,00 Bs</w:t>
            </w:r>
          </w:p>
        </w:tc>
      </w:tr>
      <w:tr>
        <w:trPr>
          <w:tblHeader w:val="false"/>
        </w:trPr>
        <w:tc>
          <w:tcPr>
            <w:tcW w:type="dxa" w:w="2900"/>
            <w:tcMar>
              <w:top w:type="dxa" w:w="80"/>
              <w:left w:type="dxa" w:w="120"/>
              <w:bottom w:type="dxa" w:w="80"/>
              <w:right w:type="dxa" w:w="120"/>
            </w:tcMar>
          </w:tcPr>
          <w:p>
            <w:r>
              <w:rPr>
                <w:color w:val="222222"/>
                <w:sz w:val="18"/>
                <w:szCs w:val="18"/>
              </w:rPr>
              <w:t xml:space="preserve">Base recalculada desde el precio</w:t>
            </w:r>
          </w:p>
        </w:tc>
        <w:tc>
          <w:tcPr>
            <w:tcW w:type="dxa" w:w="3860"/>
            <w:tcMar>
              <w:top w:type="dxa" w:w="80"/>
              <w:left w:type="dxa" w:w="120"/>
              <w:bottom w:type="dxa" w:w="80"/>
              <w:right w:type="dxa" w:w="120"/>
            </w:tcMar>
          </w:tcPr>
          <w:p>
            <w:r>
              <w:rPr>
                <w:b w:val="false"/>
                <w:bCs w:val="false"/>
                <w:color w:val="222222"/>
                <w:sz w:val="18"/>
                <w:szCs w:val="18"/>
              </w:rPr>
              <w:t xml:space="preserve">0,8222 / 1,16</w:t>
            </w:r>
          </w:p>
        </w:tc>
        <w:tc>
          <w:tcPr>
            <w:tcW w:type="dxa" w:w="2600"/>
            <w:tcMar>
              <w:top w:type="dxa" w:w="80"/>
              <w:left w:type="dxa" w:w="120"/>
              <w:bottom w:type="dxa" w:w="80"/>
              <w:right w:type="dxa" w:w="120"/>
            </w:tcMar>
          </w:tcPr>
          <w:p>
            <w:r>
              <w:rPr>
                <w:b w:val="false"/>
                <w:bCs w:val="false"/>
                <w:color w:val="222222"/>
                <w:sz w:val="18"/>
                <w:szCs w:val="18"/>
              </w:rPr>
              <w:t xml:space="preserve">0,7088 USD</w:t>
            </w:r>
          </w:p>
        </w:tc>
      </w:tr>
      <w:tr>
        <w:trPr>
          <w:tblHeader w:val="false"/>
        </w:trPr>
        <w:tc>
          <w:tcPr>
            <w:tcW w:type="dxa" w:w="2900"/>
            <w:tcMar>
              <w:top w:type="dxa" w:w="80"/>
              <w:left w:type="dxa" w:w="120"/>
              <w:bottom w:type="dxa" w:w="80"/>
              <w:right w:type="dxa" w:w="120"/>
            </w:tcMar>
          </w:tcPr>
          <w:p>
            <w:r>
              <w:rPr>
                <w:color w:val="222222"/>
                <w:sz w:val="18"/>
                <w:szCs w:val="18"/>
              </w:rPr>
              <w:t xml:space="preserve">Margen real sobre el costo</w:t>
            </w:r>
          </w:p>
        </w:tc>
        <w:tc>
          <w:tcPr>
            <w:tcW w:type="dxa" w:w="3860"/>
            <w:tcMar>
              <w:top w:type="dxa" w:w="80"/>
              <w:left w:type="dxa" w:w="120"/>
              <w:bottom w:type="dxa" w:w="80"/>
              <w:right w:type="dxa" w:w="120"/>
            </w:tcMar>
          </w:tcPr>
          <w:p>
            <w:r>
              <w:rPr>
                <w:b w:val="false"/>
                <w:bCs w:val="false"/>
                <w:color w:val="222222"/>
                <w:sz w:val="18"/>
                <w:szCs w:val="18"/>
              </w:rPr>
              <w:t xml:space="preserve">(0,7088 − 0,5250) / 0,5250</w:t>
            </w:r>
          </w:p>
        </w:tc>
        <w:tc>
          <w:tcPr>
            <w:tcW w:type="dxa" w:w="2600"/>
            <w:tcMar>
              <w:top w:type="dxa" w:w="80"/>
              <w:left w:type="dxa" w:w="120"/>
              <w:bottom w:type="dxa" w:w="80"/>
              <w:right w:type="dxa" w:w="120"/>
            </w:tcMar>
          </w:tcPr>
          <w:p>
            <w:r>
              <w:rPr>
                <w:b w:val="false"/>
                <w:bCs w:val="false"/>
                <w:color w:val="222222"/>
                <w:sz w:val="18"/>
                <w:szCs w:val="18"/>
              </w:rPr>
              <w:t xml:space="preserve">35,01 %</w:t>
            </w:r>
          </w:p>
        </w:tc>
      </w:tr>
    </w:tbl>
    <w:tbl>
      <w:tblPr>
        <w:tblW w:type="dxa" w:w="9360"/>
        <w:tblBorders>
          <w:top w:val="single" w:color="D2590B" w:sz="2"/>
          <w:left w:val="single" w:color="D2590B" w:sz="20"/>
          <w:bottom w:val="single" w:color="D2590B" w:sz="2"/>
          <w:right w:val="single" w:color="D2590B" w:sz="2"/>
          <w:insideH w:val="none"/>
          <w:insideV w:val="none"/>
        </w:tblBorders>
      </w:tblPr>
      <w:tblGrid>
        <w:gridCol w:w="9360"/>
      </w:tblGrid>
      <w:tr>
        <w:tc>
          <w:tcPr>
            <w:tcW w:type="dxa" w:w="9360"/>
            <w:shd w:fill="F8F4F0" w:color="auto" w:val="clear"/>
            <w:tcMar>
              <w:top w:type="dxa" w:w="140"/>
              <w:left w:type="dxa" w:w="220"/>
              <w:bottom w:type="dxa" w:w="140"/>
              <w:right w:type="dxa" w:w="180"/>
            </w:tcMar>
          </w:tcPr>
          <w:p>
            <w:pPr>
              <w:spacing w:after="60"/>
            </w:pPr>
            <w:r>
              <w:rPr>
                <w:b/>
                <w:bCs/>
                <w:color w:val="D2590B"/>
                <w:sz w:val="19"/>
                <w:szCs w:val="19"/>
              </w:rPr>
              <w:t xml:space="preserve">Verificación obligatoria</w:t>
            </w:r>
          </w:p>
          <w:p>
            <w:pPr>
              <w:spacing w:after="50" w:line="264"/>
              <w:jc w:val="both"/>
            </w:pPr>
            <w:r>
              <w:rPr>
                <w:color w:val="333333"/>
                <w:sz w:val="18"/>
                <w:szCs w:val="18"/>
              </w:rPr>
              <w:t xml:space="preserve">El desglose inverso del ejemplo B debe devolver exactamente la base imponible de partida. Si al dividir el precio con IVA entre uno coma dieciséis no se recupera la base original, hay un error de redondeo en el orden de las operaciones. Esta comprobación debe existir como prueba automatizada.</w:t>
            </w:r>
          </w:p>
        </w:tc>
      </w:tr>
    </w:tbl>
    <w:p>
      <w:r>
        <w:br w:type="page"/>
      </w:r>
    </w:p>
    <w:p>
      <w:pPr>
        <w:pStyle w:val="Heading1"/>
        <w:shd w:fill="212121" w:color="auto" w:val="clear"/>
        <w:spacing w:after="150" w:before="320"/>
        <w:ind w:left="100" w:right="100"/>
      </w:pPr>
      <w:r>
        <w:rPr>
          <w:b/>
          <w:bCs/>
          <w:color w:val="FFFFFF"/>
          <w:sz w:val="24"/>
          <w:szCs w:val="24"/>
        </w:rPr>
        <w:t xml:space="preserve">3. INVENTARIO</w:t>
      </w:r>
    </w:p>
    <w:p>
      <w:pPr>
        <w:pStyle w:val="Heading3"/>
        <w:spacing w:after="60" w:before="200"/>
      </w:pPr>
      <w:r>
        <w:rPr>
          <w:b/>
          <w:bCs/>
          <w:color w:val="333333"/>
          <w:sz w:val="20"/>
          <w:szCs w:val="20"/>
        </w:rPr>
        <w:t xml:space="preserve">RN-11 · La existencia es un resultado, no un dato</w:t>
      </w:r>
    </w:p>
    <w:p>
      <w:pPr>
        <w:pBdr>
          <w:top w:val="single" w:color="C9DBE1" w:sz="2"/>
          <w:bottom w:val="single" w:color="C9DBE1" w:sz="2"/>
          <w:left w:val="single" w:color="C9DBE1" w:sz="2"/>
          <w:right w:val="single" w:color="C9DBE1" w:sz="2"/>
        </w:pBdr>
        <w:shd w:fill="EDF3F5" w:color="auto" w:val="clear"/>
        <w:spacing w:after="110" w:before="110"/>
        <w:jc w:val="center"/>
      </w:pPr>
      <w:r>
        <w:rPr>
          <w:rFonts w:ascii="Consolas" w:cs="Consolas" w:eastAsia="Consolas" w:hAnsi="Consolas"/>
          <w:b/>
          <w:bCs/>
          <w:color w:val="10333F"/>
          <w:sz w:val="20"/>
          <w:szCs w:val="20"/>
        </w:rPr>
        <w:t xml:space="preserve">existencia  =  Σ  cantidad  de  movimiento_inventario  del  producto</w:t>
      </w:r>
    </w:p>
    <w:p>
      <w:pPr>
        <w:spacing w:after="90" w:before="90" w:line="288"/>
        <w:jc w:val="both"/>
      </w:pPr>
      <w:r>
        <w:rPr>
          <w:color w:val="222222"/>
          <w:sz w:val="20"/>
          <w:szCs w:val="20"/>
        </w:rPr>
        <w:t xml:space="preserve">No existe un campo de existencia actualizable en la ficha del producto. Toda variación se expresa como un movimiento con signo: positivo para entradas, negativo para salidas. Esta decisión permite explicar en cualquier momento por qué un producto tiene la cantidad que tiene, y es la única forma de que las pérdidas y los ajustes sean auditables.</w:t>
      </w:r>
    </w:p>
    <w:p>
      <w:pPr>
        <w:spacing w:after="90" w:before="90" w:line="288"/>
        <w:jc w:val="both"/>
      </w:pPr>
      <w:r>
        <w:rPr>
          <w:color w:val="222222"/>
          <w:sz w:val="20"/>
          <w:szCs w:val="20"/>
        </w:rPr>
        <w:t xml:space="preserve">Por razones de rendimiento puede mantenerse una existencia calculada en caché, siempre que se recalcule a partir de los movimientos y nunca se edite directamente.</w:t>
      </w:r>
    </w:p>
    <w:p>
      <w:pPr>
        <w:pStyle w:val="Heading3"/>
        <w:spacing w:after="60" w:before="200"/>
      </w:pPr>
      <w:r>
        <w:rPr>
          <w:b/>
          <w:bCs/>
          <w:color w:val="333333"/>
          <w:sz w:val="20"/>
          <w:szCs w:val="20"/>
        </w:rPr>
        <w:t xml:space="preserve">RN-12 · Tipos de movimiento</w:t>
      </w:r>
    </w:p>
    <w:tbl>
      <w:tblPr>
        <w:tblW w:type="dxa" w:w="9360"/>
        <w:tblBorders>
          <w:top w:val="single" w:color="BBBBBB" w:sz="4"/>
          <w:left w:val="single" w:color="BBBBBB" w:sz="4"/>
          <w:bottom w:val="single" w:color="BBBBBB" w:sz="4"/>
          <w:right w:val="single" w:color="BBBBBB" w:sz="4"/>
          <w:insideH w:val="single" w:color="E0E0E0" w:sz="4"/>
          <w:insideV w:val="single" w:color="E0E0E0" w:sz="4"/>
        </w:tblBorders>
      </w:tblPr>
      <w:tblGrid>
        <w:gridCol w:w="2700"/>
        <w:gridCol w:w="1500"/>
        <w:gridCol w:w="5160"/>
      </w:tblGrid>
      <w:tr>
        <w:trPr>
          <w:tblHeader/>
        </w:trPr>
        <w:tc>
          <w:tcPr>
            <w:tcW w:type="dxa" w:w="2700"/>
            <w:shd w:fill="212121" w:color="auto" w:val="clear"/>
            <w:tcMar>
              <w:top w:type="dxa" w:w="80"/>
              <w:left w:type="dxa" w:w="120"/>
              <w:bottom w:type="dxa" w:w="80"/>
              <w:right w:type="dxa" w:w="120"/>
            </w:tcMar>
          </w:tcPr>
          <w:p>
            <w:r>
              <w:rPr>
                <w:b/>
                <w:bCs/>
                <w:color w:val="FFFFFF"/>
                <w:sz w:val="18"/>
                <w:szCs w:val="18"/>
              </w:rPr>
              <w:t xml:space="preserve">Tipo</w:t>
            </w:r>
          </w:p>
        </w:tc>
        <w:tc>
          <w:tcPr>
            <w:tcW w:type="dxa" w:w="1500"/>
            <w:shd w:fill="212121" w:color="auto" w:val="clear"/>
            <w:tcMar>
              <w:top w:type="dxa" w:w="80"/>
              <w:left w:type="dxa" w:w="120"/>
              <w:bottom w:type="dxa" w:w="80"/>
              <w:right w:type="dxa" w:w="120"/>
            </w:tcMar>
          </w:tcPr>
          <w:p>
            <w:r>
              <w:rPr>
                <w:b/>
                <w:bCs/>
                <w:color w:val="FFFFFF"/>
                <w:sz w:val="18"/>
                <w:szCs w:val="18"/>
              </w:rPr>
              <w:t xml:space="preserve">Signo</w:t>
            </w:r>
          </w:p>
        </w:tc>
        <w:tc>
          <w:tcPr>
            <w:tcW w:type="dxa" w:w="5160"/>
            <w:shd w:fill="212121" w:color="auto" w:val="clear"/>
            <w:tcMar>
              <w:top w:type="dxa" w:w="80"/>
              <w:left w:type="dxa" w:w="120"/>
              <w:bottom w:type="dxa" w:w="80"/>
              <w:right w:type="dxa" w:w="120"/>
            </w:tcMar>
          </w:tcPr>
          <w:p>
            <w:r>
              <w:rPr>
                <w:b/>
                <w:bCs/>
                <w:color w:val="FFFFFF"/>
                <w:sz w:val="18"/>
                <w:szCs w:val="18"/>
              </w:rPr>
              <w:t xml:space="preserve">Origen</w:t>
            </w:r>
          </w:p>
        </w:tc>
      </w:tr>
      <w:tr>
        <w:trPr>
          <w:tblHeader w:val="false"/>
        </w:trPr>
        <w:tc>
          <w:tcPr>
            <w:tcW w:type="dxa" w:w="2700"/>
            <w:tcMar>
              <w:top w:type="dxa" w:w="80"/>
              <w:left w:type="dxa" w:w="120"/>
              <w:bottom w:type="dxa" w:w="80"/>
              <w:right w:type="dxa" w:w="120"/>
            </w:tcMar>
          </w:tcPr>
          <w:p>
            <w:r>
              <w:rPr>
                <w:color w:val="222222"/>
                <w:sz w:val="18"/>
                <w:szCs w:val="18"/>
              </w:rPr>
              <w:t xml:space="preserve">INICIAL</w:t>
            </w:r>
          </w:p>
        </w:tc>
        <w:tc>
          <w:tcPr>
            <w:tcW w:type="dxa" w:w="1500"/>
            <w:tcMar>
              <w:top w:type="dxa" w:w="80"/>
              <w:left w:type="dxa" w:w="120"/>
              <w:bottom w:type="dxa" w:w="80"/>
              <w:right w:type="dxa" w:w="120"/>
            </w:tcMar>
          </w:tcPr>
          <w:p>
            <w:r>
              <w:rPr>
                <w:b w:val="false"/>
                <w:bCs w:val="false"/>
                <w:color w:val="222222"/>
                <w:sz w:val="18"/>
                <w:szCs w:val="18"/>
              </w:rPr>
              <w:t xml:space="preserve">Positivo</w:t>
            </w:r>
          </w:p>
        </w:tc>
        <w:tc>
          <w:tcPr>
            <w:tcW w:type="dxa" w:w="5160"/>
            <w:tcMar>
              <w:top w:type="dxa" w:w="80"/>
              <w:left w:type="dxa" w:w="120"/>
              <w:bottom w:type="dxa" w:w="80"/>
              <w:right w:type="dxa" w:w="120"/>
            </w:tcMar>
          </w:tcPr>
          <w:p>
            <w:r>
              <w:rPr>
                <w:b w:val="false"/>
                <w:bCs w:val="false"/>
                <w:color w:val="222222"/>
                <w:sz w:val="18"/>
                <w:szCs w:val="18"/>
              </w:rPr>
              <w:t xml:space="preserve">Carga inicial del inventario en la puesta en marcha.</w:t>
            </w:r>
          </w:p>
        </w:tc>
      </w:tr>
      <w:tr>
        <w:trPr>
          <w:tblHeader w:val="false"/>
        </w:trPr>
        <w:tc>
          <w:tcPr>
            <w:tcW w:type="dxa" w:w="2700"/>
            <w:tcMar>
              <w:top w:type="dxa" w:w="80"/>
              <w:left w:type="dxa" w:w="120"/>
              <w:bottom w:type="dxa" w:w="80"/>
              <w:right w:type="dxa" w:w="120"/>
            </w:tcMar>
          </w:tcPr>
          <w:p>
            <w:r>
              <w:rPr>
                <w:color w:val="222222"/>
                <w:sz w:val="18"/>
                <w:szCs w:val="18"/>
              </w:rPr>
              <w:t xml:space="preserve">COMPRA</w:t>
            </w:r>
          </w:p>
        </w:tc>
        <w:tc>
          <w:tcPr>
            <w:tcW w:type="dxa" w:w="1500"/>
            <w:tcMar>
              <w:top w:type="dxa" w:w="80"/>
              <w:left w:type="dxa" w:w="120"/>
              <w:bottom w:type="dxa" w:w="80"/>
              <w:right w:type="dxa" w:w="120"/>
            </w:tcMar>
          </w:tcPr>
          <w:p>
            <w:r>
              <w:rPr>
                <w:b w:val="false"/>
                <w:bCs w:val="false"/>
                <w:color w:val="222222"/>
                <w:sz w:val="18"/>
                <w:szCs w:val="18"/>
              </w:rPr>
              <w:t xml:space="preserve">Positivo</w:t>
            </w:r>
          </w:p>
        </w:tc>
        <w:tc>
          <w:tcPr>
            <w:tcW w:type="dxa" w:w="5160"/>
            <w:tcMar>
              <w:top w:type="dxa" w:w="80"/>
              <w:left w:type="dxa" w:w="120"/>
              <w:bottom w:type="dxa" w:w="80"/>
              <w:right w:type="dxa" w:w="120"/>
            </w:tcMar>
          </w:tcPr>
          <w:p>
            <w:r>
              <w:rPr>
                <w:b w:val="false"/>
                <w:bCs w:val="false"/>
                <w:color w:val="222222"/>
                <w:sz w:val="18"/>
                <w:szCs w:val="18"/>
              </w:rPr>
              <w:t xml:space="preserve">Confirmación de una entrada de mercancía.</w:t>
            </w:r>
          </w:p>
        </w:tc>
      </w:tr>
      <w:tr>
        <w:trPr>
          <w:tblHeader w:val="false"/>
        </w:trPr>
        <w:tc>
          <w:tcPr>
            <w:tcW w:type="dxa" w:w="2700"/>
            <w:tcMar>
              <w:top w:type="dxa" w:w="80"/>
              <w:left w:type="dxa" w:w="120"/>
              <w:bottom w:type="dxa" w:w="80"/>
              <w:right w:type="dxa" w:w="120"/>
            </w:tcMar>
          </w:tcPr>
          <w:p>
            <w:r>
              <w:rPr>
                <w:color w:val="222222"/>
                <w:sz w:val="18"/>
                <w:szCs w:val="18"/>
              </w:rPr>
              <w:t xml:space="preserve">VENTA</w:t>
            </w:r>
          </w:p>
        </w:tc>
        <w:tc>
          <w:tcPr>
            <w:tcW w:type="dxa" w:w="1500"/>
            <w:tcMar>
              <w:top w:type="dxa" w:w="80"/>
              <w:left w:type="dxa" w:w="120"/>
              <w:bottom w:type="dxa" w:w="80"/>
              <w:right w:type="dxa" w:w="120"/>
            </w:tcMar>
          </w:tcPr>
          <w:p>
            <w:r>
              <w:rPr>
                <w:b w:val="false"/>
                <w:bCs w:val="false"/>
                <w:color w:val="222222"/>
                <w:sz w:val="18"/>
                <w:szCs w:val="18"/>
              </w:rPr>
              <w:t xml:space="preserve">Negativo</w:t>
            </w:r>
          </w:p>
        </w:tc>
        <w:tc>
          <w:tcPr>
            <w:tcW w:type="dxa" w:w="5160"/>
            <w:tcMar>
              <w:top w:type="dxa" w:w="80"/>
              <w:left w:type="dxa" w:w="120"/>
              <w:bottom w:type="dxa" w:w="80"/>
              <w:right w:type="dxa" w:w="120"/>
            </w:tcMar>
          </w:tcPr>
          <w:p>
            <w:r>
              <w:rPr>
                <w:b w:val="false"/>
                <w:bCs w:val="false"/>
                <w:color w:val="222222"/>
                <w:sz w:val="18"/>
                <w:szCs w:val="18"/>
              </w:rPr>
              <w:t xml:space="preserve">Confirmación de una venta.</w:t>
            </w:r>
          </w:p>
        </w:tc>
      </w:tr>
      <w:tr>
        <w:trPr>
          <w:tblHeader w:val="false"/>
        </w:trPr>
        <w:tc>
          <w:tcPr>
            <w:tcW w:type="dxa" w:w="2700"/>
            <w:tcMar>
              <w:top w:type="dxa" w:w="80"/>
              <w:left w:type="dxa" w:w="120"/>
              <w:bottom w:type="dxa" w:w="80"/>
              <w:right w:type="dxa" w:w="120"/>
            </w:tcMar>
          </w:tcPr>
          <w:p>
            <w:r>
              <w:rPr>
                <w:color w:val="222222"/>
                <w:sz w:val="18"/>
                <w:szCs w:val="18"/>
              </w:rPr>
              <w:t xml:space="preserve">ANULACION_VENTA</w:t>
            </w:r>
          </w:p>
        </w:tc>
        <w:tc>
          <w:tcPr>
            <w:tcW w:type="dxa" w:w="1500"/>
            <w:tcMar>
              <w:top w:type="dxa" w:w="80"/>
              <w:left w:type="dxa" w:w="120"/>
              <w:bottom w:type="dxa" w:w="80"/>
              <w:right w:type="dxa" w:w="120"/>
            </w:tcMar>
          </w:tcPr>
          <w:p>
            <w:r>
              <w:rPr>
                <w:b w:val="false"/>
                <w:bCs w:val="false"/>
                <w:color w:val="222222"/>
                <w:sz w:val="18"/>
                <w:szCs w:val="18"/>
              </w:rPr>
              <w:t xml:space="preserve">Positivo</w:t>
            </w:r>
          </w:p>
        </w:tc>
        <w:tc>
          <w:tcPr>
            <w:tcW w:type="dxa" w:w="5160"/>
            <w:tcMar>
              <w:top w:type="dxa" w:w="80"/>
              <w:left w:type="dxa" w:w="120"/>
              <w:bottom w:type="dxa" w:w="80"/>
              <w:right w:type="dxa" w:w="120"/>
            </w:tcMar>
          </w:tcPr>
          <w:p>
            <w:r>
              <w:rPr>
                <w:b w:val="false"/>
                <w:bCs w:val="false"/>
                <w:color w:val="222222"/>
                <w:sz w:val="18"/>
                <w:szCs w:val="18"/>
              </w:rPr>
              <w:t xml:space="preserve">Anulación de una venta previamente registrada.</w:t>
            </w:r>
          </w:p>
        </w:tc>
      </w:tr>
      <w:tr>
        <w:trPr>
          <w:tblHeader w:val="false"/>
        </w:trPr>
        <w:tc>
          <w:tcPr>
            <w:tcW w:type="dxa" w:w="2700"/>
            <w:tcMar>
              <w:top w:type="dxa" w:w="80"/>
              <w:left w:type="dxa" w:w="120"/>
              <w:bottom w:type="dxa" w:w="80"/>
              <w:right w:type="dxa" w:w="120"/>
            </w:tcMar>
          </w:tcPr>
          <w:p>
            <w:r>
              <w:rPr>
                <w:color w:val="222222"/>
                <w:sz w:val="18"/>
                <w:szCs w:val="18"/>
              </w:rPr>
              <w:t xml:space="preserve">ANULACION_COMPRA</w:t>
            </w:r>
          </w:p>
        </w:tc>
        <w:tc>
          <w:tcPr>
            <w:tcW w:type="dxa" w:w="1500"/>
            <w:tcMar>
              <w:top w:type="dxa" w:w="80"/>
              <w:left w:type="dxa" w:w="120"/>
              <w:bottom w:type="dxa" w:w="80"/>
              <w:right w:type="dxa" w:w="120"/>
            </w:tcMar>
          </w:tcPr>
          <w:p>
            <w:r>
              <w:rPr>
                <w:b w:val="false"/>
                <w:bCs w:val="false"/>
                <w:color w:val="222222"/>
                <w:sz w:val="18"/>
                <w:szCs w:val="18"/>
              </w:rPr>
              <w:t xml:space="preserve">Negativo</w:t>
            </w:r>
          </w:p>
        </w:tc>
        <w:tc>
          <w:tcPr>
            <w:tcW w:type="dxa" w:w="5160"/>
            <w:tcMar>
              <w:top w:type="dxa" w:w="80"/>
              <w:left w:type="dxa" w:w="120"/>
              <w:bottom w:type="dxa" w:w="80"/>
              <w:right w:type="dxa" w:w="120"/>
            </w:tcMar>
          </w:tcPr>
          <w:p>
            <w:r>
              <w:rPr>
                <w:b w:val="false"/>
                <w:bCs w:val="false"/>
                <w:color w:val="222222"/>
                <w:sz w:val="18"/>
                <w:szCs w:val="18"/>
              </w:rPr>
              <w:t xml:space="preserve">Anulación de una compra previamente registrada.</w:t>
            </w:r>
          </w:p>
        </w:tc>
      </w:tr>
      <w:tr>
        <w:trPr>
          <w:tblHeader w:val="false"/>
        </w:trPr>
        <w:tc>
          <w:tcPr>
            <w:tcW w:type="dxa" w:w="2700"/>
            <w:tcMar>
              <w:top w:type="dxa" w:w="80"/>
              <w:left w:type="dxa" w:w="120"/>
              <w:bottom w:type="dxa" w:w="80"/>
              <w:right w:type="dxa" w:w="120"/>
            </w:tcMar>
          </w:tcPr>
          <w:p>
            <w:r>
              <w:rPr>
                <w:color w:val="222222"/>
                <w:sz w:val="18"/>
                <w:szCs w:val="18"/>
              </w:rPr>
              <w:t xml:space="preserve">PERDIDA</w:t>
            </w:r>
          </w:p>
        </w:tc>
        <w:tc>
          <w:tcPr>
            <w:tcW w:type="dxa" w:w="1500"/>
            <w:tcMar>
              <w:top w:type="dxa" w:w="80"/>
              <w:left w:type="dxa" w:w="120"/>
              <w:bottom w:type="dxa" w:w="80"/>
              <w:right w:type="dxa" w:w="120"/>
            </w:tcMar>
          </w:tcPr>
          <w:p>
            <w:r>
              <w:rPr>
                <w:b w:val="false"/>
                <w:bCs w:val="false"/>
                <w:color w:val="222222"/>
                <w:sz w:val="18"/>
                <w:szCs w:val="18"/>
              </w:rPr>
              <w:t xml:space="preserve">Negativo</w:t>
            </w:r>
          </w:p>
        </w:tc>
        <w:tc>
          <w:tcPr>
            <w:tcW w:type="dxa" w:w="5160"/>
            <w:tcMar>
              <w:top w:type="dxa" w:w="80"/>
              <w:left w:type="dxa" w:w="120"/>
              <w:bottom w:type="dxa" w:w="80"/>
              <w:right w:type="dxa" w:w="120"/>
            </w:tcMar>
          </w:tcPr>
          <w:p>
            <w:r>
              <w:rPr>
                <w:b w:val="false"/>
                <w:bCs w:val="false"/>
                <w:color w:val="222222"/>
                <w:sz w:val="18"/>
                <w:szCs w:val="18"/>
              </w:rPr>
              <w:t xml:space="preserve">Registro de merma, vencimiento, daño, faltante o consumo propio.</w:t>
            </w:r>
          </w:p>
        </w:tc>
      </w:tr>
      <w:tr>
        <w:trPr>
          <w:tblHeader w:val="false"/>
        </w:trPr>
        <w:tc>
          <w:tcPr>
            <w:tcW w:type="dxa" w:w="2700"/>
            <w:tcMar>
              <w:top w:type="dxa" w:w="80"/>
              <w:left w:type="dxa" w:w="120"/>
              <w:bottom w:type="dxa" w:w="80"/>
              <w:right w:type="dxa" w:w="120"/>
            </w:tcMar>
          </w:tcPr>
          <w:p>
            <w:r>
              <w:rPr>
                <w:color w:val="222222"/>
                <w:sz w:val="18"/>
                <w:szCs w:val="18"/>
              </w:rPr>
              <w:t xml:space="preserve">AJUSTE</w:t>
            </w:r>
          </w:p>
        </w:tc>
        <w:tc>
          <w:tcPr>
            <w:tcW w:type="dxa" w:w="1500"/>
            <w:tcMar>
              <w:top w:type="dxa" w:w="80"/>
              <w:left w:type="dxa" w:w="120"/>
              <w:bottom w:type="dxa" w:w="80"/>
              <w:right w:type="dxa" w:w="120"/>
            </w:tcMar>
          </w:tcPr>
          <w:p>
            <w:r>
              <w:rPr>
                <w:b w:val="false"/>
                <w:bCs w:val="false"/>
                <w:color w:val="222222"/>
                <w:sz w:val="18"/>
                <w:szCs w:val="18"/>
              </w:rPr>
              <w:t xml:space="preserve">Ambos</w:t>
            </w:r>
          </w:p>
        </w:tc>
        <w:tc>
          <w:tcPr>
            <w:tcW w:type="dxa" w:w="5160"/>
            <w:tcMar>
              <w:top w:type="dxa" w:w="80"/>
              <w:left w:type="dxa" w:w="120"/>
              <w:bottom w:type="dxa" w:w="80"/>
              <w:right w:type="dxa" w:w="120"/>
            </w:tcMar>
          </w:tcPr>
          <w:p>
            <w:r>
              <w:rPr>
                <w:b w:val="false"/>
                <w:bCs w:val="false"/>
                <w:color w:val="222222"/>
                <w:sz w:val="18"/>
                <w:szCs w:val="18"/>
              </w:rPr>
              <w:t xml:space="preserve">Diferencia resultante de un conteo físico.</w:t>
            </w:r>
          </w:p>
        </w:tc>
      </w:tr>
    </w:tbl>
    <w:p>
      <w:pPr>
        <w:pStyle w:val="Heading3"/>
        <w:spacing w:after="60" w:before="200"/>
      </w:pPr>
      <w:r>
        <w:rPr>
          <w:b/>
          <w:bCs/>
          <w:color w:val="333333"/>
          <w:sz w:val="20"/>
          <w:szCs w:val="20"/>
        </w:rPr>
        <w:t xml:space="preserve">RN-13 · Nada se elimina</w:t>
      </w:r>
    </w:p>
    <w:p>
      <w:pPr>
        <w:spacing w:after="90" w:before="90" w:line="288"/>
        <w:jc w:val="both"/>
      </w:pPr>
      <w:r>
        <w:rPr>
          <w:color w:val="222222"/>
          <w:sz w:val="20"/>
          <w:szCs w:val="20"/>
        </w:rPr>
        <w:t xml:space="preserve">Ninguna operación se borra ni se modifica una vez confirmada. Las correcciones se expresan como movimientos inversos que referencian la operación original. El registro anulado conserva su número correlativo y queda marcado como anulado.</w:t>
      </w:r>
    </w:p>
    <w:p>
      <w:pPr>
        <w:pStyle w:val="Heading3"/>
        <w:spacing w:after="60" w:before="200"/>
      </w:pPr>
      <w:r>
        <w:rPr>
          <w:b/>
          <w:bCs/>
          <w:color w:val="333333"/>
          <w:sz w:val="20"/>
          <w:szCs w:val="20"/>
        </w:rPr>
        <w:t xml:space="preserve">RN-14 · Costo del movimiento</w:t>
      </w:r>
    </w:p>
    <w:p>
      <w:pPr>
        <w:spacing w:after="90" w:before="90" w:line="288"/>
        <w:jc w:val="both"/>
      </w:pPr>
      <w:r>
        <w:rPr>
          <w:color w:val="222222"/>
          <w:sz w:val="20"/>
          <w:szCs w:val="20"/>
        </w:rPr>
        <w:t xml:space="preserve">Cada movimiento almacena el costo unitario vigente en el instante en que se produce. En las entradas es el costo de la compra; en las salidas es el último costo conocido. Este valor queda congelado y no se recalcula nunca.</w:t>
      </w:r>
    </w:p>
    <w:p>
      <w:pPr>
        <w:pStyle w:val="Heading3"/>
        <w:spacing w:after="60" w:before="200"/>
      </w:pPr>
      <w:r>
        <w:rPr>
          <w:b/>
          <w:bCs/>
          <w:color w:val="333333"/>
          <w:sz w:val="20"/>
          <w:szCs w:val="20"/>
        </w:rPr>
        <w:t xml:space="preserve">RN-15 · Selección de lote</w:t>
      </w:r>
    </w:p>
    <w:p>
      <w:pPr>
        <w:spacing w:after="90" w:before="90" w:line="288"/>
        <w:jc w:val="both"/>
      </w:pPr>
      <w:r>
        <w:rPr>
          <w:color w:val="222222"/>
          <w:sz w:val="20"/>
          <w:szCs w:val="20"/>
        </w:rPr>
        <w:t xml:space="preserve">En los productos con control de vencimiento, la salida descuenta primero el lote cuya fecha de vencimiento sea más próxima y tenga existencia disponible. Si la cantidad solicitada excede la del lote, la salida se reparte en varios movimientos, uno por lote.</w:t>
      </w:r>
    </w:p>
    <w:p>
      <w:pPr>
        <w:pStyle w:val="Heading3"/>
        <w:spacing w:after="60" w:before="200"/>
      </w:pPr>
      <w:r>
        <w:rPr>
          <w:b/>
          <w:bCs/>
          <w:color w:val="333333"/>
          <w:sz w:val="20"/>
          <w:szCs w:val="20"/>
        </w:rPr>
        <w:t xml:space="preserve">RN-16 · Alerta de existencia mínima</w:t>
      </w:r>
    </w:p>
    <w:p>
      <w:pPr>
        <w:pBdr>
          <w:top w:val="single" w:color="C9DBE1" w:sz="2"/>
          <w:bottom w:val="single" w:color="C9DBE1" w:sz="2"/>
          <w:left w:val="single" w:color="C9DBE1" w:sz="2"/>
          <w:right w:val="single" w:color="C9DBE1" w:sz="2"/>
        </w:pBdr>
        <w:shd w:fill="EDF3F5" w:color="auto" w:val="clear"/>
        <w:spacing w:after="110" w:before="110"/>
        <w:jc w:val="center"/>
      </w:pPr>
      <w:r>
        <w:rPr>
          <w:rFonts w:ascii="Consolas" w:cs="Consolas" w:eastAsia="Consolas" w:hAnsi="Consolas"/>
          <w:b/>
          <w:bCs/>
          <w:color w:val="10333F"/>
          <w:sz w:val="20"/>
          <w:szCs w:val="20"/>
        </w:rPr>
        <w:t xml:space="preserve">alerta  cuando   existencia  ≤  existencia_mínima</w:t>
      </w:r>
    </w:p>
    <w:p>
      <w:pPr>
        <w:pStyle w:val="Heading3"/>
        <w:spacing w:after="60" w:before="200"/>
      </w:pPr>
      <w:r>
        <w:rPr>
          <w:b/>
          <w:bCs/>
          <w:color w:val="333333"/>
          <w:sz w:val="20"/>
          <w:szCs w:val="20"/>
        </w:rPr>
        <w:t xml:space="preserve">RN-17 · Alerta de vencimiento</w:t>
      </w:r>
    </w:p>
    <w:p>
      <w:pPr>
        <w:pBdr>
          <w:top w:val="single" w:color="C9DBE1" w:sz="2"/>
          <w:bottom w:val="single" w:color="C9DBE1" w:sz="2"/>
          <w:left w:val="single" w:color="C9DBE1" w:sz="2"/>
          <w:right w:val="single" w:color="C9DBE1" w:sz="2"/>
        </w:pBdr>
        <w:shd w:fill="EDF3F5" w:color="auto" w:val="clear"/>
        <w:spacing w:after="110" w:before="110"/>
        <w:jc w:val="center"/>
      </w:pPr>
      <w:r>
        <w:rPr>
          <w:rFonts w:ascii="Consolas" w:cs="Consolas" w:eastAsia="Consolas" w:hAnsi="Consolas"/>
          <w:b/>
          <w:bCs/>
          <w:color w:val="10333F"/>
          <w:sz w:val="20"/>
          <w:szCs w:val="20"/>
        </w:rPr>
        <w:t xml:space="preserve">alerta  cuando   fecha_vencimiento  −  hoy  ≤  días_alerta_del_producto</w:t>
      </w:r>
    </w:p>
    <w:p>
      <w:pPr>
        <w:pStyle w:val="Heading3"/>
        <w:spacing w:after="60" w:before="200"/>
      </w:pPr>
      <w:r>
        <w:rPr>
          <w:b/>
          <w:bCs/>
          <w:color w:val="333333"/>
          <w:sz w:val="20"/>
          <w:szCs w:val="20"/>
        </w:rPr>
        <w:t xml:space="preserve">RN-18 · Valorización de pérdidas</w:t>
      </w:r>
    </w:p>
    <w:p>
      <w:pPr>
        <w:spacing w:after="90" w:before="90" w:line="288"/>
        <w:jc w:val="both"/>
      </w:pPr>
      <w:r>
        <w:rPr>
          <w:color w:val="222222"/>
          <w:sz w:val="20"/>
          <w:szCs w:val="20"/>
        </w:rPr>
        <w:t xml:space="preserve">Toda pérdida se valoriza al último costo vigente del producto en la fecha de la pérdida y afecta el resultado del período en que se registra, no el de la compra que originó la mercancía.</w:t>
      </w:r>
    </w:p>
    <w:p>
      <w:r>
        <w:br w:type="page"/>
      </w:r>
    </w:p>
    <w:p>
      <w:pPr>
        <w:pStyle w:val="Heading1"/>
        <w:shd w:fill="212121" w:color="auto" w:val="clear"/>
        <w:spacing w:after="150" w:before="320"/>
        <w:ind w:left="100" w:right="100"/>
      </w:pPr>
      <w:r>
        <w:rPr>
          <w:b/>
          <w:bCs/>
          <w:color w:val="FFFFFF"/>
          <w:sz w:val="24"/>
          <w:szCs w:val="24"/>
        </w:rPr>
        <w:t xml:space="preserve">4. VENTAS, COBRO Y CAJA</w:t>
      </w:r>
    </w:p>
    <w:p>
      <w:pPr>
        <w:pStyle w:val="Heading3"/>
        <w:spacing w:after="60" w:before="200"/>
      </w:pPr>
      <w:r>
        <w:rPr>
          <w:b/>
          <w:bCs/>
          <w:color w:val="333333"/>
          <w:sz w:val="20"/>
          <w:szCs w:val="20"/>
        </w:rPr>
        <w:t xml:space="preserve">RN-19 · Congelamiento del costo en la venta</w:t>
      </w:r>
    </w:p>
    <w:p>
      <w:pPr>
        <w:spacing w:after="90" w:before="90" w:line="288"/>
        <w:jc w:val="both"/>
      </w:pPr>
      <w:r>
        <w:rPr>
          <w:color w:val="222222"/>
          <w:sz w:val="20"/>
          <w:szCs w:val="20"/>
        </w:rPr>
        <w:t xml:space="preserve">Cada línea de venta almacena una copia del costo unitario vigente al momento de la operación. Esta es la regla más importante del sistema desde el punto de vista contable: sin ella, cualquier variación posterior del costo modificaría retroactivamente todas las ganancias históricas y los reportes dejarían de ser confiables.</w:t>
      </w:r>
    </w:p>
    <w:p>
      <w:pPr>
        <w:pStyle w:val="Heading3"/>
        <w:spacing w:after="60" w:before="200"/>
      </w:pPr>
      <w:r>
        <w:rPr>
          <w:b/>
          <w:bCs/>
          <w:color w:val="333333"/>
          <w:sz w:val="20"/>
          <w:szCs w:val="20"/>
        </w:rPr>
        <w:t xml:space="preserve">RN-20 · Totales de la venta</w:t>
      </w:r>
    </w:p>
    <w:p>
      <w:pPr>
        <w:pBdr>
          <w:top w:val="single" w:color="C9DBE1" w:sz="2"/>
          <w:bottom w:val="single" w:color="C9DBE1" w:sz="2"/>
          <w:left w:val="single" w:color="C9DBE1" w:sz="2"/>
          <w:right w:val="single" w:color="C9DBE1" w:sz="2"/>
        </w:pBdr>
        <w:shd w:fill="EDF3F5" w:color="auto" w:val="clear"/>
        <w:spacing w:after="110" w:before="110"/>
        <w:jc w:val="center"/>
      </w:pPr>
      <w:r>
        <w:rPr>
          <w:rFonts w:ascii="Consolas" w:cs="Consolas" w:eastAsia="Consolas" w:hAnsi="Consolas"/>
          <w:b/>
          <w:bCs/>
          <w:color w:val="10333F"/>
          <w:sz w:val="20"/>
          <w:szCs w:val="20"/>
        </w:rPr>
        <w:t xml:space="preserve">total_línea  =  redondear( cantidad × precio_unitario , 2 )</w:t>
      </w:r>
    </w:p>
    <w:p>
      <w:pPr>
        <w:pBdr>
          <w:top w:val="single" w:color="C9DBE1" w:sz="2"/>
          <w:bottom w:val="single" w:color="C9DBE1" w:sz="2"/>
          <w:left w:val="single" w:color="C9DBE1" w:sz="2"/>
          <w:right w:val="single" w:color="C9DBE1" w:sz="2"/>
        </w:pBdr>
        <w:shd w:fill="EDF3F5" w:color="auto" w:val="clear"/>
        <w:spacing w:after="110" w:before="110"/>
        <w:jc w:val="center"/>
      </w:pPr>
      <w:r>
        <w:rPr>
          <w:rFonts w:ascii="Consolas" w:cs="Consolas" w:eastAsia="Consolas" w:hAnsi="Consolas"/>
          <w:b/>
          <w:bCs/>
          <w:color w:val="10333F"/>
          <w:sz w:val="20"/>
          <w:szCs w:val="20"/>
        </w:rPr>
        <w:t xml:space="preserve">base_línea  =  redondear( total_línea / ( 1 + alícuota/100 ) , 2 )</w:t>
      </w:r>
    </w:p>
    <w:p>
      <w:pPr>
        <w:pBdr>
          <w:top w:val="single" w:color="C9DBE1" w:sz="2"/>
          <w:bottom w:val="single" w:color="C9DBE1" w:sz="2"/>
          <w:left w:val="single" w:color="C9DBE1" w:sz="2"/>
          <w:right w:val="single" w:color="C9DBE1" w:sz="2"/>
        </w:pBdr>
        <w:shd w:fill="EDF3F5" w:color="auto" w:val="clear"/>
        <w:spacing w:after="110" w:before="110"/>
        <w:jc w:val="center"/>
      </w:pPr>
      <w:r>
        <w:rPr>
          <w:rFonts w:ascii="Consolas" w:cs="Consolas" w:eastAsia="Consolas" w:hAnsi="Consolas"/>
          <w:b/>
          <w:bCs/>
          <w:color w:val="10333F"/>
          <w:sz w:val="20"/>
          <w:szCs w:val="20"/>
        </w:rPr>
        <w:t xml:space="preserve">iva_línea  =  total_línea  −  base_línea</w:t>
      </w:r>
    </w:p>
    <w:p>
      <w:pPr>
        <w:spacing w:after="90" w:before="90" w:line="288"/>
        <w:jc w:val="both"/>
      </w:pPr>
      <w:r>
        <w:rPr>
          <w:color w:val="222222"/>
          <w:sz w:val="20"/>
          <w:szCs w:val="20"/>
        </w:rPr>
        <w:t xml:space="preserve">Los totales del documento son la suma de los totales de línea ya redondeados. No se recalcula el IVA sobre el total del documento, porque conviven productos exentos y gravados y el resultado diferiría de la suma de las partes.</w:t>
      </w:r>
    </w:p>
    <w:p>
      <w:pPr>
        <w:pStyle w:val="Heading3"/>
        <w:spacing w:after="60" w:before="200"/>
      </w:pPr>
      <w:r>
        <w:rPr>
          <w:b/>
          <w:bCs/>
          <w:color w:val="333333"/>
          <w:sz w:val="20"/>
          <w:szCs w:val="20"/>
        </w:rPr>
        <w:t xml:space="preserve">RN-21 · Separación de exento y gravado</w:t>
      </w:r>
    </w:p>
    <w:p>
      <w:pPr>
        <w:spacing w:after="90" w:before="90" w:line="288"/>
        <w:jc w:val="both"/>
      </w:pPr>
      <w:r>
        <w:rPr>
          <w:color w:val="222222"/>
          <w:sz w:val="20"/>
          <w:szCs w:val="20"/>
        </w:rPr>
        <w:t xml:space="preserve">La venta almacena por separado el total exento, la base imponible gravada y el IVA. Esta separación es la que alimenta el libro de ventas y es requisito para una futura integración con máquina fiscal.</w:t>
      </w:r>
    </w:p>
    <w:p>
      <w:pPr>
        <w:pStyle w:val="Heading3"/>
        <w:spacing w:after="60" w:before="200"/>
      </w:pPr>
      <w:r>
        <w:rPr>
          <w:b/>
          <w:bCs/>
          <w:color w:val="333333"/>
          <w:sz w:val="20"/>
          <w:szCs w:val="20"/>
        </w:rPr>
        <w:t xml:space="preserve">RN-22 · Cobro con varios medios (modificada en 1.4.0)</w:t>
      </w:r>
    </w:p>
    <w:p>
      <w:pPr>
        <w:pBdr>
          <w:top w:val="single" w:color="C9DBE1" w:sz="2"/>
          <w:bottom w:val="single" w:color="C9DBE1" w:sz="2"/>
          <w:left w:val="single" w:color="C9DBE1" w:sz="2"/>
          <w:right w:val="single" w:color="C9DBE1" w:sz="2"/>
        </w:pBdr>
        <w:shd w:fill="EDF3F5" w:color="auto" w:val="clear"/>
        <w:spacing w:after="110" w:before="110"/>
        <w:jc w:val="center"/>
      </w:pPr>
      <w:r>
        <w:rPr>
          <w:rFonts w:ascii="Consolas" w:cs="Consolas" w:eastAsia="Consolas" w:hAnsi="Consolas"/>
          <w:b/>
          <w:bCs/>
          <w:color w:val="10333F"/>
          <w:sz w:val="20"/>
          <w:szCs w:val="20"/>
        </w:rPr>
        <w:t xml:space="preserve">total_venta_bs  =  Σ  redondear( cantidad × precio_al_público_bs , 2 )</w:t>
      </w:r>
    </w:p>
    <w:p>
      <w:pPr>
        <w:pBdr>
          <w:top w:val="single" w:color="C9DBE1" w:sz="2"/>
          <w:bottom w:val="single" w:color="C9DBE1" w:sz="2"/>
          <w:left w:val="single" w:color="C9DBE1" w:sz="2"/>
          <w:right w:val="single" w:color="C9DBE1" w:sz="2"/>
        </w:pBdr>
        <w:shd w:fill="EDF3F5" w:color="auto" w:val="clear"/>
        <w:spacing w:after="110" w:before="110"/>
        <w:jc w:val="center"/>
      </w:pPr>
      <w:r>
        <w:rPr>
          <w:rFonts w:ascii="Consolas" w:cs="Consolas" w:eastAsia="Consolas" w:hAnsi="Consolas"/>
          <w:b/>
          <w:bCs/>
          <w:color w:val="10333F"/>
          <w:sz w:val="20"/>
          <w:szCs w:val="20"/>
        </w:rPr>
        <w:t xml:space="preserve">Σ pagos_bs / total_venta_bs  +  Σ pagos_usd / total_venta_usd   ≥   1</w:t>
      </w:r>
    </w:p>
    <w:p>
      <w:pPr>
        <w:spacing w:after="90" w:before="90" w:line="288"/>
        <w:jc w:val="both"/>
      </w:pPr>
      <w:r>
        <w:rPr>
          <w:color w:val="222222"/>
          <w:sz w:val="20"/>
          <w:szCs w:val="20"/>
        </w:rPr>
        <w:t xml:space="preserve">El precio al público en bolívares es el de RN-03 con el redondeo de RN-10, el mismo que se exhibe. Cada pago cubre la venta en su propia moneda: los bolívares contra el total en bolívares y los dólares contra el total en dólares. Primero cuentan los bolívares y lo que falta se cubre en proporción con dólares. Cada pago se registra en su moneda original junto con su equivalente en dólares, calculado a la tasa de la venta. La venta no se confirma mientras los pagos no alcancen el total.</w:t>
      </w:r>
    </w:p>
    <w:p>
      <w:pPr>
        <w:spacing w:after="90" w:before="90" w:line="288"/>
        <w:jc w:val="both"/>
      </w:pPr>
      <w:r>
        <w:rPr>
          <w:color w:val="222222"/>
          <w:sz w:val="20"/>
          <w:szCs w:val="20"/>
        </w:rPr>
        <w:t xml:space="preserve">Por qué cambió: con la tasa en 842, un centavo de dólar vale 8,42 Bs. Convertir el total ya redondeado a centavos (1,66 USD × 842,2067 = 1.398,06 Bs) no coincidía con el precio exhibido (1,6614 × 842,2067 = 1.399,24 → 1.400 Bs), y podía cobrar de más o de menos.</w:t>
      </w:r>
    </w:p>
    <w:p>
      <w:pPr>
        <w:pStyle w:val="Heading3"/>
        <w:spacing w:after="60" w:before="200"/>
      </w:pPr>
      <w:r>
        <w:rPr>
          <w:b/>
          <w:bCs/>
          <w:color w:val="333333"/>
          <w:sz w:val="20"/>
          <w:szCs w:val="20"/>
        </w:rPr>
        <w:t xml:space="preserve">RN-23 · Vuelto (modificada en 1.4.0)</w:t>
      </w:r>
    </w:p>
    <w:p>
      <w:pPr>
        <w:pBdr>
          <w:top w:val="single" w:color="C9DBE1" w:sz="2"/>
          <w:bottom w:val="single" w:color="C9DBE1" w:sz="2"/>
          <w:left w:val="single" w:color="C9DBE1" w:sz="2"/>
          <w:right w:val="single" w:color="C9DBE1" w:sz="2"/>
        </w:pBdr>
        <w:shd w:fill="EDF3F5" w:color="auto" w:val="clear"/>
        <w:spacing w:after="110" w:before="110"/>
        <w:jc w:val="center"/>
      </w:pPr>
      <w:r>
        <w:rPr>
          <w:rFonts w:ascii="Consolas" w:cs="Consolas" w:eastAsia="Consolas" w:hAnsi="Consolas"/>
          <w:b/>
          <w:bCs/>
          <w:color w:val="10333F"/>
          <w:sz w:val="20"/>
          <w:szCs w:val="20"/>
        </w:rPr>
        <w:t xml:space="preserve">vuelto_bs  =  lo pagado que excede el total según RN-22; lo que sobra de los dólares, a la tasa de la venta</w:t>
      </w:r>
    </w:p>
    <w:p>
      <w:pPr>
        <w:spacing w:after="90" w:before="90" w:line="288"/>
        <w:jc w:val="both"/>
      </w:pPr>
      <w:r>
        <w:rPr>
          <w:color w:val="222222"/>
          <w:sz w:val="20"/>
          <w:szCs w:val="20"/>
        </w:rPr>
        <w:t xml:space="preserve">El vuelto se entrega en la moneda que indique el cajero. Si se entrega en bolívares, se convierte a la tasa de la venta y se redondea al múltiplo de sencillo configurado. Solo los medios en efectivo generan vuelto: un excedente pagado por punto de venta o transferencia debe rechazarse en lugar de devolverse.</w:t>
      </w:r>
    </w:p>
    <w:p>
      <w:pPr>
        <w:pStyle w:val="Heading2"/>
        <w:pBdr>
          <w:bottom w:val="single" w:color="E0D8D0" w:sz="4" w:space="4"/>
        </w:pBdr>
        <w:spacing w:after="100" w:before="280"/>
      </w:pPr>
      <w:r>
        <w:rPr>
          <w:b/>
          <w:bCs/>
          <w:color w:val="D2590B"/>
          <w:sz w:val="21"/>
          <w:szCs w:val="21"/>
        </w:rPr>
        <w:t xml:space="preserve">Ejemplo trabajado C — venta con pago mixto</w:t>
      </w:r>
    </w:p>
    <w:p>
      <w:pPr>
        <w:spacing w:after="90" w:before="90" w:line="288"/>
        <w:jc w:val="both"/>
      </w:pPr>
      <w:r>
        <w:rPr>
          <w:color w:val="222222"/>
          <w:sz w:val="20"/>
          <w:szCs w:val="20"/>
        </w:rPr>
        <w:t xml:space="preserve">Venta de cuatro paquetes de harina exenta a 0,7800 dólares y de dos refrescos gravados a 0,8222 dólares. El cliente paga con cinco dólares en efectivo y el resto en bolívares. Tasa: 210,500000.</w:t>
      </w:r>
    </w:p>
    <w:tbl>
      <w:tblPr>
        <w:tblW w:type="dxa" w:w="9360"/>
        <w:tblBorders>
          <w:top w:val="single" w:color="BBBBBB" w:sz="4"/>
          <w:left w:val="single" w:color="BBBBBB" w:sz="4"/>
          <w:bottom w:val="single" w:color="BBBBBB" w:sz="4"/>
          <w:right w:val="single" w:color="BBBBBB" w:sz="4"/>
          <w:insideH w:val="single" w:color="E0E0E0" w:sz="4"/>
          <w:insideV w:val="single" w:color="E0E0E0" w:sz="4"/>
        </w:tblBorders>
      </w:tblPr>
      <w:tblGrid>
        <w:gridCol w:w="3100"/>
        <w:gridCol w:w="3460"/>
        <w:gridCol w:w="2800"/>
      </w:tblGrid>
      <w:tr>
        <w:trPr>
          <w:tblHeader/>
        </w:trPr>
        <w:tc>
          <w:tcPr>
            <w:tcW w:type="dxa" w:w="3100"/>
            <w:shd w:fill="212121" w:color="auto" w:val="clear"/>
            <w:tcMar>
              <w:top w:type="dxa" w:w="80"/>
              <w:left w:type="dxa" w:w="120"/>
              <w:bottom w:type="dxa" w:w="80"/>
              <w:right w:type="dxa" w:w="120"/>
            </w:tcMar>
          </w:tcPr>
          <w:p>
            <w:r>
              <w:rPr>
                <w:b/>
                <w:bCs/>
                <w:color w:val="FFFFFF"/>
                <w:sz w:val="18"/>
                <w:szCs w:val="18"/>
              </w:rPr>
              <w:t xml:space="preserve">Concepto</w:t>
            </w:r>
          </w:p>
        </w:tc>
        <w:tc>
          <w:tcPr>
            <w:tcW w:type="dxa" w:w="3460"/>
            <w:shd w:fill="212121" w:color="auto" w:val="clear"/>
            <w:tcMar>
              <w:top w:type="dxa" w:w="80"/>
              <w:left w:type="dxa" w:w="120"/>
              <w:bottom w:type="dxa" w:w="80"/>
              <w:right w:type="dxa" w:w="120"/>
            </w:tcMar>
          </w:tcPr>
          <w:p>
            <w:r>
              <w:rPr>
                <w:b/>
                <w:bCs/>
                <w:color w:val="FFFFFF"/>
                <w:sz w:val="18"/>
                <w:szCs w:val="18"/>
              </w:rPr>
              <w:t xml:space="preserve">Cálculo</w:t>
            </w:r>
          </w:p>
        </w:tc>
        <w:tc>
          <w:tcPr>
            <w:tcW w:type="dxa" w:w="2800"/>
            <w:shd w:fill="212121" w:color="auto" w:val="clear"/>
            <w:tcMar>
              <w:top w:type="dxa" w:w="80"/>
              <w:left w:type="dxa" w:w="120"/>
              <w:bottom w:type="dxa" w:w="80"/>
              <w:right w:type="dxa" w:w="120"/>
            </w:tcMar>
          </w:tcPr>
          <w:p>
            <w:r>
              <w:rPr>
                <w:b/>
                <w:bCs/>
                <w:color w:val="FFFFFF"/>
                <w:sz w:val="18"/>
                <w:szCs w:val="18"/>
              </w:rPr>
              <w:t xml:space="preserve">Resultado</w:t>
            </w:r>
          </w:p>
        </w:tc>
      </w:tr>
      <w:tr>
        <w:trPr>
          <w:tblHeader w:val="false"/>
        </w:trPr>
        <w:tc>
          <w:tcPr>
            <w:tcW w:type="dxa" w:w="3100"/>
            <w:tcMar>
              <w:top w:type="dxa" w:w="80"/>
              <w:left w:type="dxa" w:w="120"/>
              <w:bottom w:type="dxa" w:w="80"/>
              <w:right w:type="dxa" w:w="120"/>
            </w:tcMar>
          </w:tcPr>
          <w:p>
            <w:r>
              <w:rPr>
                <w:color w:val="222222"/>
                <w:sz w:val="18"/>
                <w:szCs w:val="18"/>
              </w:rPr>
              <w:t xml:space="preserve">Línea 1 — total</w:t>
            </w:r>
          </w:p>
        </w:tc>
        <w:tc>
          <w:tcPr>
            <w:tcW w:type="dxa" w:w="3460"/>
            <w:tcMar>
              <w:top w:type="dxa" w:w="80"/>
              <w:left w:type="dxa" w:w="120"/>
              <w:bottom w:type="dxa" w:w="80"/>
              <w:right w:type="dxa" w:w="120"/>
            </w:tcMar>
          </w:tcPr>
          <w:p>
            <w:r>
              <w:rPr>
                <w:b w:val="false"/>
                <w:bCs w:val="false"/>
                <w:color w:val="222222"/>
                <w:sz w:val="18"/>
                <w:szCs w:val="18"/>
              </w:rPr>
              <w:t xml:space="preserve">4 × 0,7800</w:t>
            </w:r>
          </w:p>
        </w:tc>
        <w:tc>
          <w:tcPr>
            <w:tcW w:type="dxa" w:w="2800"/>
            <w:tcMar>
              <w:top w:type="dxa" w:w="80"/>
              <w:left w:type="dxa" w:w="120"/>
              <w:bottom w:type="dxa" w:w="80"/>
              <w:right w:type="dxa" w:w="120"/>
            </w:tcMar>
          </w:tcPr>
          <w:p>
            <w:r>
              <w:rPr>
                <w:b w:val="false"/>
                <w:bCs w:val="false"/>
                <w:color w:val="222222"/>
                <w:sz w:val="18"/>
                <w:szCs w:val="18"/>
              </w:rPr>
              <w:t xml:space="preserve">3,12 USD</w:t>
            </w:r>
          </w:p>
        </w:tc>
      </w:tr>
      <w:tr>
        <w:trPr>
          <w:tblHeader w:val="false"/>
        </w:trPr>
        <w:tc>
          <w:tcPr>
            <w:tcW w:type="dxa" w:w="3100"/>
            <w:tcMar>
              <w:top w:type="dxa" w:w="80"/>
              <w:left w:type="dxa" w:w="120"/>
              <w:bottom w:type="dxa" w:w="80"/>
              <w:right w:type="dxa" w:w="120"/>
            </w:tcMar>
          </w:tcPr>
          <w:p>
            <w:r>
              <w:rPr>
                <w:color w:val="222222"/>
                <w:sz w:val="18"/>
                <w:szCs w:val="18"/>
              </w:rPr>
              <w:t xml:space="preserve">Línea 1 — base y exento</w:t>
            </w:r>
          </w:p>
        </w:tc>
        <w:tc>
          <w:tcPr>
            <w:tcW w:type="dxa" w:w="3460"/>
            <w:tcMar>
              <w:top w:type="dxa" w:w="80"/>
              <w:left w:type="dxa" w:w="120"/>
              <w:bottom w:type="dxa" w:w="80"/>
              <w:right w:type="dxa" w:w="120"/>
            </w:tcMar>
          </w:tcPr>
          <w:p>
            <w:r>
              <w:rPr>
                <w:b w:val="false"/>
                <w:bCs w:val="false"/>
                <w:color w:val="222222"/>
                <w:sz w:val="18"/>
                <w:szCs w:val="18"/>
              </w:rPr>
              <w:t xml:space="preserve">Alícuota 0 %</w:t>
            </w:r>
          </w:p>
        </w:tc>
        <w:tc>
          <w:tcPr>
            <w:tcW w:type="dxa" w:w="2800"/>
            <w:tcMar>
              <w:top w:type="dxa" w:w="80"/>
              <w:left w:type="dxa" w:w="120"/>
              <w:bottom w:type="dxa" w:w="80"/>
              <w:right w:type="dxa" w:w="120"/>
            </w:tcMar>
          </w:tcPr>
          <w:p>
            <w:r>
              <w:rPr>
                <w:b w:val="false"/>
                <w:bCs w:val="false"/>
                <w:color w:val="222222"/>
                <w:sz w:val="18"/>
                <w:szCs w:val="18"/>
              </w:rPr>
              <w:t xml:space="preserve">3,12 exento</w:t>
            </w:r>
          </w:p>
        </w:tc>
      </w:tr>
      <w:tr>
        <w:trPr>
          <w:tblHeader w:val="false"/>
        </w:trPr>
        <w:tc>
          <w:tcPr>
            <w:tcW w:type="dxa" w:w="3100"/>
            <w:tcMar>
              <w:top w:type="dxa" w:w="80"/>
              <w:left w:type="dxa" w:w="120"/>
              <w:bottom w:type="dxa" w:w="80"/>
              <w:right w:type="dxa" w:w="120"/>
            </w:tcMar>
          </w:tcPr>
          <w:p>
            <w:r>
              <w:rPr>
                <w:color w:val="222222"/>
                <w:sz w:val="18"/>
                <w:szCs w:val="18"/>
              </w:rPr>
              <w:t xml:space="preserve">Línea 2 — total</w:t>
            </w:r>
          </w:p>
        </w:tc>
        <w:tc>
          <w:tcPr>
            <w:tcW w:type="dxa" w:w="3460"/>
            <w:tcMar>
              <w:top w:type="dxa" w:w="80"/>
              <w:left w:type="dxa" w:w="120"/>
              <w:bottom w:type="dxa" w:w="80"/>
              <w:right w:type="dxa" w:w="120"/>
            </w:tcMar>
          </w:tcPr>
          <w:p>
            <w:r>
              <w:rPr>
                <w:b w:val="false"/>
                <w:bCs w:val="false"/>
                <w:color w:val="222222"/>
                <w:sz w:val="18"/>
                <w:szCs w:val="18"/>
              </w:rPr>
              <w:t xml:space="preserve">2 × 0,8222</w:t>
            </w:r>
          </w:p>
        </w:tc>
        <w:tc>
          <w:tcPr>
            <w:tcW w:type="dxa" w:w="2800"/>
            <w:tcMar>
              <w:top w:type="dxa" w:w="80"/>
              <w:left w:type="dxa" w:w="120"/>
              <w:bottom w:type="dxa" w:w="80"/>
              <w:right w:type="dxa" w:w="120"/>
            </w:tcMar>
          </w:tcPr>
          <w:p>
            <w:r>
              <w:rPr>
                <w:b w:val="false"/>
                <w:bCs w:val="false"/>
                <w:color w:val="222222"/>
                <w:sz w:val="18"/>
                <w:szCs w:val="18"/>
              </w:rPr>
              <w:t xml:space="preserve">1,64 USD</w:t>
            </w:r>
          </w:p>
        </w:tc>
      </w:tr>
      <w:tr>
        <w:trPr>
          <w:tblHeader w:val="false"/>
        </w:trPr>
        <w:tc>
          <w:tcPr>
            <w:tcW w:type="dxa" w:w="3100"/>
            <w:tcMar>
              <w:top w:type="dxa" w:w="80"/>
              <w:left w:type="dxa" w:w="120"/>
              <w:bottom w:type="dxa" w:w="80"/>
              <w:right w:type="dxa" w:w="120"/>
            </w:tcMar>
          </w:tcPr>
          <w:p>
            <w:r>
              <w:rPr>
                <w:color w:val="222222"/>
                <w:sz w:val="18"/>
                <w:szCs w:val="18"/>
              </w:rPr>
              <w:t xml:space="preserve">Línea 2 — base imponible</w:t>
            </w:r>
          </w:p>
        </w:tc>
        <w:tc>
          <w:tcPr>
            <w:tcW w:type="dxa" w:w="3460"/>
            <w:tcMar>
              <w:top w:type="dxa" w:w="80"/>
              <w:left w:type="dxa" w:w="120"/>
              <w:bottom w:type="dxa" w:w="80"/>
              <w:right w:type="dxa" w:w="120"/>
            </w:tcMar>
          </w:tcPr>
          <w:p>
            <w:r>
              <w:rPr>
                <w:b w:val="false"/>
                <w:bCs w:val="false"/>
                <w:color w:val="222222"/>
                <w:sz w:val="18"/>
                <w:szCs w:val="18"/>
              </w:rPr>
              <w:t xml:space="preserve">1,64 / 1,16</w:t>
            </w:r>
          </w:p>
        </w:tc>
        <w:tc>
          <w:tcPr>
            <w:tcW w:type="dxa" w:w="2800"/>
            <w:tcMar>
              <w:top w:type="dxa" w:w="80"/>
              <w:left w:type="dxa" w:w="120"/>
              <w:bottom w:type="dxa" w:w="80"/>
              <w:right w:type="dxa" w:w="120"/>
            </w:tcMar>
          </w:tcPr>
          <w:p>
            <w:r>
              <w:rPr>
                <w:b w:val="false"/>
                <w:bCs w:val="false"/>
                <w:color w:val="222222"/>
                <w:sz w:val="18"/>
                <w:szCs w:val="18"/>
              </w:rPr>
              <w:t xml:space="preserve">1,41 USD</w:t>
            </w:r>
          </w:p>
        </w:tc>
      </w:tr>
      <w:tr>
        <w:trPr>
          <w:tblHeader w:val="false"/>
        </w:trPr>
        <w:tc>
          <w:tcPr>
            <w:tcW w:type="dxa" w:w="3100"/>
            <w:tcMar>
              <w:top w:type="dxa" w:w="80"/>
              <w:left w:type="dxa" w:w="120"/>
              <w:bottom w:type="dxa" w:w="80"/>
              <w:right w:type="dxa" w:w="120"/>
            </w:tcMar>
          </w:tcPr>
          <w:p>
            <w:r>
              <w:rPr>
                <w:color w:val="222222"/>
                <w:sz w:val="18"/>
                <w:szCs w:val="18"/>
              </w:rPr>
              <w:t xml:space="preserve">Línea 2 — IVA</w:t>
            </w:r>
          </w:p>
        </w:tc>
        <w:tc>
          <w:tcPr>
            <w:tcW w:type="dxa" w:w="3460"/>
            <w:tcMar>
              <w:top w:type="dxa" w:w="80"/>
              <w:left w:type="dxa" w:w="120"/>
              <w:bottom w:type="dxa" w:w="80"/>
              <w:right w:type="dxa" w:w="120"/>
            </w:tcMar>
          </w:tcPr>
          <w:p>
            <w:r>
              <w:rPr>
                <w:b w:val="false"/>
                <w:bCs w:val="false"/>
                <w:color w:val="222222"/>
                <w:sz w:val="18"/>
                <w:szCs w:val="18"/>
              </w:rPr>
              <w:t xml:space="preserve">1,64 − 1,41</w:t>
            </w:r>
          </w:p>
        </w:tc>
        <w:tc>
          <w:tcPr>
            <w:tcW w:type="dxa" w:w="2800"/>
            <w:tcMar>
              <w:top w:type="dxa" w:w="80"/>
              <w:left w:type="dxa" w:w="120"/>
              <w:bottom w:type="dxa" w:w="80"/>
              <w:right w:type="dxa" w:w="120"/>
            </w:tcMar>
          </w:tcPr>
          <w:p>
            <w:r>
              <w:rPr>
                <w:b w:val="false"/>
                <w:bCs w:val="false"/>
                <w:color w:val="222222"/>
                <w:sz w:val="18"/>
                <w:szCs w:val="18"/>
              </w:rPr>
              <w:t xml:space="preserve">0,23 USD</w:t>
            </w:r>
          </w:p>
        </w:tc>
      </w:tr>
      <w:tr>
        <w:trPr>
          <w:tblHeader w:val="false"/>
        </w:trPr>
        <w:tc>
          <w:tcPr>
            <w:tcW w:type="dxa" w:w="3100"/>
            <w:tcMar>
              <w:top w:type="dxa" w:w="80"/>
              <w:left w:type="dxa" w:w="120"/>
              <w:bottom w:type="dxa" w:w="80"/>
              <w:right w:type="dxa" w:w="120"/>
            </w:tcMar>
          </w:tcPr>
          <w:p>
            <w:r>
              <w:rPr>
                <w:color w:val="222222"/>
                <w:sz w:val="18"/>
                <w:szCs w:val="18"/>
              </w:rPr>
              <w:t xml:space="preserve">Total exento</w:t>
            </w:r>
          </w:p>
        </w:tc>
        <w:tc>
          <w:tcPr>
            <w:tcW w:type="dxa" w:w="3460"/>
            <w:tcMar>
              <w:top w:type="dxa" w:w="80"/>
              <w:left w:type="dxa" w:w="120"/>
              <w:bottom w:type="dxa" w:w="80"/>
              <w:right w:type="dxa" w:w="120"/>
            </w:tcMar>
          </w:tcPr>
          <w:p>
            <w:r>
              <w:rPr>
                <w:b w:val="false"/>
                <w:bCs w:val="false"/>
                <w:color w:val="222222"/>
                <w:sz w:val="18"/>
                <w:szCs w:val="18"/>
              </w:rPr>
              <w:t xml:space="preserve"/>
            </w:r>
          </w:p>
        </w:tc>
        <w:tc>
          <w:tcPr>
            <w:tcW w:type="dxa" w:w="2800"/>
            <w:tcMar>
              <w:top w:type="dxa" w:w="80"/>
              <w:left w:type="dxa" w:w="120"/>
              <w:bottom w:type="dxa" w:w="80"/>
              <w:right w:type="dxa" w:w="120"/>
            </w:tcMar>
          </w:tcPr>
          <w:p>
            <w:r>
              <w:rPr>
                <w:b w:val="false"/>
                <w:bCs w:val="false"/>
                <w:color w:val="222222"/>
                <w:sz w:val="18"/>
                <w:szCs w:val="18"/>
              </w:rPr>
              <w:t xml:space="preserve">3,12 USD</w:t>
            </w:r>
          </w:p>
        </w:tc>
      </w:tr>
      <w:tr>
        <w:trPr>
          <w:tblHeader w:val="false"/>
        </w:trPr>
        <w:tc>
          <w:tcPr>
            <w:tcW w:type="dxa" w:w="3100"/>
            <w:tcMar>
              <w:top w:type="dxa" w:w="80"/>
              <w:left w:type="dxa" w:w="120"/>
              <w:bottom w:type="dxa" w:w="80"/>
              <w:right w:type="dxa" w:w="120"/>
            </w:tcMar>
          </w:tcPr>
          <w:p>
            <w:r>
              <w:rPr>
                <w:color w:val="222222"/>
                <w:sz w:val="18"/>
                <w:szCs w:val="18"/>
              </w:rPr>
              <w:t xml:space="preserve">Total base imponible</w:t>
            </w:r>
          </w:p>
        </w:tc>
        <w:tc>
          <w:tcPr>
            <w:tcW w:type="dxa" w:w="3460"/>
            <w:tcMar>
              <w:top w:type="dxa" w:w="80"/>
              <w:left w:type="dxa" w:w="120"/>
              <w:bottom w:type="dxa" w:w="80"/>
              <w:right w:type="dxa" w:w="120"/>
            </w:tcMar>
          </w:tcPr>
          <w:p>
            <w:r>
              <w:rPr>
                <w:b w:val="false"/>
                <w:bCs w:val="false"/>
                <w:color w:val="222222"/>
                <w:sz w:val="18"/>
                <w:szCs w:val="18"/>
              </w:rPr>
              <w:t xml:space="preserve"/>
            </w:r>
          </w:p>
        </w:tc>
        <w:tc>
          <w:tcPr>
            <w:tcW w:type="dxa" w:w="2800"/>
            <w:tcMar>
              <w:top w:type="dxa" w:w="80"/>
              <w:left w:type="dxa" w:w="120"/>
              <w:bottom w:type="dxa" w:w="80"/>
              <w:right w:type="dxa" w:w="120"/>
            </w:tcMar>
          </w:tcPr>
          <w:p>
            <w:r>
              <w:rPr>
                <w:b w:val="false"/>
                <w:bCs w:val="false"/>
                <w:color w:val="222222"/>
                <w:sz w:val="18"/>
                <w:szCs w:val="18"/>
              </w:rPr>
              <w:t xml:space="preserve">1,41 USD</w:t>
            </w:r>
          </w:p>
        </w:tc>
      </w:tr>
      <w:tr>
        <w:trPr>
          <w:tblHeader w:val="false"/>
        </w:trPr>
        <w:tc>
          <w:tcPr>
            <w:tcW w:type="dxa" w:w="3100"/>
            <w:tcMar>
              <w:top w:type="dxa" w:w="80"/>
              <w:left w:type="dxa" w:w="120"/>
              <w:bottom w:type="dxa" w:w="80"/>
              <w:right w:type="dxa" w:w="120"/>
            </w:tcMar>
          </w:tcPr>
          <w:p>
            <w:r>
              <w:rPr>
                <w:color w:val="222222"/>
                <w:sz w:val="18"/>
                <w:szCs w:val="18"/>
              </w:rPr>
              <w:t xml:space="preserve">Total IVA</w:t>
            </w:r>
          </w:p>
        </w:tc>
        <w:tc>
          <w:tcPr>
            <w:tcW w:type="dxa" w:w="3460"/>
            <w:tcMar>
              <w:top w:type="dxa" w:w="80"/>
              <w:left w:type="dxa" w:w="120"/>
              <w:bottom w:type="dxa" w:w="80"/>
              <w:right w:type="dxa" w:w="120"/>
            </w:tcMar>
          </w:tcPr>
          <w:p>
            <w:r>
              <w:rPr>
                <w:b w:val="false"/>
                <w:bCs w:val="false"/>
                <w:color w:val="222222"/>
                <w:sz w:val="18"/>
                <w:szCs w:val="18"/>
              </w:rPr>
              <w:t xml:space="preserve"/>
            </w:r>
          </w:p>
        </w:tc>
        <w:tc>
          <w:tcPr>
            <w:tcW w:type="dxa" w:w="2800"/>
            <w:tcMar>
              <w:top w:type="dxa" w:w="80"/>
              <w:left w:type="dxa" w:w="120"/>
              <w:bottom w:type="dxa" w:w="80"/>
              <w:right w:type="dxa" w:w="120"/>
            </w:tcMar>
          </w:tcPr>
          <w:p>
            <w:r>
              <w:rPr>
                <w:b w:val="false"/>
                <w:bCs w:val="false"/>
                <w:color w:val="222222"/>
                <w:sz w:val="18"/>
                <w:szCs w:val="18"/>
              </w:rPr>
              <w:t xml:space="preserve">0,23 USD</w:t>
            </w:r>
          </w:p>
        </w:tc>
      </w:tr>
      <w:tr>
        <w:trPr>
          <w:tblHeader w:val="false"/>
        </w:trPr>
        <w:tc>
          <w:tcPr>
            <w:tcW w:type="dxa" w:w="3100"/>
            <w:tcMar>
              <w:top w:type="dxa" w:w="80"/>
              <w:left w:type="dxa" w:w="120"/>
              <w:bottom w:type="dxa" w:w="80"/>
              <w:right w:type="dxa" w:w="120"/>
            </w:tcMar>
          </w:tcPr>
          <w:p>
            <w:r>
              <w:rPr>
                <w:color w:val="222222"/>
                <w:sz w:val="18"/>
                <w:szCs w:val="18"/>
              </w:rPr>
              <w:t xml:space="preserve">Total de la venta</w:t>
            </w:r>
          </w:p>
        </w:tc>
        <w:tc>
          <w:tcPr>
            <w:tcW w:type="dxa" w:w="3460"/>
            <w:tcMar>
              <w:top w:type="dxa" w:w="80"/>
              <w:left w:type="dxa" w:w="120"/>
              <w:bottom w:type="dxa" w:w="80"/>
              <w:right w:type="dxa" w:w="120"/>
            </w:tcMar>
          </w:tcPr>
          <w:p>
            <w:r>
              <w:rPr>
                <w:b w:val="false"/>
                <w:bCs w:val="false"/>
                <w:color w:val="222222"/>
                <w:sz w:val="18"/>
                <w:szCs w:val="18"/>
              </w:rPr>
              <w:t xml:space="preserve">3,12 + 1,41 + 0,23</w:t>
            </w:r>
          </w:p>
        </w:tc>
        <w:tc>
          <w:tcPr>
            <w:tcW w:type="dxa" w:w="2800"/>
            <w:tcMar>
              <w:top w:type="dxa" w:w="80"/>
              <w:left w:type="dxa" w:w="120"/>
              <w:bottom w:type="dxa" w:w="80"/>
              <w:right w:type="dxa" w:w="120"/>
            </w:tcMar>
          </w:tcPr>
          <w:p>
            <w:r>
              <w:rPr>
                <w:b w:val="false"/>
                <w:bCs w:val="false"/>
                <w:color w:val="222222"/>
                <w:sz w:val="18"/>
                <w:szCs w:val="18"/>
              </w:rPr>
              <w:t xml:space="preserve">4,76 USD</w:t>
            </w:r>
          </w:p>
        </w:tc>
      </w:tr>
      <w:tr>
        <w:trPr>
          <w:tblHeader w:val="false"/>
        </w:trPr>
        <w:tc>
          <w:tcPr>
            <w:tcW w:type="dxa" w:w="3100"/>
            <w:tcMar>
              <w:top w:type="dxa" w:w="80"/>
              <w:left w:type="dxa" w:w="120"/>
              <w:bottom w:type="dxa" w:w="80"/>
              <w:right w:type="dxa" w:w="120"/>
            </w:tcMar>
          </w:tcPr>
          <w:p>
            <w:r>
              <w:rPr>
                <w:color w:val="222222"/>
                <w:sz w:val="18"/>
                <w:szCs w:val="18"/>
              </w:rPr>
              <w:t xml:space="preserve">Total en bolívares (1.4.0)</w:t>
            </w:r>
          </w:p>
        </w:tc>
        <w:tc>
          <w:tcPr>
            <w:tcW w:type="dxa" w:w="3460"/>
            <w:tcMar>
              <w:top w:type="dxa" w:w="80"/>
              <w:left w:type="dxa" w:w="120"/>
              <w:bottom w:type="dxa" w:w="80"/>
              <w:right w:type="dxa" w:w="120"/>
            </w:tcMar>
          </w:tcPr>
          <w:p>
            <w:r>
              <w:rPr>
                <w:b w:val="false"/>
                <w:bCs w:val="false"/>
                <w:color w:val="222222"/>
                <w:sz w:val="18"/>
                <w:szCs w:val="18"/>
              </w:rPr>
              <w:t xml:space="preserve">4 × 165,00 + 2 × 174,00</w:t>
            </w:r>
          </w:p>
        </w:tc>
        <w:tc>
          <w:tcPr>
            <w:tcW w:type="dxa" w:w="2800"/>
            <w:tcMar>
              <w:top w:type="dxa" w:w="80"/>
              <w:left w:type="dxa" w:w="120"/>
              <w:bottom w:type="dxa" w:w="80"/>
              <w:right w:type="dxa" w:w="120"/>
            </w:tcMar>
          </w:tcPr>
          <w:p>
            <w:r>
              <w:rPr>
                <w:b w:val="false"/>
                <w:bCs w:val="false"/>
                <w:color w:val="222222"/>
                <w:sz w:val="18"/>
                <w:szCs w:val="18"/>
              </w:rPr>
              <w:t xml:space="preserve">1.008,00 Bs</w:t>
            </w:r>
          </w:p>
        </w:tc>
      </w:tr>
      <w:tr>
        <w:trPr>
          <w:tblHeader w:val="false"/>
        </w:trPr>
        <w:tc>
          <w:tcPr>
            <w:tcW w:type="dxa" w:w="3100"/>
            <w:tcMar>
              <w:top w:type="dxa" w:w="80"/>
              <w:left w:type="dxa" w:w="120"/>
              <w:bottom w:type="dxa" w:w="80"/>
              <w:right w:type="dxa" w:w="120"/>
            </w:tcMar>
          </w:tcPr>
          <w:p>
            <w:r>
              <w:rPr>
                <w:color w:val="222222"/>
                <w:sz w:val="18"/>
                <w:szCs w:val="18"/>
              </w:rPr>
              <w:t xml:space="preserve">Pago recibido en efectivo</w:t>
            </w:r>
          </w:p>
        </w:tc>
        <w:tc>
          <w:tcPr>
            <w:tcW w:type="dxa" w:w="3460"/>
            <w:tcMar>
              <w:top w:type="dxa" w:w="80"/>
              <w:left w:type="dxa" w:w="120"/>
              <w:bottom w:type="dxa" w:w="80"/>
              <w:right w:type="dxa" w:w="120"/>
            </w:tcMar>
          </w:tcPr>
          <w:p>
            <w:r>
              <w:rPr>
                <w:b w:val="false"/>
                <w:bCs w:val="false"/>
                <w:color w:val="222222"/>
                <w:sz w:val="18"/>
                <w:szCs w:val="18"/>
              </w:rPr>
              <w:t xml:space="preserve">5,00 USD</w:t>
            </w:r>
          </w:p>
        </w:tc>
        <w:tc>
          <w:tcPr>
            <w:tcW w:type="dxa" w:w="2800"/>
            <w:tcMar>
              <w:top w:type="dxa" w:w="80"/>
              <w:left w:type="dxa" w:w="120"/>
              <w:bottom w:type="dxa" w:w="80"/>
              <w:right w:type="dxa" w:w="120"/>
            </w:tcMar>
          </w:tcPr>
          <w:p>
            <w:r>
              <w:rPr>
                <w:b w:val="false"/>
                <w:bCs w:val="false"/>
                <w:color w:val="222222"/>
                <w:sz w:val="18"/>
                <w:szCs w:val="18"/>
              </w:rPr>
              <w:t xml:space="preserve">5,00 USD</w:t>
            </w:r>
          </w:p>
        </w:tc>
      </w:tr>
      <w:tr>
        <w:trPr>
          <w:tblHeader w:val="false"/>
        </w:trPr>
        <w:tc>
          <w:tcPr>
            <w:tcW w:type="dxa" w:w="3100"/>
            <w:tcMar>
              <w:top w:type="dxa" w:w="80"/>
              <w:left w:type="dxa" w:w="120"/>
              <w:bottom w:type="dxa" w:w="80"/>
              <w:right w:type="dxa" w:w="120"/>
            </w:tcMar>
          </w:tcPr>
          <w:p>
            <w:r>
              <w:rPr>
                <w:color w:val="222222"/>
                <w:sz w:val="18"/>
                <w:szCs w:val="18"/>
              </w:rPr>
              <w:t xml:space="preserve">Vuelto</w:t>
            </w:r>
          </w:p>
        </w:tc>
        <w:tc>
          <w:tcPr>
            <w:tcW w:type="dxa" w:w="3460"/>
            <w:tcMar>
              <w:top w:type="dxa" w:w="80"/>
              <w:left w:type="dxa" w:w="120"/>
              <w:bottom w:type="dxa" w:w="80"/>
              <w:right w:type="dxa" w:w="120"/>
            </w:tcMar>
          </w:tcPr>
          <w:p>
            <w:r>
              <w:rPr>
                <w:b w:val="false"/>
                <w:bCs w:val="false"/>
                <w:color w:val="222222"/>
                <w:sz w:val="18"/>
                <w:szCs w:val="18"/>
              </w:rPr>
              <w:t xml:space="preserve">5,00 − 4,76</w:t>
            </w:r>
          </w:p>
        </w:tc>
        <w:tc>
          <w:tcPr>
            <w:tcW w:type="dxa" w:w="2800"/>
            <w:tcMar>
              <w:top w:type="dxa" w:w="80"/>
              <w:left w:type="dxa" w:w="120"/>
              <w:bottom w:type="dxa" w:w="80"/>
              <w:right w:type="dxa" w:w="120"/>
            </w:tcMar>
          </w:tcPr>
          <w:p>
            <w:r>
              <w:rPr>
                <w:b w:val="false"/>
                <w:bCs w:val="false"/>
                <w:color w:val="222222"/>
                <w:sz w:val="18"/>
                <w:szCs w:val="18"/>
              </w:rPr>
              <w:t xml:space="preserve">0,24 USD</w:t>
            </w:r>
          </w:p>
        </w:tc>
      </w:tr>
      <w:tr>
        <w:trPr>
          <w:tblHeader w:val="false"/>
        </w:trPr>
        <w:tc>
          <w:tcPr>
            <w:tcW w:type="dxa" w:w="3100"/>
            <w:tcMar>
              <w:top w:type="dxa" w:w="80"/>
              <w:left w:type="dxa" w:w="120"/>
              <w:bottom w:type="dxa" w:w="80"/>
              <w:right w:type="dxa" w:w="120"/>
            </w:tcMar>
          </w:tcPr>
          <w:p>
            <w:r>
              <w:rPr>
                <w:color w:val="222222"/>
                <w:sz w:val="18"/>
                <w:szCs w:val="18"/>
              </w:rPr>
              <w:t xml:space="preserve">Vuelto entregado en bolívares</w:t>
            </w:r>
          </w:p>
        </w:tc>
        <w:tc>
          <w:tcPr>
            <w:tcW w:type="dxa" w:w="3460"/>
            <w:tcMar>
              <w:top w:type="dxa" w:w="80"/>
              <w:left w:type="dxa" w:w="120"/>
              <w:bottom w:type="dxa" w:w="80"/>
              <w:right w:type="dxa" w:w="120"/>
            </w:tcMar>
          </w:tcPr>
          <w:p>
            <w:r>
              <w:rPr>
                <w:b w:val="false"/>
                <w:bCs w:val="false"/>
                <w:color w:val="222222"/>
                <w:sz w:val="18"/>
                <w:szCs w:val="18"/>
              </w:rPr>
              <w:t xml:space="preserve">0,24 × 210,500000</w:t>
            </w:r>
          </w:p>
        </w:tc>
        <w:tc>
          <w:tcPr>
            <w:tcW w:type="dxa" w:w="2800"/>
            <w:tcMar>
              <w:top w:type="dxa" w:w="80"/>
              <w:left w:type="dxa" w:w="120"/>
              <w:bottom w:type="dxa" w:w="80"/>
              <w:right w:type="dxa" w:w="120"/>
            </w:tcMar>
          </w:tcPr>
          <w:p>
            <w:r>
              <w:rPr>
                <w:b w:val="false"/>
                <w:bCs w:val="false"/>
                <w:color w:val="222222"/>
                <w:sz w:val="18"/>
                <w:szCs w:val="18"/>
              </w:rPr>
              <w:t xml:space="preserve">50,52 → 51,00 Bs</w:t>
            </w:r>
          </w:p>
        </w:tc>
      </w:tr>
    </w:tbl>
    <w:p>
      <w:pPr>
        <w:pStyle w:val="Heading3"/>
        <w:spacing w:after="60" w:before="200"/>
      </w:pPr>
      <w:r>
        <w:rPr>
          <w:b/>
          <w:bCs/>
          <w:color w:val="333333"/>
          <w:sz w:val="20"/>
          <w:szCs w:val="20"/>
        </w:rPr>
        <w:t xml:space="preserve">RN-24 · Correlativo de ventas</w:t>
      </w:r>
    </w:p>
    <w:p>
      <w:pPr>
        <w:spacing w:after="90" w:before="90" w:line="288"/>
        <w:jc w:val="both"/>
      </w:pPr>
      <w:r>
        <w:rPr>
          <w:color w:val="222222"/>
          <w:sz w:val="20"/>
          <w:szCs w:val="20"/>
        </w:rPr>
        <w:t xml:space="preserve">El número de venta es un entero consecutivo que nunca se reutiliza ni se reasigna. Una venta anulada conserva su número. La numeración no se reinicia por período.</w:t>
      </w:r>
    </w:p>
    <w:p>
      <w:pPr>
        <w:pStyle w:val="Heading3"/>
        <w:spacing w:after="60" w:before="200"/>
      </w:pPr>
      <w:r>
        <w:rPr>
          <w:b/>
          <w:bCs/>
          <w:color w:val="333333"/>
          <w:sz w:val="20"/>
          <w:szCs w:val="20"/>
        </w:rPr>
        <w:t xml:space="preserve">RN-25 · Anulación</w:t>
      </w:r>
    </w:p>
    <w:p>
      <w:pPr>
        <w:spacing w:after="90" w:before="90" w:line="288"/>
        <w:jc w:val="both"/>
      </w:pPr>
      <w:r>
        <w:rPr>
          <w:color w:val="222222"/>
          <w:sz w:val="20"/>
          <w:szCs w:val="20"/>
        </w:rPr>
        <w:t xml:space="preserve">La anulación requiere autorización con clave de administrador y un motivo obligatorio. Genera movimientos inversos de inventario por cada línea, con el mismo costo unitario congelado en la venta original, y marca el documento como anulado. La venta anulada se excluye de todos los reportes de resultados pero permanece en el libro de ventas identificada como tal.</w:t>
      </w:r>
    </w:p>
    <w:p>
      <w:pPr>
        <w:pStyle w:val="Heading3"/>
        <w:spacing w:after="60" w:before="200"/>
      </w:pPr>
      <w:r>
        <w:rPr>
          <w:b/>
          <w:bCs/>
          <w:color w:val="333333"/>
          <w:sz w:val="20"/>
          <w:szCs w:val="20"/>
        </w:rPr>
        <w:t xml:space="preserve">RN-26 · Cierre de caja</w:t>
      </w:r>
    </w:p>
    <w:p>
      <w:pPr>
        <w:pBdr>
          <w:top w:val="single" w:color="C9DBE1" w:sz="2"/>
          <w:bottom w:val="single" w:color="C9DBE1" w:sz="2"/>
          <w:left w:val="single" w:color="C9DBE1" w:sz="2"/>
          <w:right w:val="single" w:color="C9DBE1" w:sz="2"/>
        </w:pBdr>
        <w:shd w:fill="EDF3F5" w:color="auto" w:val="clear"/>
        <w:spacing w:after="110" w:before="110"/>
        <w:jc w:val="center"/>
      </w:pPr>
      <w:r>
        <w:rPr>
          <w:rFonts w:ascii="Consolas" w:cs="Consolas" w:eastAsia="Consolas" w:hAnsi="Consolas"/>
          <w:b/>
          <w:bCs/>
          <w:color w:val="10333F"/>
          <w:sz w:val="20"/>
          <w:szCs w:val="20"/>
        </w:rPr>
        <w:t xml:space="preserve">esperado_por_medio  =  Σ  pagos  de  la  sesión  agrupados  por  medio</w:t>
      </w:r>
    </w:p>
    <w:p>
      <w:pPr>
        <w:pBdr>
          <w:top w:val="single" w:color="C9DBE1" w:sz="2"/>
          <w:bottom w:val="single" w:color="C9DBE1" w:sz="2"/>
          <w:left w:val="single" w:color="C9DBE1" w:sz="2"/>
          <w:right w:val="single" w:color="C9DBE1" w:sz="2"/>
        </w:pBdr>
        <w:shd w:fill="EDF3F5" w:color="auto" w:val="clear"/>
        <w:spacing w:after="110" w:before="110"/>
        <w:jc w:val="center"/>
      </w:pPr>
      <w:r>
        <w:rPr>
          <w:rFonts w:ascii="Consolas" w:cs="Consolas" w:eastAsia="Consolas" w:hAnsi="Consolas"/>
          <w:b/>
          <w:bCs/>
          <w:color w:val="10333F"/>
          <w:sz w:val="20"/>
          <w:szCs w:val="20"/>
        </w:rPr>
        <w:t xml:space="preserve">diferencia  =  conteo_físico  −  esperado</w:t>
      </w:r>
    </w:p>
    <w:p>
      <w:pPr>
        <w:spacing w:after="90" w:before="90" w:line="288"/>
        <w:jc w:val="both"/>
      </w:pPr>
      <w:r>
        <w:rPr>
          <w:color w:val="222222"/>
          <w:sz w:val="20"/>
          <w:szCs w:val="20"/>
        </w:rPr>
        <w:t xml:space="preserve">El cierre se calcula por separado para cada moneda de efectivo y para cada medio electrónico. Una diferencia distinta de cero no impide cerrar la caja, pero queda registrada y aparece en el reporte.</w:t>
      </w:r>
    </w:p>
    <w:p>
      <w:r>
        <w:br w:type="page"/>
      </w:r>
    </w:p>
    <w:p>
      <w:pPr>
        <w:pStyle w:val="Heading1"/>
        <w:shd w:fill="212121" w:color="auto" w:val="clear"/>
        <w:spacing w:after="150" w:before="320"/>
        <w:ind w:left="100" w:right="100"/>
      </w:pPr>
      <w:r>
        <w:rPr>
          <w:b/>
          <w:bCs/>
          <w:color w:val="FFFFFF"/>
          <w:sz w:val="24"/>
          <w:szCs w:val="24"/>
        </w:rPr>
        <w:t xml:space="preserve">5. RESULTADOS DEL NEGOCIO</w:t>
      </w:r>
    </w:p>
    <w:p>
      <w:pPr>
        <w:pStyle w:val="Heading3"/>
        <w:spacing w:after="60" w:before="200"/>
      </w:pPr>
      <w:r>
        <w:rPr>
          <w:b/>
          <w:bCs/>
          <w:color w:val="333333"/>
          <w:sz w:val="20"/>
          <w:szCs w:val="20"/>
        </w:rPr>
        <w:t xml:space="preserve">RN-27 · Costo de la mercancía vendida</w:t>
      </w:r>
    </w:p>
    <w:p>
      <w:pPr>
        <w:pBdr>
          <w:top w:val="single" w:color="C9DBE1" w:sz="2"/>
          <w:bottom w:val="single" w:color="C9DBE1" w:sz="2"/>
          <w:left w:val="single" w:color="C9DBE1" w:sz="2"/>
          <w:right w:val="single" w:color="C9DBE1" w:sz="2"/>
        </w:pBdr>
        <w:shd w:fill="EDF3F5" w:color="auto" w:val="clear"/>
        <w:spacing w:after="110" w:before="110"/>
        <w:jc w:val="center"/>
      </w:pPr>
      <w:r>
        <w:rPr>
          <w:rFonts w:ascii="Consolas" w:cs="Consolas" w:eastAsia="Consolas" w:hAnsi="Consolas"/>
          <w:b/>
          <w:bCs/>
          <w:color w:val="10333F"/>
          <w:sz w:val="20"/>
          <w:szCs w:val="20"/>
        </w:rPr>
        <w:t xml:space="preserve">CMV  =  Σ ( cantidad × costo_unitario_congelado )  de  las  ventas  del  período</w:t>
      </w:r>
    </w:p>
    <w:p>
      <w:pPr>
        <w:pStyle w:val="Heading3"/>
        <w:spacing w:after="60" w:before="200"/>
      </w:pPr>
      <w:r>
        <w:rPr>
          <w:b/>
          <w:bCs/>
          <w:color w:val="333333"/>
          <w:sz w:val="20"/>
          <w:szCs w:val="20"/>
        </w:rPr>
        <w:t xml:space="preserve">RN-28 · Ganancia bruta</w:t>
      </w:r>
    </w:p>
    <w:p>
      <w:pPr>
        <w:pBdr>
          <w:top w:val="single" w:color="C9DBE1" w:sz="2"/>
          <w:bottom w:val="single" w:color="C9DBE1" w:sz="2"/>
          <w:left w:val="single" w:color="C9DBE1" w:sz="2"/>
          <w:right w:val="single" w:color="C9DBE1" w:sz="2"/>
        </w:pBdr>
        <w:shd w:fill="EDF3F5" w:color="auto" w:val="clear"/>
        <w:spacing w:after="110" w:before="110"/>
        <w:jc w:val="center"/>
      </w:pPr>
      <w:r>
        <w:rPr>
          <w:rFonts w:ascii="Consolas" w:cs="Consolas" w:eastAsia="Consolas" w:hAnsi="Consolas"/>
          <w:b/>
          <w:bCs/>
          <w:color w:val="10333F"/>
          <w:sz w:val="20"/>
          <w:szCs w:val="20"/>
        </w:rPr>
        <w:t xml:space="preserve">ganancia_bruta  =  ( base_imponible + exento )  −  CMV</w:t>
      </w:r>
    </w:p>
    <w:p>
      <w:pPr>
        <w:spacing w:after="90" w:before="90" w:line="288"/>
        <w:jc w:val="both"/>
      </w:pPr>
      <w:r>
        <w:rPr>
          <w:color w:val="222222"/>
          <w:sz w:val="20"/>
          <w:szCs w:val="20"/>
        </w:rPr>
        <w:t xml:space="preserve">El IVA queda excluido del cálculo por no constituir ingreso del negocio.</w:t>
      </w:r>
    </w:p>
    <w:p>
      <w:pPr>
        <w:pStyle w:val="Heading3"/>
        <w:spacing w:after="60" w:before="200"/>
      </w:pPr>
      <w:r>
        <w:rPr>
          <w:b/>
          <w:bCs/>
          <w:color w:val="333333"/>
          <w:sz w:val="20"/>
          <w:szCs w:val="20"/>
        </w:rPr>
        <w:t xml:space="preserve">RN-29 · Ganancia real del período</w:t>
      </w:r>
    </w:p>
    <w:p>
      <w:pPr>
        <w:pBdr>
          <w:top w:val="single" w:color="C9DBE1" w:sz="2"/>
          <w:bottom w:val="single" w:color="C9DBE1" w:sz="2"/>
          <w:left w:val="single" w:color="C9DBE1" w:sz="2"/>
          <w:right w:val="single" w:color="C9DBE1" w:sz="2"/>
        </w:pBdr>
        <w:shd w:fill="EDF3F5" w:color="auto" w:val="clear"/>
        <w:spacing w:after="110" w:before="110"/>
        <w:jc w:val="center"/>
      </w:pPr>
      <w:r>
        <w:rPr>
          <w:rFonts w:ascii="Consolas" w:cs="Consolas" w:eastAsia="Consolas" w:hAnsi="Consolas"/>
          <w:b/>
          <w:bCs/>
          <w:color w:val="10333F"/>
          <w:sz w:val="20"/>
          <w:szCs w:val="20"/>
        </w:rPr>
        <w:t xml:space="preserve">ganancia_real  =  ganancia_bruta  −  pérdidas  −  gastos_operativos</w:t>
      </w:r>
    </w:p>
    <w:p>
      <w:pPr>
        <w:spacing w:after="90" w:before="90" w:line="288"/>
        <w:jc w:val="both"/>
      </w:pPr>
      <w:r>
        <w:rPr>
          <w:color w:val="222222"/>
          <w:sz w:val="20"/>
          <w:szCs w:val="20"/>
        </w:rPr>
        <w:t xml:space="preserve">Las pérdidas se valorizan conforme a RN-18. Los gastos operativos son los registrados con período coincidente. Los gastos no se prorratean entre productos: se restan del resultado global del período.</w:t>
      </w:r>
    </w:p>
    <w:p>
      <w:pPr>
        <w:pStyle w:val="Heading3"/>
        <w:spacing w:after="60" w:before="200"/>
      </w:pPr>
      <w:r>
        <w:rPr>
          <w:b/>
          <w:bCs/>
          <w:color w:val="333333"/>
          <w:sz w:val="20"/>
          <w:szCs w:val="20"/>
        </w:rPr>
        <w:t xml:space="preserve">RN-30 · Inventario valorizado</w:t>
      </w:r>
    </w:p>
    <w:p>
      <w:pPr>
        <w:pBdr>
          <w:top w:val="single" w:color="C9DBE1" w:sz="2"/>
          <w:bottom w:val="single" w:color="C9DBE1" w:sz="2"/>
          <w:left w:val="single" w:color="C9DBE1" w:sz="2"/>
          <w:right w:val="single" w:color="C9DBE1" w:sz="2"/>
        </w:pBdr>
        <w:shd w:fill="EDF3F5" w:color="auto" w:val="clear"/>
        <w:spacing w:after="110" w:before="110"/>
        <w:jc w:val="center"/>
      </w:pPr>
      <w:r>
        <w:rPr>
          <w:rFonts w:ascii="Consolas" w:cs="Consolas" w:eastAsia="Consolas" w:hAnsi="Consolas"/>
          <w:b/>
          <w:bCs/>
          <w:color w:val="10333F"/>
          <w:sz w:val="20"/>
          <w:szCs w:val="20"/>
        </w:rPr>
        <w:t xml:space="preserve">valor_inventario  =  Σ ( existencia  ×  último_costo )</w:t>
      </w:r>
    </w:p>
    <w:p>
      <w:pPr>
        <w:pStyle w:val="Heading3"/>
        <w:spacing w:after="60" w:before="200"/>
      </w:pPr>
      <w:r>
        <w:rPr>
          <w:b/>
          <w:bCs/>
          <w:color w:val="333333"/>
          <w:sz w:val="20"/>
          <w:szCs w:val="20"/>
        </w:rPr>
        <w:t xml:space="preserve">RN-31 · Libro de ventas</w:t>
      </w:r>
    </w:p>
    <w:p>
      <w:pPr>
        <w:spacing w:after="90" w:before="90" w:line="288"/>
        <w:jc w:val="both"/>
      </w:pPr>
      <w:r>
        <w:rPr>
          <w:color w:val="222222"/>
          <w:sz w:val="20"/>
          <w:szCs w:val="20"/>
        </w:rPr>
        <w:t xml:space="preserve">El libro agrupa las ventas por fecha y expresa los importes en bolívares utilizando la tasa de cada operación, no la tasa del día de emisión del reporte. Cada fila distingue el total exento, la base imponible, el IVA y el total. Las ventas anuladas se listan con importes en cero e indicación de su condición.</w:t>
      </w:r>
    </w:p>
    <w:tbl>
      <w:tblPr>
        <w:tblW w:type="dxa" w:w="9360"/>
        <w:tblBorders>
          <w:top w:val="single" w:color="8A5A1F" w:sz="2"/>
          <w:left w:val="single" w:color="8A5A1F" w:sz="20"/>
          <w:bottom w:val="single" w:color="8A5A1F" w:sz="2"/>
          <w:right w:val="single" w:color="8A5A1F" w:sz="2"/>
          <w:insideH w:val="none"/>
          <w:insideV w:val="none"/>
        </w:tblBorders>
      </w:tblPr>
      <w:tblGrid>
        <w:gridCol w:w="9360"/>
      </w:tblGrid>
      <w:tr>
        <w:tc>
          <w:tcPr>
            <w:tcW w:type="dxa" w:w="9360"/>
            <w:shd w:fill="F8F4F0" w:color="auto" w:val="clear"/>
            <w:tcMar>
              <w:top w:type="dxa" w:w="140"/>
              <w:left w:type="dxa" w:w="220"/>
              <w:bottom w:type="dxa" w:w="140"/>
              <w:right w:type="dxa" w:w="180"/>
            </w:tcMar>
          </w:tcPr>
          <w:p>
            <w:pPr>
              <w:spacing w:after="60"/>
            </w:pPr>
            <w:r>
              <w:rPr>
                <w:b/>
                <w:bCs/>
                <w:color w:val="8A5A1F"/>
                <w:sz w:val="19"/>
                <w:szCs w:val="19"/>
              </w:rPr>
              <w:t xml:space="preserve">Formato pendiente de confirmación</w:t>
            </w:r>
          </w:p>
          <w:p>
            <w:pPr>
              <w:spacing w:after="50" w:line="264"/>
              <w:jc w:val="both"/>
            </w:pPr>
            <w:r>
              <w:rPr>
                <w:color w:val="333333"/>
                <w:sz w:val="18"/>
                <w:szCs w:val="18"/>
              </w:rPr>
              <w:t xml:space="preserve">La estructura definitiva del libro de ventas debe confirmarse con el contador del cliente antes de desarrollar el reporte, conforme a la Cláusula 6.7 del contrato. Las reglas de cálculo aquí definidas no cambian; lo que puede variar es la disposición de las columnas y los totales exigidos.</w:t>
            </w:r>
          </w:p>
        </w:tc>
      </w:tr>
    </w:tbl>
    <w:p>
      <w:pPr>
        <w:pStyle w:val="Heading1"/>
        <w:shd w:fill="212121" w:color="auto" w:val="clear"/>
        <w:spacing w:after="150" w:before="320"/>
        <w:ind w:left="100" w:right="100"/>
      </w:pPr>
      <w:r>
        <w:rPr>
          <w:b/>
          <w:bCs/>
          <w:color w:val="FFFFFF"/>
          <w:sz w:val="24"/>
          <w:szCs w:val="24"/>
        </w:rPr>
        <w:t xml:space="preserve">6. PERMISOS POR PERFIL</w:t>
      </w:r>
    </w:p>
    <w:tbl>
      <w:tblPr>
        <w:tblW w:type="dxa" w:w="9360"/>
        <w:tblBorders>
          <w:top w:val="single" w:color="BBBBBB" w:sz="4"/>
          <w:left w:val="single" w:color="BBBBBB" w:sz="4"/>
          <w:bottom w:val="single" w:color="BBBBBB" w:sz="4"/>
          <w:right w:val="single" w:color="BBBBBB" w:sz="4"/>
          <w:insideH w:val="single" w:color="E0E0E0" w:sz="4"/>
          <w:insideV w:val="single" w:color="E0E0E0" w:sz="4"/>
        </w:tblBorders>
      </w:tblPr>
      <w:tblGrid>
        <w:gridCol w:w="5160"/>
        <w:gridCol w:w="2100"/>
        <w:gridCol w:w="2100"/>
      </w:tblGrid>
      <w:tr>
        <w:trPr>
          <w:tblHeader/>
        </w:trPr>
        <w:tc>
          <w:tcPr>
            <w:tcW w:type="dxa" w:w="5160"/>
            <w:shd w:fill="212121" w:color="auto" w:val="clear"/>
            <w:tcMar>
              <w:top w:type="dxa" w:w="80"/>
              <w:left w:type="dxa" w:w="120"/>
              <w:bottom w:type="dxa" w:w="80"/>
              <w:right w:type="dxa" w:w="120"/>
            </w:tcMar>
          </w:tcPr>
          <w:p>
            <w:r>
              <w:rPr>
                <w:b/>
                <w:bCs/>
                <w:color w:val="FFFFFF"/>
                <w:sz w:val="18"/>
                <w:szCs w:val="18"/>
              </w:rPr>
              <w:t xml:space="preserve">Operación</w:t>
            </w:r>
          </w:p>
        </w:tc>
        <w:tc>
          <w:tcPr>
            <w:tcW w:type="dxa" w:w="2100"/>
            <w:shd w:fill="212121" w:color="auto" w:val="clear"/>
            <w:tcMar>
              <w:top w:type="dxa" w:w="80"/>
              <w:left w:type="dxa" w:w="120"/>
              <w:bottom w:type="dxa" w:w="80"/>
              <w:right w:type="dxa" w:w="120"/>
            </w:tcMar>
          </w:tcPr>
          <w:p>
            <w:pPr>
              <w:jc w:val="center"/>
            </w:pPr>
            <w:r>
              <w:rPr>
                <w:b/>
                <w:bCs/>
                <w:color w:val="FFFFFF"/>
                <w:sz w:val="18"/>
                <w:szCs w:val="18"/>
              </w:rPr>
              <w:t xml:space="preserve">Administrador</w:t>
            </w:r>
          </w:p>
        </w:tc>
        <w:tc>
          <w:tcPr>
            <w:tcW w:type="dxa" w:w="2100"/>
            <w:shd w:fill="212121" w:color="auto" w:val="clear"/>
            <w:tcMar>
              <w:top w:type="dxa" w:w="80"/>
              <w:left w:type="dxa" w:w="120"/>
              <w:bottom w:type="dxa" w:w="80"/>
              <w:right w:type="dxa" w:w="120"/>
            </w:tcMar>
          </w:tcPr>
          <w:p>
            <w:pPr>
              <w:jc w:val="center"/>
            </w:pPr>
            <w:r>
              <w:rPr>
                <w:b/>
                <w:bCs/>
                <w:color w:val="FFFFFF"/>
                <w:sz w:val="18"/>
                <w:szCs w:val="18"/>
              </w:rPr>
              <w:t xml:space="preserve">Cajero</w:t>
            </w:r>
          </w:p>
        </w:tc>
      </w:tr>
      <w:tr>
        <w:trPr>
          <w:tblHeader w:val="false"/>
        </w:trPr>
        <w:tc>
          <w:tcPr>
            <w:tcW w:type="dxa" w:w="5160"/>
            <w:tcMar>
              <w:top w:type="dxa" w:w="80"/>
              <w:left w:type="dxa" w:w="120"/>
              <w:bottom w:type="dxa" w:w="80"/>
              <w:right w:type="dxa" w:w="120"/>
            </w:tcMar>
          </w:tcPr>
          <w:p>
            <w:r>
              <w:rPr>
                <w:color w:val="222222"/>
                <w:sz w:val="18"/>
                <w:szCs w:val="18"/>
              </w:rPr>
              <w:t xml:space="preserve">Registrar ventas</w:t>
            </w:r>
          </w:p>
        </w:tc>
        <w:tc>
          <w:tcPr>
            <w:tcW w:type="dxa" w:w="2100"/>
            <w:tcMar>
              <w:top w:type="dxa" w:w="80"/>
              <w:left w:type="dxa" w:w="120"/>
              <w:bottom w:type="dxa" w:w="80"/>
              <w:right w:type="dxa" w:w="120"/>
            </w:tcMar>
          </w:tcPr>
          <w:p>
            <w:pPr>
              <w:jc w:val="center"/>
            </w:pPr>
            <w:r>
              <w:rPr>
                <w:b w:val="false"/>
                <w:bCs w:val="false"/>
                <w:color w:val="222222"/>
                <w:sz w:val="18"/>
                <w:szCs w:val="18"/>
              </w:rPr>
              <w:t xml:space="preserve">Sí</w:t>
            </w:r>
          </w:p>
        </w:tc>
        <w:tc>
          <w:tcPr>
            <w:tcW w:type="dxa" w:w="2100"/>
            <w:tcMar>
              <w:top w:type="dxa" w:w="80"/>
              <w:left w:type="dxa" w:w="120"/>
              <w:bottom w:type="dxa" w:w="80"/>
              <w:right w:type="dxa" w:w="120"/>
            </w:tcMar>
          </w:tcPr>
          <w:p>
            <w:pPr>
              <w:jc w:val="center"/>
            </w:pPr>
            <w:r>
              <w:rPr>
                <w:b w:val="false"/>
                <w:bCs w:val="false"/>
                <w:color w:val="222222"/>
                <w:sz w:val="18"/>
                <w:szCs w:val="18"/>
              </w:rPr>
              <w:t xml:space="preserve">Sí</w:t>
            </w:r>
          </w:p>
        </w:tc>
      </w:tr>
      <w:tr>
        <w:trPr>
          <w:tblHeader w:val="false"/>
        </w:trPr>
        <w:tc>
          <w:tcPr>
            <w:tcW w:type="dxa" w:w="5160"/>
            <w:tcMar>
              <w:top w:type="dxa" w:w="80"/>
              <w:left w:type="dxa" w:w="120"/>
              <w:bottom w:type="dxa" w:w="80"/>
              <w:right w:type="dxa" w:w="120"/>
            </w:tcMar>
          </w:tcPr>
          <w:p>
            <w:r>
              <w:rPr>
                <w:color w:val="222222"/>
                <w:sz w:val="18"/>
                <w:szCs w:val="18"/>
              </w:rPr>
              <w:t xml:space="preserve">Abrir y cerrar caja</w:t>
            </w:r>
          </w:p>
        </w:tc>
        <w:tc>
          <w:tcPr>
            <w:tcW w:type="dxa" w:w="2100"/>
            <w:tcMar>
              <w:top w:type="dxa" w:w="80"/>
              <w:left w:type="dxa" w:w="120"/>
              <w:bottom w:type="dxa" w:w="80"/>
              <w:right w:type="dxa" w:w="120"/>
            </w:tcMar>
          </w:tcPr>
          <w:p>
            <w:pPr>
              <w:jc w:val="center"/>
            </w:pPr>
            <w:r>
              <w:rPr>
                <w:b w:val="false"/>
                <w:bCs w:val="false"/>
                <w:color w:val="222222"/>
                <w:sz w:val="18"/>
                <w:szCs w:val="18"/>
              </w:rPr>
              <w:t xml:space="preserve">Sí</w:t>
            </w:r>
          </w:p>
        </w:tc>
        <w:tc>
          <w:tcPr>
            <w:tcW w:type="dxa" w:w="2100"/>
            <w:tcMar>
              <w:top w:type="dxa" w:w="80"/>
              <w:left w:type="dxa" w:w="120"/>
              <w:bottom w:type="dxa" w:w="80"/>
              <w:right w:type="dxa" w:w="120"/>
            </w:tcMar>
          </w:tcPr>
          <w:p>
            <w:pPr>
              <w:jc w:val="center"/>
            </w:pPr>
            <w:r>
              <w:rPr>
                <w:b w:val="false"/>
                <w:bCs w:val="false"/>
                <w:color w:val="222222"/>
                <w:sz w:val="18"/>
                <w:szCs w:val="18"/>
              </w:rPr>
              <w:t xml:space="preserve">Sí</w:t>
            </w:r>
          </w:p>
        </w:tc>
      </w:tr>
      <w:tr>
        <w:trPr>
          <w:tblHeader w:val="false"/>
        </w:trPr>
        <w:tc>
          <w:tcPr>
            <w:tcW w:type="dxa" w:w="5160"/>
            <w:tcMar>
              <w:top w:type="dxa" w:w="80"/>
              <w:left w:type="dxa" w:w="120"/>
              <w:bottom w:type="dxa" w:w="80"/>
              <w:right w:type="dxa" w:w="120"/>
            </w:tcMar>
          </w:tcPr>
          <w:p>
            <w:r>
              <w:rPr>
                <w:color w:val="222222"/>
                <w:sz w:val="18"/>
                <w:szCs w:val="18"/>
              </w:rPr>
              <w:t xml:space="preserve">Consultar existencias</w:t>
            </w:r>
          </w:p>
        </w:tc>
        <w:tc>
          <w:tcPr>
            <w:tcW w:type="dxa" w:w="2100"/>
            <w:tcMar>
              <w:top w:type="dxa" w:w="80"/>
              <w:left w:type="dxa" w:w="120"/>
              <w:bottom w:type="dxa" w:w="80"/>
              <w:right w:type="dxa" w:w="120"/>
            </w:tcMar>
          </w:tcPr>
          <w:p>
            <w:pPr>
              <w:jc w:val="center"/>
            </w:pPr>
            <w:r>
              <w:rPr>
                <w:b w:val="false"/>
                <w:bCs w:val="false"/>
                <w:color w:val="222222"/>
                <w:sz w:val="18"/>
                <w:szCs w:val="18"/>
              </w:rPr>
              <w:t xml:space="preserve">Sí</w:t>
            </w:r>
          </w:p>
        </w:tc>
        <w:tc>
          <w:tcPr>
            <w:tcW w:type="dxa" w:w="2100"/>
            <w:tcMar>
              <w:top w:type="dxa" w:w="80"/>
              <w:left w:type="dxa" w:w="120"/>
              <w:bottom w:type="dxa" w:w="80"/>
              <w:right w:type="dxa" w:w="120"/>
            </w:tcMar>
          </w:tcPr>
          <w:p>
            <w:pPr>
              <w:jc w:val="center"/>
            </w:pPr>
            <w:r>
              <w:rPr>
                <w:b w:val="false"/>
                <w:bCs w:val="false"/>
                <w:color w:val="222222"/>
                <w:sz w:val="18"/>
                <w:szCs w:val="18"/>
              </w:rPr>
              <w:t xml:space="preserve">Sí</w:t>
            </w:r>
          </w:p>
        </w:tc>
      </w:tr>
      <w:tr>
        <w:trPr>
          <w:tblHeader w:val="false"/>
        </w:trPr>
        <w:tc>
          <w:tcPr>
            <w:tcW w:type="dxa" w:w="5160"/>
            <w:tcMar>
              <w:top w:type="dxa" w:w="80"/>
              <w:left w:type="dxa" w:w="120"/>
              <w:bottom w:type="dxa" w:w="80"/>
              <w:right w:type="dxa" w:w="120"/>
            </w:tcMar>
          </w:tcPr>
          <w:p>
            <w:r>
              <w:rPr>
                <w:color w:val="222222"/>
                <w:sz w:val="18"/>
                <w:szCs w:val="18"/>
              </w:rPr>
              <w:t xml:space="preserve">Ver costos y márgenes</w:t>
            </w:r>
          </w:p>
        </w:tc>
        <w:tc>
          <w:tcPr>
            <w:tcW w:type="dxa" w:w="2100"/>
            <w:tcMar>
              <w:top w:type="dxa" w:w="80"/>
              <w:left w:type="dxa" w:w="120"/>
              <w:bottom w:type="dxa" w:w="80"/>
              <w:right w:type="dxa" w:w="120"/>
            </w:tcMar>
          </w:tcPr>
          <w:p>
            <w:pPr>
              <w:jc w:val="center"/>
            </w:pPr>
            <w:r>
              <w:rPr>
                <w:b w:val="false"/>
                <w:bCs w:val="false"/>
                <w:color w:val="222222"/>
                <w:sz w:val="18"/>
                <w:szCs w:val="18"/>
              </w:rPr>
              <w:t xml:space="preserve">Sí</w:t>
            </w:r>
          </w:p>
        </w:tc>
        <w:tc>
          <w:tcPr>
            <w:tcW w:type="dxa" w:w="2100"/>
            <w:tcMar>
              <w:top w:type="dxa" w:w="80"/>
              <w:left w:type="dxa" w:w="120"/>
              <w:bottom w:type="dxa" w:w="80"/>
              <w:right w:type="dxa" w:w="120"/>
            </w:tcMar>
          </w:tcPr>
          <w:p>
            <w:pPr>
              <w:jc w:val="center"/>
            </w:pPr>
            <w:r>
              <w:rPr>
                <w:b w:val="false"/>
                <w:bCs w:val="false"/>
                <w:color w:val="222222"/>
                <w:sz w:val="18"/>
                <w:szCs w:val="18"/>
              </w:rPr>
              <w:t xml:space="preserve">No</w:t>
            </w:r>
          </w:p>
        </w:tc>
      </w:tr>
      <w:tr>
        <w:trPr>
          <w:tblHeader w:val="false"/>
        </w:trPr>
        <w:tc>
          <w:tcPr>
            <w:tcW w:type="dxa" w:w="5160"/>
            <w:tcMar>
              <w:top w:type="dxa" w:w="80"/>
              <w:left w:type="dxa" w:w="120"/>
              <w:bottom w:type="dxa" w:w="80"/>
              <w:right w:type="dxa" w:w="120"/>
            </w:tcMar>
          </w:tcPr>
          <w:p>
            <w:r>
              <w:rPr>
                <w:color w:val="222222"/>
                <w:sz w:val="18"/>
                <w:szCs w:val="18"/>
              </w:rPr>
              <w:t xml:space="preserve">Modificar precios</w:t>
            </w:r>
          </w:p>
        </w:tc>
        <w:tc>
          <w:tcPr>
            <w:tcW w:type="dxa" w:w="2100"/>
            <w:tcMar>
              <w:top w:type="dxa" w:w="80"/>
              <w:left w:type="dxa" w:w="120"/>
              <w:bottom w:type="dxa" w:w="80"/>
              <w:right w:type="dxa" w:w="120"/>
            </w:tcMar>
          </w:tcPr>
          <w:p>
            <w:pPr>
              <w:jc w:val="center"/>
            </w:pPr>
            <w:r>
              <w:rPr>
                <w:b w:val="false"/>
                <w:bCs w:val="false"/>
                <w:color w:val="222222"/>
                <w:sz w:val="18"/>
                <w:szCs w:val="18"/>
              </w:rPr>
              <w:t xml:space="preserve">Sí</w:t>
            </w:r>
          </w:p>
        </w:tc>
        <w:tc>
          <w:tcPr>
            <w:tcW w:type="dxa" w:w="2100"/>
            <w:tcMar>
              <w:top w:type="dxa" w:w="80"/>
              <w:left w:type="dxa" w:w="120"/>
              <w:bottom w:type="dxa" w:w="80"/>
              <w:right w:type="dxa" w:w="120"/>
            </w:tcMar>
          </w:tcPr>
          <w:p>
            <w:pPr>
              <w:jc w:val="center"/>
            </w:pPr>
            <w:r>
              <w:rPr>
                <w:b w:val="false"/>
                <w:bCs w:val="false"/>
                <w:color w:val="222222"/>
                <w:sz w:val="18"/>
                <w:szCs w:val="18"/>
              </w:rPr>
              <w:t xml:space="preserve">No</w:t>
            </w:r>
          </w:p>
        </w:tc>
      </w:tr>
      <w:tr>
        <w:trPr>
          <w:tblHeader w:val="false"/>
        </w:trPr>
        <w:tc>
          <w:tcPr>
            <w:tcW w:type="dxa" w:w="5160"/>
            <w:tcMar>
              <w:top w:type="dxa" w:w="80"/>
              <w:left w:type="dxa" w:w="120"/>
              <w:bottom w:type="dxa" w:w="80"/>
              <w:right w:type="dxa" w:w="120"/>
            </w:tcMar>
          </w:tcPr>
          <w:p>
            <w:r>
              <w:rPr>
                <w:color w:val="222222"/>
                <w:sz w:val="18"/>
                <w:szCs w:val="18"/>
              </w:rPr>
              <w:t xml:space="preserve">Registrar compras</w:t>
            </w:r>
          </w:p>
        </w:tc>
        <w:tc>
          <w:tcPr>
            <w:tcW w:type="dxa" w:w="2100"/>
            <w:tcMar>
              <w:top w:type="dxa" w:w="80"/>
              <w:left w:type="dxa" w:w="120"/>
              <w:bottom w:type="dxa" w:w="80"/>
              <w:right w:type="dxa" w:w="120"/>
            </w:tcMar>
          </w:tcPr>
          <w:p>
            <w:pPr>
              <w:jc w:val="center"/>
            </w:pPr>
            <w:r>
              <w:rPr>
                <w:b w:val="false"/>
                <w:bCs w:val="false"/>
                <w:color w:val="222222"/>
                <w:sz w:val="18"/>
                <w:szCs w:val="18"/>
              </w:rPr>
              <w:t xml:space="preserve">Sí</w:t>
            </w:r>
          </w:p>
        </w:tc>
        <w:tc>
          <w:tcPr>
            <w:tcW w:type="dxa" w:w="2100"/>
            <w:tcMar>
              <w:top w:type="dxa" w:w="80"/>
              <w:left w:type="dxa" w:w="120"/>
              <w:bottom w:type="dxa" w:w="80"/>
              <w:right w:type="dxa" w:w="120"/>
            </w:tcMar>
          </w:tcPr>
          <w:p>
            <w:pPr>
              <w:jc w:val="center"/>
            </w:pPr>
            <w:r>
              <w:rPr>
                <w:b w:val="false"/>
                <w:bCs w:val="false"/>
                <w:color w:val="222222"/>
                <w:sz w:val="18"/>
                <w:szCs w:val="18"/>
              </w:rPr>
              <w:t xml:space="preserve">No</w:t>
            </w:r>
          </w:p>
        </w:tc>
      </w:tr>
      <w:tr>
        <w:trPr>
          <w:tblHeader w:val="false"/>
        </w:trPr>
        <w:tc>
          <w:tcPr>
            <w:tcW w:type="dxa" w:w="5160"/>
            <w:tcMar>
              <w:top w:type="dxa" w:w="80"/>
              <w:left w:type="dxa" w:w="120"/>
              <w:bottom w:type="dxa" w:w="80"/>
              <w:right w:type="dxa" w:w="120"/>
            </w:tcMar>
          </w:tcPr>
          <w:p>
            <w:r>
              <w:rPr>
                <w:color w:val="222222"/>
                <w:sz w:val="18"/>
                <w:szCs w:val="18"/>
              </w:rPr>
              <w:t xml:space="preserve">Ajustar inventario</w:t>
            </w:r>
          </w:p>
        </w:tc>
        <w:tc>
          <w:tcPr>
            <w:tcW w:type="dxa" w:w="2100"/>
            <w:tcMar>
              <w:top w:type="dxa" w:w="80"/>
              <w:left w:type="dxa" w:w="120"/>
              <w:bottom w:type="dxa" w:w="80"/>
              <w:right w:type="dxa" w:w="120"/>
            </w:tcMar>
          </w:tcPr>
          <w:p>
            <w:pPr>
              <w:jc w:val="center"/>
            </w:pPr>
            <w:r>
              <w:rPr>
                <w:b w:val="false"/>
                <w:bCs w:val="false"/>
                <w:color w:val="222222"/>
                <w:sz w:val="18"/>
                <w:szCs w:val="18"/>
              </w:rPr>
              <w:t xml:space="preserve">Sí</w:t>
            </w:r>
          </w:p>
        </w:tc>
        <w:tc>
          <w:tcPr>
            <w:tcW w:type="dxa" w:w="2100"/>
            <w:tcMar>
              <w:top w:type="dxa" w:w="80"/>
              <w:left w:type="dxa" w:w="120"/>
              <w:bottom w:type="dxa" w:w="80"/>
              <w:right w:type="dxa" w:w="120"/>
            </w:tcMar>
          </w:tcPr>
          <w:p>
            <w:pPr>
              <w:jc w:val="center"/>
            </w:pPr>
            <w:r>
              <w:rPr>
                <w:b w:val="false"/>
                <w:bCs w:val="false"/>
                <w:color w:val="222222"/>
                <w:sz w:val="18"/>
                <w:szCs w:val="18"/>
              </w:rPr>
              <w:t xml:space="preserve">No</w:t>
            </w:r>
          </w:p>
        </w:tc>
      </w:tr>
      <w:tr>
        <w:trPr>
          <w:tblHeader w:val="false"/>
        </w:trPr>
        <w:tc>
          <w:tcPr>
            <w:tcW w:type="dxa" w:w="5160"/>
            <w:tcMar>
              <w:top w:type="dxa" w:w="80"/>
              <w:left w:type="dxa" w:w="120"/>
              <w:bottom w:type="dxa" w:w="80"/>
              <w:right w:type="dxa" w:w="120"/>
            </w:tcMar>
          </w:tcPr>
          <w:p>
            <w:r>
              <w:rPr>
                <w:color w:val="222222"/>
                <w:sz w:val="18"/>
                <w:szCs w:val="18"/>
              </w:rPr>
              <w:t xml:space="preserve">Registrar pérdidas</w:t>
            </w:r>
          </w:p>
        </w:tc>
        <w:tc>
          <w:tcPr>
            <w:tcW w:type="dxa" w:w="2100"/>
            <w:tcMar>
              <w:top w:type="dxa" w:w="80"/>
              <w:left w:type="dxa" w:w="120"/>
              <w:bottom w:type="dxa" w:w="80"/>
              <w:right w:type="dxa" w:w="120"/>
            </w:tcMar>
          </w:tcPr>
          <w:p>
            <w:pPr>
              <w:jc w:val="center"/>
            </w:pPr>
            <w:r>
              <w:rPr>
                <w:b w:val="false"/>
                <w:bCs w:val="false"/>
                <w:color w:val="222222"/>
                <w:sz w:val="18"/>
                <w:szCs w:val="18"/>
              </w:rPr>
              <w:t xml:space="preserve">Sí</w:t>
            </w:r>
          </w:p>
        </w:tc>
        <w:tc>
          <w:tcPr>
            <w:tcW w:type="dxa" w:w="2100"/>
            <w:tcMar>
              <w:top w:type="dxa" w:w="80"/>
              <w:left w:type="dxa" w:w="120"/>
              <w:bottom w:type="dxa" w:w="80"/>
              <w:right w:type="dxa" w:w="120"/>
            </w:tcMar>
          </w:tcPr>
          <w:p>
            <w:pPr>
              <w:jc w:val="center"/>
            </w:pPr>
            <w:r>
              <w:rPr>
                <w:b w:val="false"/>
                <w:bCs w:val="false"/>
                <w:color w:val="222222"/>
                <w:sz w:val="18"/>
                <w:szCs w:val="18"/>
              </w:rPr>
              <w:t xml:space="preserve">No</w:t>
            </w:r>
          </w:p>
        </w:tc>
      </w:tr>
      <w:tr>
        <w:trPr>
          <w:tblHeader w:val="false"/>
        </w:trPr>
        <w:tc>
          <w:tcPr>
            <w:tcW w:type="dxa" w:w="5160"/>
            <w:tcMar>
              <w:top w:type="dxa" w:w="80"/>
              <w:left w:type="dxa" w:w="120"/>
              <w:bottom w:type="dxa" w:w="80"/>
              <w:right w:type="dxa" w:w="120"/>
            </w:tcMar>
          </w:tcPr>
          <w:p>
            <w:r>
              <w:rPr>
                <w:color w:val="222222"/>
                <w:sz w:val="18"/>
                <w:szCs w:val="18"/>
              </w:rPr>
              <w:t xml:space="preserve">Anular ventas</w:t>
            </w:r>
          </w:p>
        </w:tc>
        <w:tc>
          <w:tcPr>
            <w:tcW w:type="dxa" w:w="2100"/>
            <w:tcMar>
              <w:top w:type="dxa" w:w="80"/>
              <w:left w:type="dxa" w:w="120"/>
              <w:bottom w:type="dxa" w:w="80"/>
              <w:right w:type="dxa" w:w="120"/>
            </w:tcMar>
          </w:tcPr>
          <w:p>
            <w:pPr>
              <w:jc w:val="center"/>
            </w:pPr>
            <w:r>
              <w:rPr>
                <w:b w:val="false"/>
                <w:bCs w:val="false"/>
                <w:color w:val="222222"/>
                <w:sz w:val="18"/>
                <w:szCs w:val="18"/>
              </w:rPr>
              <w:t xml:space="preserve">Sí</w:t>
            </w:r>
          </w:p>
        </w:tc>
        <w:tc>
          <w:tcPr>
            <w:tcW w:type="dxa" w:w="2100"/>
            <w:tcMar>
              <w:top w:type="dxa" w:w="80"/>
              <w:left w:type="dxa" w:w="120"/>
              <w:bottom w:type="dxa" w:w="80"/>
              <w:right w:type="dxa" w:w="120"/>
            </w:tcMar>
          </w:tcPr>
          <w:p>
            <w:pPr>
              <w:jc w:val="center"/>
            </w:pPr>
            <w:r>
              <w:rPr>
                <w:b w:val="false"/>
                <w:bCs w:val="false"/>
                <w:color w:val="222222"/>
                <w:sz w:val="18"/>
                <w:szCs w:val="18"/>
              </w:rPr>
              <w:t xml:space="preserve">Requiere autorización</w:t>
            </w:r>
          </w:p>
        </w:tc>
      </w:tr>
      <w:tr>
        <w:trPr>
          <w:tblHeader w:val="false"/>
        </w:trPr>
        <w:tc>
          <w:tcPr>
            <w:tcW w:type="dxa" w:w="5160"/>
            <w:tcMar>
              <w:top w:type="dxa" w:w="80"/>
              <w:left w:type="dxa" w:w="120"/>
              <w:bottom w:type="dxa" w:w="80"/>
              <w:right w:type="dxa" w:w="120"/>
            </w:tcMar>
          </w:tcPr>
          <w:p>
            <w:r>
              <w:rPr>
                <w:color w:val="222222"/>
                <w:sz w:val="18"/>
                <w:szCs w:val="18"/>
              </w:rPr>
              <w:t xml:space="preserve">Reportes de ganancia</w:t>
            </w:r>
          </w:p>
        </w:tc>
        <w:tc>
          <w:tcPr>
            <w:tcW w:type="dxa" w:w="2100"/>
            <w:tcMar>
              <w:top w:type="dxa" w:w="80"/>
              <w:left w:type="dxa" w:w="120"/>
              <w:bottom w:type="dxa" w:w="80"/>
              <w:right w:type="dxa" w:w="120"/>
            </w:tcMar>
          </w:tcPr>
          <w:p>
            <w:pPr>
              <w:jc w:val="center"/>
            </w:pPr>
            <w:r>
              <w:rPr>
                <w:b w:val="false"/>
                <w:bCs w:val="false"/>
                <w:color w:val="222222"/>
                <w:sz w:val="18"/>
                <w:szCs w:val="18"/>
              </w:rPr>
              <w:t xml:space="preserve">Sí</w:t>
            </w:r>
          </w:p>
        </w:tc>
        <w:tc>
          <w:tcPr>
            <w:tcW w:type="dxa" w:w="2100"/>
            <w:tcMar>
              <w:top w:type="dxa" w:w="80"/>
              <w:left w:type="dxa" w:w="120"/>
              <w:bottom w:type="dxa" w:w="80"/>
              <w:right w:type="dxa" w:w="120"/>
            </w:tcMar>
          </w:tcPr>
          <w:p>
            <w:pPr>
              <w:jc w:val="center"/>
            </w:pPr>
            <w:r>
              <w:rPr>
                <w:b w:val="false"/>
                <w:bCs w:val="false"/>
                <w:color w:val="222222"/>
                <w:sz w:val="18"/>
                <w:szCs w:val="18"/>
              </w:rPr>
              <w:t xml:space="preserve">No</w:t>
            </w:r>
          </w:p>
        </w:tc>
      </w:tr>
      <w:tr>
        <w:trPr>
          <w:tblHeader w:val="false"/>
        </w:trPr>
        <w:tc>
          <w:tcPr>
            <w:tcW w:type="dxa" w:w="5160"/>
            <w:tcMar>
              <w:top w:type="dxa" w:w="80"/>
              <w:left w:type="dxa" w:w="120"/>
              <w:bottom w:type="dxa" w:w="80"/>
              <w:right w:type="dxa" w:w="120"/>
            </w:tcMar>
          </w:tcPr>
          <w:p>
            <w:r>
              <w:rPr>
                <w:color w:val="222222"/>
                <w:sz w:val="18"/>
                <w:szCs w:val="18"/>
              </w:rPr>
              <w:t xml:space="preserve">Reporte de cierre de su sesión</w:t>
            </w:r>
          </w:p>
        </w:tc>
        <w:tc>
          <w:tcPr>
            <w:tcW w:type="dxa" w:w="2100"/>
            <w:tcMar>
              <w:top w:type="dxa" w:w="80"/>
              <w:left w:type="dxa" w:w="120"/>
              <w:bottom w:type="dxa" w:w="80"/>
              <w:right w:type="dxa" w:w="120"/>
            </w:tcMar>
          </w:tcPr>
          <w:p>
            <w:pPr>
              <w:jc w:val="center"/>
            </w:pPr>
            <w:r>
              <w:rPr>
                <w:b w:val="false"/>
                <w:bCs w:val="false"/>
                <w:color w:val="222222"/>
                <w:sz w:val="18"/>
                <w:szCs w:val="18"/>
              </w:rPr>
              <w:t xml:space="preserve">Sí</w:t>
            </w:r>
          </w:p>
        </w:tc>
        <w:tc>
          <w:tcPr>
            <w:tcW w:type="dxa" w:w="2100"/>
            <w:tcMar>
              <w:top w:type="dxa" w:w="80"/>
              <w:left w:type="dxa" w:w="120"/>
              <w:bottom w:type="dxa" w:w="80"/>
              <w:right w:type="dxa" w:w="120"/>
            </w:tcMar>
          </w:tcPr>
          <w:p>
            <w:pPr>
              <w:jc w:val="center"/>
            </w:pPr>
            <w:r>
              <w:rPr>
                <w:b w:val="false"/>
                <w:bCs w:val="false"/>
                <w:color w:val="222222"/>
                <w:sz w:val="18"/>
                <w:szCs w:val="18"/>
              </w:rPr>
              <w:t xml:space="preserve">Sí</w:t>
            </w:r>
          </w:p>
        </w:tc>
      </w:tr>
      <w:tr>
        <w:trPr>
          <w:tblHeader w:val="false"/>
        </w:trPr>
        <w:tc>
          <w:tcPr>
            <w:tcW w:type="dxa" w:w="5160"/>
            <w:tcMar>
              <w:top w:type="dxa" w:w="80"/>
              <w:left w:type="dxa" w:w="120"/>
              <w:bottom w:type="dxa" w:w="80"/>
              <w:right w:type="dxa" w:w="120"/>
            </w:tcMar>
          </w:tcPr>
          <w:p>
            <w:r>
              <w:rPr>
                <w:color w:val="222222"/>
                <w:sz w:val="18"/>
                <w:szCs w:val="18"/>
              </w:rPr>
              <w:t xml:space="preserve">Gestionar usuarios</w:t>
            </w:r>
          </w:p>
        </w:tc>
        <w:tc>
          <w:tcPr>
            <w:tcW w:type="dxa" w:w="2100"/>
            <w:tcMar>
              <w:top w:type="dxa" w:w="80"/>
              <w:left w:type="dxa" w:w="120"/>
              <w:bottom w:type="dxa" w:w="80"/>
              <w:right w:type="dxa" w:w="120"/>
            </w:tcMar>
          </w:tcPr>
          <w:p>
            <w:pPr>
              <w:jc w:val="center"/>
            </w:pPr>
            <w:r>
              <w:rPr>
                <w:b w:val="false"/>
                <w:bCs w:val="false"/>
                <w:color w:val="222222"/>
                <w:sz w:val="18"/>
                <w:szCs w:val="18"/>
              </w:rPr>
              <w:t xml:space="preserve">Sí</w:t>
            </w:r>
          </w:p>
        </w:tc>
        <w:tc>
          <w:tcPr>
            <w:tcW w:type="dxa" w:w="2100"/>
            <w:tcMar>
              <w:top w:type="dxa" w:w="80"/>
              <w:left w:type="dxa" w:w="120"/>
              <w:bottom w:type="dxa" w:w="80"/>
              <w:right w:type="dxa" w:w="120"/>
            </w:tcMar>
          </w:tcPr>
          <w:p>
            <w:pPr>
              <w:jc w:val="center"/>
            </w:pPr>
            <w:r>
              <w:rPr>
                <w:b w:val="false"/>
                <w:bCs w:val="false"/>
                <w:color w:val="222222"/>
                <w:sz w:val="18"/>
                <w:szCs w:val="18"/>
              </w:rPr>
              <w:t xml:space="preserve">No</w:t>
            </w:r>
          </w:p>
        </w:tc>
      </w:tr>
      <w:tr>
        <w:trPr>
          <w:tblHeader w:val="false"/>
        </w:trPr>
        <w:tc>
          <w:tcPr>
            <w:tcW w:type="dxa" w:w="5160"/>
            <w:tcMar>
              <w:top w:type="dxa" w:w="80"/>
              <w:left w:type="dxa" w:w="120"/>
              <w:bottom w:type="dxa" w:w="80"/>
              <w:right w:type="dxa" w:w="120"/>
            </w:tcMar>
          </w:tcPr>
          <w:p>
            <w:r>
              <w:rPr>
                <w:color w:val="222222"/>
                <w:sz w:val="18"/>
                <w:szCs w:val="18"/>
              </w:rPr>
              <w:t xml:space="preserve">Cargar tasa del día</w:t>
            </w:r>
          </w:p>
        </w:tc>
        <w:tc>
          <w:tcPr>
            <w:tcW w:type="dxa" w:w="2100"/>
            <w:tcMar>
              <w:top w:type="dxa" w:w="80"/>
              <w:left w:type="dxa" w:w="120"/>
              <w:bottom w:type="dxa" w:w="80"/>
              <w:right w:type="dxa" w:w="120"/>
            </w:tcMar>
          </w:tcPr>
          <w:p>
            <w:pPr>
              <w:jc w:val="center"/>
            </w:pPr>
            <w:r>
              <w:rPr>
                <w:b w:val="false"/>
                <w:bCs w:val="false"/>
                <w:color w:val="222222"/>
                <w:sz w:val="18"/>
                <w:szCs w:val="18"/>
              </w:rPr>
              <w:t xml:space="preserve">Sí</w:t>
            </w:r>
          </w:p>
        </w:tc>
        <w:tc>
          <w:tcPr>
            <w:tcW w:type="dxa" w:w="2100"/>
            <w:tcMar>
              <w:top w:type="dxa" w:w="80"/>
              <w:left w:type="dxa" w:w="120"/>
              <w:bottom w:type="dxa" w:w="80"/>
              <w:right w:type="dxa" w:w="120"/>
            </w:tcMar>
          </w:tcPr>
          <w:p>
            <w:pPr>
              <w:jc w:val="center"/>
            </w:pPr>
            <w:r>
              <w:rPr>
                <w:b w:val="false"/>
                <w:bCs w:val="false"/>
                <w:color w:val="222222"/>
                <w:sz w:val="18"/>
                <w:szCs w:val="18"/>
              </w:rPr>
              <w:t xml:space="preserve">No</w:t>
            </w:r>
          </w:p>
        </w:tc>
      </w:tr>
      <w:tr>
        <w:trPr>
          <w:tblHeader w:val="false"/>
        </w:trPr>
        <w:tc>
          <w:tcPr>
            <w:tcW w:type="dxa" w:w="5160"/>
            <w:tcMar>
              <w:top w:type="dxa" w:w="80"/>
              <w:left w:type="dxa" w:w="120"/>
              <w:bottom w:type="dxa" w:w="80"/>
              <w:right w:type="dxa" w:w="120"/>
            </w:tcMar>
          </w:tcPr>
          <w:p>
            <w:r>
              <w:rPr>
                <w:color w:val="222222"/>
                <w:sz w:val="18"/>
                <w:szCs w:val="18"/>
              </w:rPr>
              <w:t xml:space="preserve">Configurar el sistema</w:t>
            </w:r>
          </w:p>
        </w:tc>
        <w:tc>
          <w:tcPr>
            <w:tcW w:type="dxa" w:w="2100"/>
            <w:tcMar>
              <w:top w:type="dxa" w:w="80"/>
              <w:left w:type="dxa" w:w="120"/>
              <w:bottom w:type="dxa" w:w="80"/>
              <w:right w:type="dxa" w:w="120"/>
            </w:tcMar>
          </w:tcPr>
          <w:p>
            <w:pPr>
              <w:jc w:val="center"/>
            </w:pPr>
            <w:r>
              <w:rPr>
                <w:b w:val="false"/>
                <w:bCs w:val="false"/>
                <w:color w:val="222222"/>
                <w:sz w:val="18"/>
                <w:szCs w:val="18"/>
              </w:rPr>
              <w:t xml:space="preserve">Sí</w:t>
            </w:r>
          </w:p>
        </w:tc>
        <w:tc>
          <w:tcPr>
            <w:tcW w:type="dxa" w:w="2100"/>
            <w:tcMar>
              <w:top w:type="dxa" w:w="80"/>
              <w:left w:type="dxa" w:w="120"/>
              <w:bottom w:type="dxa" w:w="80"/>
              <w:right w:type="dxa" w:w="120"/>
            </w:tcMar>
          </w:tcPr>
          <w:p>
            <w:pPr>
              <w:jc w:val="center"/>
            </w:pPr>
            <w:r>
              <w:rPr>
                <w:b w:val="false"/>
                <w:bCs w:val="false"/>
                <w:color w:val="222222"/>
                <w:sz w:val="18"/>
                <w:szCs w:val="18"/>
              </w:rPr>
              <w:t xml:space="preserve">No</w:t>
            </w:r>
          </w:p>
        </w:tc>
      </w:tr>
    </w:tbl>
    <w:p>
      <w:pPr>
        <w:pStyle w:val="Heading1"/>
        <w:shd w:fill="212121" w:color="auto" w:val="clear"/>
        <w:spacing w:after="150" w:before="320"/>
        <w:ind w:left="100" w:right="100"/>
      </w:pPr>
      <w:r>
        <w:rPr>
          <w:b/>
          <w:bCs/>
          <w:color w:val="FFFFFF"/>
          <w:sz w:val="24"/>
          <w:szCs w:val="24"/>
        </w:rPr>
        <w:t xml:space="preserve">7. CASOS LÍMITE</w:t>
      </w:r>
    </w:p>
    <w:tbl>
      <w:tblPr>
        <w:tblW w:type="dxa" w:w="9360"/>
        <w:tblBorders>
          <w:top w:val="single" w:color="BBBBBB" w:sz="4"/>
          <w:left w:val="single" w:color="BBBBBB" w:sz="4"/>
          <w:bottom w:val="single" w:color="BBBBBB" w:sz="4"/>
          <w:right w:val="single" w:color="BBBBBB" w:sz="4"/>
          <w:insideH w:val="single" w:color="E0E0E0" w:sz="4"/>
          <w:insideV w:val="single" w:color="E0E0E0" w:sz="4"/>
        </w:tblBorders>
      </w:tblPr>
      <w:tblGrid>
        <w:gridCol w:w="3060"/>
        <w:gridCol w:w="6300"/>
      </w:tblGrid>
      <w:tr>
        <w:trPr>
          <w:tblHeader/>
        </w:trPr>
        <w:tc>
          <w:tcPr>
            <w:tcW w:type="dxa" w:w="3060"/>
            <w:shd w:fill="212121" w:color="auto" w:val="clear"/>
            <w:tcMar>
              <w:top w:type="dxa" w:w="80"/>
              <w:left w:type="dxa" w:w="120"/>
              <w:bottom w:type="dxa" w:w="80"/>
              <w:right w:type="dxa" w:w="120"/>
            </w:tcMar>
          </w:tcPr>
          <w:p>
            <w:r>
              <w:rPr>
                <w:b/>
                <w:bCs/>
                <w:color w:val="FFFFFF"/>
                <w:sz w:val="18"/>
                <w:szCs w:val="18"/>
              </w:rPr>
              <w:t xml:space="preserve">Situación</w:t>
            </w:r>
          </w:p>
        </w:tc>
        <w:tc>
          <w:tcPr>
            <w:tcW w:type="dxa" w:w="6300"/>
            <w:shd w:fill="212121" w:color="auto" w:val="clear"/>
            <w:tcMar>
              <w:top w:type="dxa" w:w="80"/>
              <w:left w:type="dxa" w:w="120"/>
              <w:bottom w:type="dxa" w:w="80"/>
              <w:right w:type="dxa" w:w="120"/>
            </w:tcMar>
          </w:tcPr>
          <w:p>
            <w:r>
              <w:rPr>
                <w:b/>
                <w:bCs/>
                <w:color w:val="FFFFFF"/>
                <w:sz w:val="18"/>
                <w:szCs w:val="18"/>
              </w:rPr>
              <w:t xml:space="preserve">Comportamiento esperado</w:t>
            </w:r>
          </w:p>
        </w:tc>
      </w:tr>
      <w:tr>
        <w:trPr>
          <w:tblHeader w:val="false"/>
        </w:trPr>
        <w:tc>
          <w:tcPr>
            <w:tcW w:type="dxa" w:w="3060"/>
            <w:tcMar>
              <w:top w:type="dxa" w:w="80"/>
              <w:left w:type="dxa" w:w="120"/>
              <w:bottom w:type="dxa" w:w="80"/>
              <w:right w:type="dxa" w:w="120"/>
            </w:tcMar>
          </w:tcPr>
          <w:p>
            <w:r>
              <w:rPr>
                <w:color w:val="222222"/>
                <w:sz w:val="18"/>
                <w:szCs w:val="18"/>
              </w:rPr>
              <w:t xml:space="preserve">No hay tasa cargada para hoy</w:t>
            </w:r>
          </w:p>
        </w:tc>
        <w:tc>
          <w:tcPr>
            <w:tcW w:type="dxa" w:w="6300"/>
            <w:tcMar>
              <w:top w:type="dxa" w:w="80"/>
              <w:left w:type="dxa" w:w="120"/>
              <w:bottom w:type="dxa" w:w="80"/>
              <w:right w:type="dxa" w:w="120"/>
            </w:tcMar>
          </w:tcPr>
          <w:p>
            <w:r>
              <w:rPr>
                <w:b w:val="false"/>
                <w:bCs w:val="false"/>
                <w:color w:val="222222"/>
                <w:sz w:val="18"/>
                <w:szCs w:val="18"/>
              </w:rPr>
              <w:t xml:space="preserve">No se permite abrir caja ni registrar ventas. El sistema solicita la carga manual.</w:t>
            </w:r>
          </w:p>
        </w:tc>
      </w:tr>
      <w:tr>
        <w:trPr>
          <w:tblHeader w:val="false"/>
        </w:trPr>
        <w:tc>
          <w:tcPr>
            <w:tcW w:type="dxa" w:w="3060"/>
            <w:tcMar>
              <w:top w:type="dxa" w:w="80"/>
              <w:left w:type="dxa" w:w="120"/>
              <w:bottom w:type="dxa" w:w="80"/>
              <w:right w:type="dxa" w:w="120"/>
            </w:tcMar>
          </w:tcPr>
          <w:p>
            <w:r>
              <w:rPr>
                <w:color w:val="222222"/>
                <w:sz w:val="18"/>
                <w:szCs w:val="18"/>
              </w:rPr>
              <w:t xml:space="preserve">La consulta automática del BCV falla</w:t>
            </w:r>
          </w:p>
        </w:tc>
        <w:tc>
          <w:tcPr>
            <w:tcW w:type="dxa" w:w="6300"/>
            <w:tcMar>
              <w:top w:type="dxa" w:w="80"/>
              <w:left w:type="dxa" w:w="120"/>
              <w:bottom w:type="dxa" w:w="80"/>
              <w:right w:type="dxa" w:w="120"/>
            </w:tcMar>
          </w:tcPr>
          <w:p>
            <w:r>
              <w:rPr>
                <w:b w:val="false"/>
                <w:bCs w:val="false"/>
                <w:color w:val="222222"/>
                <w:sz w:val="18"/>
                <w:szCs w:val="18"/>
              </w:rPr>
              <w:t xml:space="preserve">Se registra el intento fallido y se solicita carga manual. No se asume la tasa anterior.</w:t>
            </w:r>
          </w:p>
        </w:tc>
      </w:tr>
      <w:tr>
        <w:trPr>
          <w:tblHeader w:val="false"/>
        </w:trPr>
        <w:tc>
          <w:tcPr>
            <w:tcW w:type="dxa" w:w="3060"/>
            <w:tcMar>
              <w:top w:type="dxa" w:w="80"/>
              <w:left w:type="dxa" w:w="120"/>
              <w:bottom w:type="dxa" w:w="80"/>
              <w:right w:type="dxa" w:w="120"/>
            </w:tcMar>
          </w:tcPr>
          <w:p>
            <w:r>
              <w:rPr>
                <w:color w:val="222222"/>
                <w:sz w:val="18"/>
                <w:szCs w:val="18"/>
              </w:rPr>
              <w:t xml:space="preserve">Producto sin costo registrado</w:t>
            </w:r>
          </w:p>
        </w:tc>
        <w:tc>
          <w:tcPr>
            <w:tcW w:type="dxa" w:w="6300"/>
            <w:tcMar>
              <w:top w:type="dxa" w:w="80"/>
              <w:left w:type="dxa" w:w="120"/>
              <w:bottom w:type="dxa" w:w="80"/>
              <w:right w:type="dxa" w:w="120"/>
            </w:tcMar>
          </w:tcPr>
          <w:p>
            <w:r>
              <w:rPr>
                <w:b w:val="false"/>
                <w:bCs w:val="false"/>
                <w:color w:val="222222"/>
                <w:sz w:val="18"/>
                <w:szCs w:val="18"/>
              </w:rPr>
              <w:t xml:space="preserve">Se permite vender, pero el margen y la ganancia se informan como no determinables hasta registrar su primera compra.</w:t>
            </w:r>
          </w:p>
        </w:tc>
      </w:tr>
      <w:tr>
        <w:trPr>
          <w:tblHeader w:val="false"/>
        </w:trPr>
        <w:tc>
          <w:tcPr>
            <w:tcW w:type="dxa" w:w="3060"/>
            <w:tcMar>
              <w:top w:type="dxa" w:w="80"/>
              <w:left w:type="dxa" w:w="120"/>
              <w:bottom w:type="dxa" w:w="80"/>
              <w:right w:type="dxa" w:w="120"/>
            </w:tcMar>
          </w:tcPr>
          <w:p>
            <w:r>
              <w:rPr>
                <w:color w:val="222222"/>
                <w:sz w:val="18"/>
                <w:szCs w:val="18"/>
              </w:rPr>
              <w:t xml:space="preserve">Venta que deja existencia negativa</w:t>
            </w:r>
          </w:p>
        </w:tc>
        <w:tc>
          <w:tcPr>
            <w:tcW w:type="dxa" w:w="6300"/>
            <w:tcMar>
              <w:top w:type="dxa" w:w="80"/>
              <w:left w:type="dxa" w:w="120"/>
              <w:bottom w:type="dxa" w:w="80"/>
              <w:right w:type="dxa" w:w="120"/>
            </w:tcMar>
          </w:tcPr>
          <w:p>
            <w:r>
              <w:rPr>
                <w:b w:val="false"/>
                <w:bCs w:val="false"/>
                <w:color w:val="222222"/>
                <w:sz w:val="18"/>
                <w:szCs w:val="18"/>
              </w:rPr>
              <w:t xml:space="preserve">Se bloquea. El administrador puede autorizarla, y el sistema genera la alerta de inventario descuadrado.</w:t>
            </w:r>
          </w:p>
        </w:tc>
      </w:tr>
      <w:tr>
        <w:trPr>
          <w:tblHeader w:val="false"/>
        </w:trPr>
        <w:tc>
          <w:tcPr>
            <w:tcW w:type="dxa" w:w="3060"/>
            <w:tcMar>
              <w:top w:type="dxa" w:w="80"/>
              <w:left w:type="dxa" w:w="120"/>
              <w:bottom w:type="dxa" w:w="80"/>
              <w:right w:type="dxa" w:w="120"/>
            </w:tcMar>
          </w:tcPr>
          <w:p>
            <w:r>
              <w:rPr>
                <w:color w:val="222222"/>
                <w:sz w:val="18"/>
                <w:szCs w:val="18"/>
              </w:rPr>
              <w:t xml:space="preserve">Corte de energía durante una venta</w:t>
            </w:r>
          </w:p>
        </w:tc>
        <w:tc>
          <w:tcPr>
            <w:tcW w:type="dxa" w:w="6300"/>
            <w:tcMar>
              <w:top w:type="dxa" w:w="80"/>
              <w:left w:type="dxa" w:w="120"/>
              <w:bottom w:type="dxa" w:w="80"/>
              <w:right w:type="dxa" w:w="120"/>
            </w:tcMar>
          </w:tcPr>
          <w:p>
            <w:r>
              <w:rPr>
                <w:b w:val="false"/>
                <w:bCs w:val="false"/>
                <w:color w:val="222222"/>
                <w:sz w:val="18"/>
                <w:szCs w:val="18"/>
              </w:rPr>
              <w:t xml:space="preserve">La transacción no confirmada se descarta por completo. No debe quedar inventario descontado sin venta registrada.</w:t>
            </w:r>
          </w:p>
        </w:tc>
      </w:tr>
      <w:tr>
        <w:trPr>
          <w:tblHeader w:val="false"/>
        </w:trPr>
        <w:tc>
          <w:tcPr>
            <w:tcW w:type="dxa" w:w="3060"/>
            <w:tcMar>
              <w:top w:type="dxa" w:w="80"/>
              <w:left w:type="dxa" w:w="120"/>
              <w:bottom w:type="dxa" w:w="80"/>
              <w:right w:type="dxa" w:w="120"/>
            </w:tcMar>
          </w:tcPr>
          <w:p>
            <w:r>
              <w:rPr>
                <w:color w:val="222222"/>
                <w:sz w:val="18"/>
                <w:szCs w:val="18"/>
              </w:rPr>
              <w:t xml:space="preserve">Compra con presentación distinta a la habitual</w:t>
            </w:r>
          </w:p>
        </w:tc>
        <w:tc>
          <w:tcPr>
            <w:tcW w:type="dxa" w:w="6300"/>
            <w:tcMar>
              <w:top w:type="dxa" w:w="80"/>
              <w:left w:type="dxa" w:w="120"/>
              <w:bottom w:type="dxa" w:w="80"/>
              <w:right w:type="dxa" w:w="120"/>
            </w:tcMar>
          </w:tcPr>
          <w:p>
            <w:r>
              <w:rPr>
                <w:b w:val="false"/>
                <w:bCs w:val="false"/>
                <w:color w:val="222222"/>
                <w:sz w:val="18"/>
                <w:szCs w:val="18"/>
              </w:rPr>
              <w:t xml:space="preserve">Se acepta sin advertencia: las unidades por presentación son propias de cada línea de compra.</w:t>
            </w:r>
          </w:p>
        </w:tc>
      </w:tr>
      <w:tr>
        <w:trPr>
          <w:tblHeader w:val="false"/>
        </w:trPr>
        <w:tc>
          <w:tcPr>
            <w:tcW w:type="dxa" w:w="3060"/>
            <w:tcMar>
              <w:top w:type="dxa" w:w="80"/>
              <w:left w:type="dxa" w:w="120"/>
              <w:bottom w:type="dxa" w:w="80"/>
              <w:right w:type="dxa" w:w="120"/>
            </w:tcMar>
          </w:tcPr>
          <w:p>
            <w:r>
              <w:rPr>
                <w:color w:val="222222"/>
                <w:sz w:val="18"/>
                <w:szCs w:val="18"/>
              </w:rPr>
              <w:t xml:space="preserve">Costo nuevo superior al precio de venta vigente</w:t>
            </w:r>
          </w:p>
        </w:tc>
        <w:tc>
          <w:tcPr>
            <w:tcW w:type="dxa" w:w="6300"/>
            <w:tcMar>
              <w:top w:type="dxa" w:w="80"/>
              <w:left w:type="dxa" w:w="120"/>
              <w:bottom w:type="dxa" w:w="80"/>
              <w:right w:type="dxa" w:w="120"/>
            </w:tcMar>
          </w:tcPr>
          <w:p>
            <w:r>
              <w:rPr>
                <w:b w:val="false"/>
                <w:bCs w:val="false"/>
                <w:color w:val="222222"/>
                <w:sz w:val="18"/>
                <w:szCs w:val="18"/>
              </w:rPr>
              <w:t xml:space="preserve">Se advierte al confirmar la compra y se listan los productos que quedaron por debajo de su margen objetivo.</w:t>
            </w:r>
          </w:p>
        </w:tc>
      </w:tr>
      <w:tr>
        <w:trPr>
          <w:tblHeader w:val="false"/>
        </w:trPr>
        <w:tc>
          <w:tcPr>
            <w:tcW w:type="dxa" w:w="3060"/>
            <w:tcMar>
              <w:top w:type="dxa" w:w="80"/>
              <w:left w:type="dxa" w:w="120"/>
              <w:bottom w:type="dxa" w:w="80"/>
              <w:right w:type="dxa" w:w="120"/>
            </w:tcMar>
          </w:tcPr>
          <w:p>
            <w:r>
              <w:rPr>
                <w:color w:val="222222"/>
                <w:sz w:val="18"/>
                <w:szCs w:val="18"/>
              </w:rPr>
              <w:t xml:space="preserve">Lote vencido con existencia</w:t>
            </w:r>
          </w:p>
        </w:tc>
        <w:tc>
          <w:tcPr>
            <w:tcW w:type="dxa" w:w="6300"/>
            <w:tcMar>
              <w:top w:type="dxa" w:w="80"/>
              <w:left w:type="dxa" w:w="120"/>
              <w:bottom w:type="dxa" w:w="80"/>
              <w:right w:type="dxa" w:w="120"/>
            </w:tcMar>
          </w:tcPr>
          <w:p>
            <w:r>
              <w:rPr>
                <w:b w:val="false"/>
                <w:bCs w:val="false"/>
                <w:color w:val="222222"/>
                <w:sz w:val="18"/>
                <w:szCs w:val="18"/>
              </w:rPr>
              <w:t xml:space="preserve">Aparece en la alerta de vencimientos. No se bloquea su venta; la decisión es del negocio.</w:t>
            </w:r>
          </w:p>
        </w:tc>
      </w:tr>
      <w:tr>
        <w:trPr>
          <w:tblHeader w:val="false"/>
        </w:trPr>
        <w:tc>
          <w:tcPr>
            <w:tcW w:type="dxa" w:w="3060"/>
            <w:tcMar>
              <w:top w:type="dxa" w:w="80"/>
              <w:left w:type="dxa" w:w="120"/>
              <w:bottom w:type="dxa" w:w="80"/>
              <w:right w:type="dxa" w:w="120"/>
            </w:tcMar>
          </w:tcPr>
          <w:p>
            <w:r>
              <w:rPr>
                <w:color w:val="222222"/>
                <w:sz w:val="18"/>
                <w:szCs w:val="18"/>
              </w:rPr>
              <w:t xml:space="preserve">Cierre de caja con diferencia</w:t>
            </w:r>
          </w:p>
        </w:tc>
        <w:tc>
          <w:tcPr>
            <w:tcW w:type="dxa" w:w="6300"/>
            <w:tcMar>
              <w:top w:type="dxa" w:w="80"/>
              <w:left w:type="dxa" w:w="120"/>
              <w:bottom w:type="dxa" w:w="80"/>
              <w:right w:type="dxa" w:w="120"/>
            </w:tcMar>
          </w:tcPr>
          <w:p>
            <w:r>
              <w:rPr>
                <w:b w:val="false"/>
                <w:bCs w:val="false"/>
                <w:color w:val="222222"/>
                <w:sz w:val="18"/>
                <w:szCs w:val="18"/>
              </w:rPr>
              <w:t xml:space="preserve">Se permite cerrar. La diferencia queda registrada y se refleja en el reporte.</w:t>
            </w:r>
          </w:p>
        </w:tc>
      </w:tr>
      <w:tr>
        <w:trPr>
          <w:tblHeader w:val="false"/>
        </w:trPr>
        <w:tc>
          <w:tcPr>
            <w:tcW w:type="dxa" w:w="3060"/>
            <w:tcMar>
              <w:top w:type="dxa" w:w="80"/>
              <w:left w:type="dxa" w:w="120"/>
              <w:bottom w:type="dxa" w:w="80"/>
              <w:right w:type="dxa" w:w="120"/>
            </w:tcMar>
          </w:tcPr>
          <w:p>
            <w:r>
              <w:rPr>
                <w:color w:val="222222"/>
                <w:sz w:val="18"/>
                <w:szCs w:val="18"/>
              </w:rPr>
              <w:t xml:space="preserve">Anulación de una venta de un día anterior</w:t>
            </w:r>
          </w:p>
        </w:tc>
        <w:tc>
          <w:tcPr>
            <w:tcW w:type="dxa" w:w="6300"/>
            <w:tcMar>
              <w:top w:type="dxa" w:w="80"/>
              <w:left w:type="dxa" w:w="120"/>
              <w:bottom w:type="dxa" w:w="80"/>
              <w:right w:type="dxa" w:w="120"/>
            </w:tcMar>
          </w:tcPr>
          <w:p>
            <w:r>
              <w:rPr>
                <w:b w:val="false"/>
                <w:bCs w:val="false"/>
                <w:color w:val="222222"/>
                <w:sz w:val="18"/>
                <w:szCs w:val="18"/>
              </w:rPr>
              <w:t xml:space="preserve">Permitida con autorización. Los movimientos inversos se registran con la fecha de la anulación, no con la de la venta.</w:t>
            </w:r>
          </w:p>
        </w:tc>
      </w:tr>
    </w:tbl>
    <w:sectPr>
      <w:headerReference w:type="default" r:id="rId7"/>
      <w:footerReference w:type="default" r:id="rId8"/>
      <w:pgSz w:w="12240" w:h="15840" w:orient="portrait"/>
      <w:pgMar w:top="1150" w:right="1440" w:bottom="115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6"/>
        <w:szCs w:val="16"/>
      </w:rPr>
      <w:t xml:space="preserve">Página </w:t>
    </w:r>
    <w:r>
      <w:rPr>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DD" w:sz="4" w:space="6"/>
      </w:pBdr>
    </w:pPr>
    <w:r>
      <w:rPr>
        <w:b/>
        <w:bCs/>
        <w:color w:val="D2590B"/>
        <w:spacing w:val="40"/>
        <w:sz w:val="16"/>
        <w:szCs w:val="16"/>
      </w:rPr>
      <w:t xml:space="preserve">BOREALIS</w:t>
    </w:r>
    <w:r>
      <w:rPr>
        <w:color w:val="666666"/>
        <w:sz w:val="16"/>
        <w:szCs w:val="16"/>
      </w:rPr>
      <w:t xml:space="preserve">     Reglas de Negocio · Minimarket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40"/>
      </w:pPr>
      <w:rPr>
        <w:color w:val="D2590B"/>
      </w:r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Calibri" w:cs="Calibri" w:eastAsia="Calibri" w:hAnsi="Calibri"/>
    </w:rPr>
  </w:style>
  <w:style w:type="paragraph" w:styleId="Heading2">
    <w:name w:val="Heading 2"/>
    <w:basedOn w:val="Normal"/>
    <w:next w:val="Normal"/>
    <w:qFormat/>
    <w:rPr>
      <w:rFonts w:ascii="Calibri" w:cs="Calibri" w:eastAsia="Calibri" w:hAnsi="Calibri"/>
    </w:rPr>
  </w:style>
  <w:style w:type="paragraph" w:styleId="Heading3">
    <w:name w:val="Heading 3"/>
    <w:basedOn w:val="Normal"/>
    <w:next w:val="Normal"/>
    <w:qFormat/>
    <w:rPr>
      <w:rFonts w:ascii="Calibri" w:cs="Calibri" w:eastAsia="Calibri" w:hAnsi="Calibri"/>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be73dfedd815e690950bd166f910a348d7069d09.undefined"/><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2026-08-25T14:30:12.000Z</dcterms:created>
  <dcterms:modified xsi:type="dcterms:W3CDTF">2026-08-25T14:30:12.000Z</dcterms:modified>
</cp:coreProperties>
</file>

<file path=docProps/custom.xml><?xml version="1.0" encoding="utf-8"?>
<Properties xmlns="http://schemas.openxmlformats.org/officeDocument/2006/custom-properties" xmlns:vt="http://schemas.openxmlformats.org/officeDocument/2006/docPropsVTypes"/>
</file>