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relatório-de-premissas-técnicas"/>
    <w:p>
      <w:pPr>
        <w:pStyle w:val="Heading1"/>
      </w:pPr>
      <w:r>
        <w:t xml:space="preserve">RELATÓRIO DE PREMISSAS TÉCNICAS</w:t>
      </w:r>
    </w:p>
    <w:bookmarkStart w:id="20" w:name="X3152710653788f9c0c6323ada49464e33e0e8b8"/>
    <w:p>
      <w:pPr>
        <w:pStyle w:val="Heading2"/>
      </w:pPr>
      <w:r>
        <w:t xml:space="preserve">Estudo CFD/DEM — Biorreator FIORA IC | Piloto 50 m³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RPT-FIORA-PREM-001 — Rev. A</w:t>
      </w:r>
      <w:r>
        <w:t xml:space="preserve"> </w:t>
      </w:r>
      <w:r>
        <w:rPr>
          <w:bCs/>
          <w:b/>
        </w:rPr>
        <w:t xml:space="preserve">Data de emissão:</w:t>
      </w:r>
      <w:r>
        <w:t xml:space="preserve"> </w:t>
      </w:r>
      <w:r>
        <w:t xml:space="preserve">18 de maio de 2026</w:t>
      </w:r>
      <w:r>
        <w:t xml:space="preserve"> </w:t>
      </w:r>
      <w:r>
        <w:rPr>
          <w:bCs/>
          <w:b/>
        </w:rPr>
        <w:t xml:space="preserve">Classificação:</w:t>
      </w:r>
      <w:r>
        <w:t xml:space="preserve"> </w:t>
      </w:r>
      <w:r>
        <w:t xml:space="preserve">CONFIDENCIAL — Tecnologia Patenteada</w:t>
      </w:r>
      <w:r>
        <w:t xml:space="preserve"> </w:t>
      </w:r>
      <w:r>
        <w:rPr>
          <w:bCs/>
          <w:b/>
        </w:rPr>
        <w:t xml:space="preserve">Linha de baseline:</w:t>
      </w:r>
      <w:r>
        <w:t xml:space="preserve"> </w:t>
      </w:r>
      <w:r>
        <w:t xml:space="preserve">Geometria CAD v5.11 | Memorial Geometria v3.0 | Planilha Setup v4.0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Estudo CFD de Reator Anaeróbio de Alta Carga — Projeto Piloto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Gerir Gestão e Instrução — Vinícius Alberoni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Executor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CAEXPERTS — Creative Solutions Engenharia e Consultoria LTDA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Gerente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  <w:r>
              <w:t xml:space="preserve"> </w:t>
            </w:r>
            <w:r>
              <w:rPr>
                <w:iCs/>
                <w:i/>
              </w:rPr>
              <w:t xml:space="preserve">(CAEXPERTS)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Engenheiro CFD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 Rozo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Diretor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Ricardo Barbosa de Barros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Proposta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CAEXPERTS de 29/04/2026 — Valor R$ 17.562,00 (incluindo desconto especial 12,5%)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Cronograma contratual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dias úteis (Etapa 1: 10 d | Etapa 2: 10 d | Etapa 3: 20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Simcenter STAR-CCM+ (SIEMENS Digital Industries Software)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auxiliar (CAD)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CadQuery 2.x (Python)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umário-executivo"/>
    <w:p>
      <w:pPr>
        <w:pStyle w:val="Heading2"/>
      </w:pPr>
      <w:r>
        <w:t xml:space="preserve">1. Sumário Executivo</w:t>
      </w:r>
    </w:p>
    <w:p>
      <w:pPr>
        <w:pStyle w:val="FirstParagraph"/>
      </w:pPr>
      <w:r>
        <w:t xml:space="preserve">Este relatório consolida o conjunto formal de</w:t>
      </w:r>
      <w:r>
        <w:t xml:space="preserve"> </w:t>
      </w:r>
      <w:r>
        <w:rPr>
          <w:bCs/>
          <w:b/>
        </w:rPr>
        <w:t xml:space="preserve">premissas técnicas, geométricas, operacionais, físico-químicas e numéricas</w:t>
      </w:r>
      <w:r>
        <w:t xml:space="preserve"> </w:t>
      </w:r>
      <w:r>
        <w:t xml:space="preserve">adotadas para o estudo CFD/DEM do biorreator anaeróbio de alta carga FIORA IC. Todas as premissas estão</w:t>
      </w:r>
      <w:r>
        <w:t xml:space="preserve"> </w:t>
      </w:r>
      <w:r>
        <w:rPr>
          <w:bCs/>
          <w:b/>
        </w:rPr>
        <w:t xml:space="preserve">rastreáveis a fontes documentais</w:t>
      </w:r>
      <w:r>
        <w:t xml:space="preserve">: cláusulas da proposta contratual, conversas técnicas registradas com o cliente Vinícius Alberoni (14–18/05/2026), Relatório Técnico Stage 2 fornecido pelo cliente, Memorial Descritivo de Geometria v3.0 e revisão de literatura científica (D’Bastiani et al., 2023 —</w:t>
      </w:r>
      <w:r>
        <w:t xml:space="preserve"> </w:t>
      </w:r>
      <w:r>
        <w:rPr>
          <w:iCs/>
          <w:i/>
        </w:rPr>
        <w:t xml:space="preserve">Water Research</w:t>
      </w:r>
      <w:r>
        <w:t xml:space="preserve"> </w:t>
      </w:r>
      <w:r>
        <w:t xml:space="preserve">v.242).</w:t>
      </w:r>
    </w:p>
    <w:p>
      <w:pPr>
        <w:pStyle w:val="BodyText"/>
      </w:pPr>
      <w:r>
        <w:t xml:space="preserve">O caso base é uma simulação</w:t>
      </w:r>
      <w:r>
        <w:t xml:space="preserve"> </w:t>
      </w:r>
      <w:r>
        <w:rPr>
          <w:bCs/>
          <w:b/>
        </w:rPr>
        <w:t xml:space="preserve">trifásica (líquido + gás + sólidos granulares)</w:t>
      </w:r>
      <w:r>
        <w:t xml:space="preserve"> </w:t>
      </w:r>
      <w:r>
        <w:t xml:space="preserve">em geometria 3D completa do reator de 50 m³, com vazão de alimentação de 50 m³/d, recirculação líquida de 7×, recirculação gasosa de 40% do biogás de topo, em regime permanente seguido de transiente, abordagem Euleriana-Euleriana com modelo granular cinético (KTGF) e turbulência k-ε realizable.</w:t>
      </w:r>
    </w:p>
    <w:p>
      <w:pPr>
        <w:pStyle w:val="BodyText"/>
      </w:pPr>
      <w:r>
        <w:t xml:space="preserve">O escopo entregue inclui: caracterização hidrodinâmica global, análise de zonas mortas e curto-circuito hidráulico, eficiência de captura de gás pelos separadores trifásicos, distribuição multifásica, e relatório técnico final.</w:t>
      </w:r>
      <w:r>
        <w:t xml:space="preserve"> </w:t>
      </w:r>
      <w:r>
        <w:rPr>
          <w:bCs/>
          <w:b/>
        </w:rPr>
        <w:t xml:space="preserve">O cálculo do KPI kg H₂/kg DQO solicitado pelo cliente será atendido via pós-processamento</w:t>
      </w:r>
      <w:r>
        <w:t xml:space="preserve"> </w:t>
      </w:r>
      <w:r>
        <w:t xml:space="preserve">dos campos CFD entregues, alimentando a planilha Excel do cliente que já possui modelo cinético calibrado por experiência de campo.</w:t>
      </w:r>
    </w:p>
    <w:p>
      <w:r>
        <w:pict>
          <v:rect style="width:0;height:1.5pt" o:hralign="center" o:hrstd="t" o:hr="t"/>
        </w:pict>
      </w:r>
    </w:p>
    <w:bookmarkEnd w:id="21"/>
    <w:bookmarkStart w:id="23" w:name="objetivo-do-estudo-cfd"/>
    <w:p>
      <w:pPr>
        <w:pStyle w:val="Heading2"/>
      </w:pPr>
      <w:r>
        <w:t xml:space="preserve">2. Objetivo do Estudo CFD</w:t>
      </w:r>
    </w:p>
    <w:p>
      <w:pPr>
        <w:pStyle w:val="FirstParagraph"/>
      </w:pPr>
      <w:r>
        <w:t xml:space="preserve">Conforme proposta contratual de 29/04/2026:</w:t>
      </w:r>
    </w:p>
    <w:p>
      <w:pPr>
        <w:pStyle w:val="BlockText"/>
      </w:pPr>
      <w:r>
        <w:rPr>
          <w:iCs/>
          <w:i/>
        </w:rPr>
        <w:t xml:space="preserve">Realizar simulações CFD/DEM multifásicas de um reator anaeróbio de alta carga, como apoio técnico à definição do projeto-piloto. O estudo visa caracterizar o comportamento hidrodinâmico global do reator, identificar zonas mortas e regiões de baixa circulação, avaliar a eficiência da separação trifásica com foco em retenção de biomassa e direcionamento de fluxo gasoso.</w:t>
      </w:r>
    </w:p>
    <w:bookmarkStart w:id="22" w:name="objetivos-específicos"/>
    <w:p>
      <w:pPr>
        <w:pStyle w:val="Heading3"/>
      </w:pPr>
      <w:r>
        <w:t xml:space="preserve">2.1 Objetivos específicos</w:t>
      </w:r>
    </w:p>
    <w:p>
      <w:pPr>
        <w:numPr>
          <w:ilvl w:val="0"/>
          <w:numId w:val="1001"/>
        </w:numPr>
        <w:pStyle w:val="Compact"/>
      </w:pPr>
      <w:r>
        <w:t xml:space="preserve">Caracterizar o</w:t>
      </w:r>
      <w:r>
        <w:t xml:space="preserve"> </w:t>
      </w:r>
      <w:r>
        <w:rPr>
          <w:bCs/>
          <w:b/>
        </w:rPr>
        <w:t xml:space="preserve">perfil hidrodinâmico</w:t>
      </w:r>
      <w:r>
        <w:t xml:space="preserve"> </w:t>
      </w:r>
      <w:r>
        <w:t xml:space="preserve">(velocidades, swirl, recirculação interna IC).</w:t>
      </w:r>
    </w:p>
    <w:p>
      <w:pPr>
        <w:numPr>
          <w:ilvl w:val="0"/>
          <w:numId w:val="1001"/>
        </w:numPr>
        <w:pStyle w:val="Compact"/>
      </w:pPr>
      <w:r>
        <w:t xml:space="preserve">Quantificar</w:t>
      </w:r>
      <w:r>
        <w:t xml:space="preserve"> </w:t>
      </w:r>
      <w:r>
        <w:rPr>
          <w:bCs/>
          <w:b/>
        </w:rPr>
        <w:t xml:space="preserve">eficiência relativa de captura de biogás</w:t>
      </w:r>
      <w:r>
        <w:t xml:space="preserve"> </w:t>
      </w:r>
      <w:r>
        <w:t xml:space="preserve">em cada nível de separador trifásico.</w:t>
      </w:r>
    </w:p>
    <w:p>
      <w:pPr>
        <w:numPr>
          <w:ilvl w:val="0"/>
          <w:numId w:val="1001"/>
        </w:numPr>
        <w:pStyle w:val="Compact"/>
      </w:pPr>
      <w:r>
        <w:t xml:space="preserve">Identificar</w:t>
      </w:r>
      <w:r>
        <w:t xml:space="preserve"> </w:t>
      </w:r>
      <w:r>
        <w:rPr>
          <w:bCs/>
          <w:b/>
        </w:rPr>
        <w:t xml:space="preserve">zonas mortas</w:t>
      </w:r>
      <w:r>
        <w:t xml:space="preserve">, curto-circuito hidráulico e regiões de baixa circulação.</w:t>
      </w:r>
    </w:p>
    <w:p>
      <w:pPr>
        <w:numPr>
          <w:ilvl w:val="0"/>
          <w:numId w:val="1001"/>
        </w:numPr>
        <w:pStyle w:val="Compact"/>
      </w:pPr>
      <w:r>
        <w:t xml:space="preserve">Avaliar</w:t>
      </w:r>
      <w:r>
        <w:t xml:space="preserve"> </w:t>
      </w:r>
      <w:r>
        <w:rPr>
          <w:bCs/>
          <w:b/>
        </w:rPr>
        <w:t xml:space="preserve">distribuição espacial das fases</w:t>
      </w:r>
      <w:r>
        <w:t xml:space="preserve"> </w:t>
      </w:r>
      <w:r>
        <w:t xml:space="preserve">(líquida, gasosa e granular).</w:t>
      </w:r>
    </w:p>
    <w:p>
      <w:pPr>
        <w:numPr>
          <w:ilvl w:val="0"/>
          <w:numId w:val="1001"/>
        </w:numPr>
        <w:pStyle w:val="Compact"/>
      </w:pPr>
      <w:r>
        <w:t xml:space="preserve">Estimar a</w:t>
      </w:r>
      <w:r>
        <w:t xml:space="preserve"> </w:t>
      </w:r>
      <w:r>
        <w:rPr>
          <w:bCs/>
          <w:b/>
        </w:rPr>
        <w:t xml:space="preserve">perda de carga</w:t>
      </w:r>
      <w:r>
        <w:t xml:space="preserve"> </w:t>
      </w:r>
      <w:r>
        <w:t xml:space="preserve">total e por região.</w:t>
      </w:r>
    </w:p>
    <w:p>
      <w:pPr>
        <w:numPr>
          <w:ilvl w:val="0"/>
          <w:numId w:val="1001"/>
        </w:numPr>
        <w:pStyle w:val="Compact"/>
      </w:pPr>
      <w:r>
        <w:t xml:space="preserve">Fornecer subsídios para</w:t>
      </w:r>
      <w:r>
        <w:t xml:space="preserve"> </w:t>
      </w:r>
      <w:r>
        <w:rPr>
          <w:bCs/>
          <w:b/>
        </w:rPr>
        <w:t xml:space="preserve">recomendação técnica de projeto-piloto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Suportar</w:t>
      </w:r>
      <w:r>
        <w:t xml:space="preserve"> </w:t>
      </w:r>
      <w:r>
        <w:rPr>
          <w:bCs/>
          <w:b/>
        </w:rPr>
        <w:t xml:space="preserve">estimativa de produção de H₂ e CH₄</w:t>
      </w:r>
      <w:r>
        <w:t xml:space="preserve"> </w:t>
      </w:r>
      <w:r>
        <w:t xml:space="preserve">via pós-processamento (planilha do cliente).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emissas-gerais-do-reator"/>
    <w:p>
      <w:pPr>
        <w:pStyle w:val="Heading2"/>
      </w:pPr>
      <w:r>
        <w:t xml:space="preserve">3. Premissas Gerais do Reator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contratual; 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 contratual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H/D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1; confirmado Vinícius 15/05 15:39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de IC reactors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Diâmetro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 D = ∛(4V/7π)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 P-001/P-002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útil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 H = 7×D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de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e Stage 2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mesofílica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Pressão operacional absoluta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kgf/cm² (147,1 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Vinhaça de cana-de-açúcar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DQO afluente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§2 (faixa 20.000–30.000)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médio da faixa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 afluente (Q_af)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m³/d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 de recirculação líquida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Q_af = 350 m³/d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1; Vinícius 15/05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de recirculação gasosa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do biogás de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áudio 15/05 17:12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mistura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das paredes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Aço inox (parede infinitamente fina no 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Simplificação aceitável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Rugosidade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(aço liso)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Simplificação conservadora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3" w:name="premissas-geométricas"/>
    <w:p>
      <w:pPr>
        <w:pStyle w:val="Heading2"/>
      </w:pPr>
      <w:r>
        <w:t xml:space="preserve">4. Premissas Geométricas</w:t>
      </w:r>
    </w:p>
    <w:p>
      <w:pPr>
        <w:pStyle w:val="FirstParagraph"/>
      </w:pPr>
      <w:r>
        <w:t xml:space="preserve">Geometria baseada no Memorial Descritivo v3.0 e implementada via script Python (CadQuery)</w:t>
      </w:r>
      <w:r>
        <w:t xml:space="preserve"> </w:t>
      </w:r>
      <w:r>
        <w:rPr>
          <w:rStyle w:val="VerbatimChar"/>
        </w:rPr>
        <w:t xml:space="preserve">FIORA_IC_geometry_v5_11.py</w:t>
      </w:r>
      <w:r>
        <w:t xml:space="preserve">, gerando 6 arquivos STEP.</w:t>
      </w:r>
    </w:p>
    <w:bookmarkStart w:id="25" w:name="corpo-principal"/>
    <w:p>
      <w:pPr>
        <w:pStyle w:val="Heading3"/>
      </w:pPr>
      <w:r>
        <w:t xml:space="preserve">4.1 Corpo principal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do corpo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Cilindro vertical circular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Calota toroesférica</w:t>
            </w:r>
            <w:r>
              <w:t xml:space="preserve"> </w:t>
            </w:r>
            <w:r>
              <w:rPr>
                <w:bCs/>
                <w:b/>
              </w:rPr>
              <w:t xml:space="preserve">CONVEXA</w:t>
            </w:r>
            <w:r>
              <w:t xml:space="preserve"> </w:t>
            </w:r>
            <w:r>
              <w:t xml:space="preserve">(domo)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do domo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D/8 = 0,261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ASME; Vinícius 16/05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Raio esférico equivalente do domo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2,221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Derivado: R = (R²+h²)/(2h)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Raio do joelho (toroesférico)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0,10×D = 0,209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ASME padrão; aplicado como fillet</w:t>
            </w:r>
          </w:p>
        </w:tc>
      </w:tr>
    </w:tbl>
    <w:bookmarkEnd w:id="25"/>
    <w:bookmarkStart w:id="26" w:name="saídas-outlets"/>
    <w:p>
      <w:pPr>
        <w:pStyle w:val="Heading3"/>
      </w:pPr>
      <w:r>
        <w:t xml:space="preserve">4.2 Saídas (outlets)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de biogás (topo)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DN100, central, no ápice do domo (z=14,60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lateral de efluente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DN100, z=14,30 m, az=180°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17/05 —</w:t>
            </w:r>
            <w:r>
              <w:t xml:space="preserve"> </w:t>
            </w:r>
            <w:r>
              <w:t xml:space="preserve">“</w:t>
            </w:r>
            <w:r>
              <w:t xml:space="preserve">bem no topo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Saídas DN50 dos separadores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furos</w:t>
            </w:r>
            <w:r>
              <w:t xml:space="preserve"> </w:t>
            </w:r>
            <w:r>
              <w:t xml:space="preserve">(níveis 20/40/60%), todos a az=0°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17/05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do separador 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 direta</w:t>
            </w:r>
            <w:r>
              <w:t xml:space="preserve"> </w:t>
            </w:r>
            <w:r>
              <w:t xml:space="preserve">para câmara de gás do domo (sem furo lateral)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17/05</w:t>
            </w:r>
          </w:p>
        </w:tc>
      </w:tr>
    </w:tbl>
    <w:bookmarkEnd w:id="26"/>
    <w:bookmarkStart w:id="27" w:name="bocais-de-alimentação-tangencial"/>
    <w:p>
      <w:pPr>
        <w:pStyle w:val="Heading3"/>
      </w:pPr>
      <w:r>
        <w:t xml:space="preserve">4.3 Bocais de alimentação tangencial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1; Croqui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Espaçamento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 (azimutes 0/60/120/180/240/300°)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Croqui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DN80 (80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Comprimento do 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CFD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Inclinação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7,0° ascendente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 (valor exato)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Ângulo horizontal com a radial (caso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 de rotação tangencial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Anti-horário (visto de cima)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do centro dos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0,250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</w:tbl>
    <w:bookmarkEnd w:id="27"/>
    <w:bookmarkStart w:id="28" w:name="separadores-trifásicos-internos"/>
    <w:p>
      <w:pPr>
        <w:pStyle w:val="Heading3"/>
      </w:pPr>
      <w:r>
        <w:t xml:space="preserve">4.4 Separadores trifásicos internos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níveis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(a 20%, 40%, 60% e 95% da altura)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conjuntos Λ por 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4 / 4 / 4 (totalizando 14 Λ = 28 meias-placas)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croqui 17/05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Ângulo de inclinação por 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47,5° / 52,5° / 57,5° / 57,5°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nominal = borda inferior das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2,920 / 5,840 / 8,760 / 13,870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CAD v5.10 (resolve conflito eletrodos)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Espessura das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construtivo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Λs paralelos ao longo de X, com gap de passagem do DN100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v5.11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individual de cada 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DN25 (não modelado no CFD interno)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17/05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 (pico para cima, abertura para baixo) — captura gás na câmara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física</w:t>
            </w:r>
          </w:p>
        </w:tc>
      </w:tr>
    </w:tbl>
    <w:bookmarkEnd w:id="28"/>
    <w:bookmarkStart w:id="29" w:name="X3ec90cf11a9af03c29a2f304f58281efde9d505"/>
    <w:p>
      <w:pPr>
        <w:pStyle w:val="Heading3"/>
      </w:pPr>
      <w:r>
        <w:t xml:space="preserve">4.5 Sistema de tubulação — Retorno DN100 com manifold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Tubo principal 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DN100, parede 4 mm, eixo no centro do 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15/05 16:00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superior do tubo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14,29 m (logo abaixo da borda do domo)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inferior do tubo principal (= manifold)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18/05 17:06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 de distribuição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ramais horizontais DN50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croqui 18/05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Azimutes dos ramais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45° / 135° / 225° / 315°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18/05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Comprimento de cada ramal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0,70 m (vai do eixo até r=0,7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18/05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dos ramais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Aberta (descarga livre)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18/05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Conservação de área hidráulica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A(DN50) = A(DN100)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Princípio de continuidade</w:t>
            </w:r>
          </w:p>
        </w:tc>
      </w:tr>
    </w:tbl>
    <w:bookmarkEnd w:id="29"/>
    <w:bookmarkStart w:id="30" w:name="Xf7c71d977948948c2356358f229f101a9660e22"/>
    <w:p>
      <w:pPr>
        <w:pStyle w:val="Heading3"/>
      </w:pPr>
      <w:r>
        <w:t xml:space="preserve">4.6 Eletrodos eletroativos (módulo eletroquímico — caso base = sólido inerte)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 ânodos + 2 cátodos)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15/05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Dimensões da placa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2,4 m × L 0,52 m × espessura 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eletroativa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face-a-face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mm (centro-a-centro = 38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15/05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1 a 0°, Par 2 a 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 — simetria diametral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× R = 0,68 m do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Modelagem no caso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Wall (sólido inerte, sem eletroquímica)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do caso base</w:t>
            </w:r>
          </w:p>
        </w:tc>
      </w:tr>
    </w:tbl>
    <w:bookmarkEnd w:id="30"/>
    <w:bookmarkStart w:id="31" w:name="difusores-de-microbolhas"/>
    <w:p>
      <w:pPr>
        <w:pStyle w:val="Heading3"/>
      </w:pPr>
      <w:r>
        <w:t xml:space="preserve">4.7 Difusores de microbolhas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difusores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 de bolha fina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DN225–DN250 (adotado DN250 no CAD)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fundo (z=0), entre os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setores azimutais × 2 difusores por setor (interno r=0,35 m + externo r=0,80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 unitária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Nm³/h (total 24–48 Nm³/h)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Diâmetro de bolha gerada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mm operacional (adotado d₃₂ = 2 mm no 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/ Notas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P-G-049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Pressão do blower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 kgf/cm²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</w:tbl>
    <w:bookmarkEnd w:id="31"/>
    <w:bookmarkStart w:id="32" w:name="verificações-de-folga-rastreabilidade"/>
    <w:p>
      <w:pPr>
        <w:pStyle w:val="Heading3"/>
      </w:pPr>
      <w:r>
        <w:t xml:space="preserve">4.8 Verificações de folga (rastreabilidade)</w:t>
      </w:r>
    </w:p>
    <w:p>
      <w:pPr>
        <w:pStyle w:val="FirstParagraph"/>
      </w:pPr>
      <w:r>
        <w:t xml:space="preserve">Todas as folgas críticas foram verificadas automaticamente por função</w:t>
      </w:r>
      <w:r>
        <w:t xml:space="preserve"> </w:t>
      </w:r>
      <w:r>
        <w:rPr>
          <w:rStyle w:val="VerbatimChar"/>
        </w:rPr>
        <w:t xml:space="preserve">_check_clearances()</w:t>
      </w:r>
      <w:r>
        <w:t xml:space="preserve"> </w:t>
      </w:r>
      <w:r>
        <w:t xml:space="preserve">no script CAD v5.11: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 de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 eletrodos × base inferior Sep. 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Pico Sep. 95% × saída efluente 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Manifold (4 ramais) × topo dos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mm (vertical)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Ramais az=45° × Eletrodo az=0°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mm (radial 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DN100 retorno × Λs centrais (vale)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(passa pelo vale)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Difusores externos × parede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Difusores internos × DN100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X903cb4081f0854c8fbd66ebbe23930bd8dca1c2"/>
    <w:p>
      <w:pPr>
        <w:pStyle w:val="Heading2"/>
      </w:pPr>
      <w:r>
        <w:t xml:space="preserve">5. Premissas Operacionais (Condições de Contorno)</w:t>
      </w:r>
    </w:p>
    <w:bookmarkStart w:id="34" w:name="vazões"/>
    <w:p>
      <w:pPr>
        <w:pStyle w:val="Heading3"/>
      </w:pPr>
      <w:r>
        <w:t xml:space="preserve">5.1 Vazões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 de alimentação total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m³/d (50 alimentação + 350 recirculação)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 P-009/P-010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 por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÷ 6 = 66,7 m³/d = 7,71×10⁻⁴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Velocidade média no bocal DN80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0,154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A_DN80 = π×(0,04)²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Reynolds no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~17.000 (turbulento)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ρ·V·D/μ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 de recirculação líquida (Velocity Inlet DN100 topo)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m³/d, direção −Z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 volumétrica total de biogás recirculado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 Nm³/h (faixa Vinícius)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P-G-047 ×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Vazão por difusor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(40% × Q_biogás_total) ÷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definir após estimativa Q_biogás</w:t>
            </w:r>
          </w:p>
        </w:tc>
      </w:tr>
    </w:tbl>
    <w:bookmarkEnd w:id="34"/>
    <w:bookmarkStart w:id="35" w:name="composição-do-biogás-recirculado"/>
    <w:p>
      <w:pPr>
        <w:pStyle w:val="Heading3"/>
      </w:pPr>
      <w:r>
        <w:t xml:space="preserve">5.2 Composição do biogás recirculado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molar CH₄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molar CO₂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molar H₂S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de H₂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Traço (≈0%)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 molar média (M_mix)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25,7 g/mol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P-O-013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na P/T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~1,48 kg/Nm³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P·M/(R·T), gás ideal</w:t>
            </w:r>
          </w:p>
        </w:tc>
      </w:tr>
    </w:tbl>
    <w:bookmarkEnd w:id="35"/>
    <w:bookmarkStart w:id="36" w:name="boundary-conditions-consolidadas"/>
    <w:p>
      <w:pPr>
        <w:pStyle w:val="Heading3"/>
      </w:pPr>
      <w:r>
        <w:t xml:space="preserve">5.3 Boundary Conditions consolidadas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Superfície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/ Especificação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 faces externas dos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7,71×10⁻⁴ m³/s/bocal, T=35 °C, anti-horário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topo do DN100 (retorno)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m³/d, direção −Z, T=35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12× faces dos difusores (no fundo)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Flow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ṁ = (40%×Q_biogás)/12, T=35 °C, d_bolha=2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Gás (composição P-O-008..011)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Furo central topo (DN100)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 (referência)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Furo lateral z=14,30 m (DN100)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furos DN50 nas paredes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Parede cilíndrica + domo +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Rugosidade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meias-placas dos separadores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 No-slip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os 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Parede anelar DN100 + 4 ramais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 No-slip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Tubo principal + ramais como sólido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placas dos eletrodos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Sólido inerte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premissas-de-modelagem-físico-química"/>
    <w:p>
      <w:pPr>
        <w:pStyle w:val="Heading2"/>
      </w:pPr>
      <w:r>
        <w:t xml:space="preserve">6. Premissas de Modelagem Físico-Química</w:t>
      </w:r>
    </w:p>
    <w:bookmarkStart w:id="38" w:name="abordagem-multifásica"/>
    <w:p>
      <w:pPr>
        <w:pStyle w:val="Heading3"/>
      </w:pPr>
      <w:r>
        <w:t xml:space="preserve">6.1 Abordagem multifásica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/ 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Abordagem multifásica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Euleriana-Euleriana (EMP — Eulerian Multiphase)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D’Bastiani 2023 (revisão dominante); Notas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granular (fase sólida)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KTGF (Kinetic Theory of Granular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2010; D’Bastiani 2021 — não usa 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do não-uso de 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 para grânulos de 1–3 mm em reator de 50 m³ implica bilhões de partículas — inviável computacionalmente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D’Bastiani 2023 (revisão): nenhum dos 24 papers usa DEM para granular</w:t>
            </w:r>
          </w:p>
        </w:tc>
      </w:tr>
    </w:tbl>
    <w:bookmarkEnd w:id="38"/>
    <w:bookmarkStart w:id="39" w:name="fase-líquida-fase-contínua-primária"/>
    <w:p>
      <w:pPr>
        <w:pStyle w:val="Heading3"/>
      </w:pPr>
      <w:r>
        <w:t xml:space="preserve">6.2 Fase líquida (fase contínua primária)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Fluido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Vinhaça (≈ água a 35 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Aproximação CFD aceitável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ρ_L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995 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 a 35 °C; vinhaça típica 995–1010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Viscosidade dinâmica μ_L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7,2×10⁻⁴ Pa·s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 a 35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volumétrica inicial α_L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1 − α_G − α_S</w:t>
            </w:r>
          </w:p>
        </w:tc>
      </w:tr>
    </w:tbl>
    <w:bookmarkEnd w:id="39"/>
    <w:bookmarkStart w:id="40" w:name="fase-gasosa-biogás"/>
    <w:p>
      <w:pPr>
        <w:pStyle w:val="Heading3"/>
      </w:pPr>
      <w:r>
        <w:t xml:space="preserve">6.3 Fase gasosa (biogás)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(caso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CH₄ 65% / CO₂ 34% / H₂S 1% / H₂ traço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Densidade ρ_G na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 kg/m³ (corrigir após validação)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P/RT × M_mix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Viscosidade dinâmica μ_G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1,2×10⁻⁵ Pa·s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CH₄/CO₂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Diâmetro médio de bolha (d₃₂)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(1–3 mm) / Notas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Fração volumétrica inicial α_G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exploratória</w:t>
            </w:r>
          </w:p>
        </w:tc>
      </w:tr>
    </w:tbl>
    <w:bookmarkEnd w:id="40"/>
    <w:bookmarkStart w:id="41" w:name="X6a5050a1bb14124122ed2de8b39a8df96300826"/>
    <w:p>
      <w:pPr>
        <w:pStyle w:val="Heading3"/>
      </w:pPr>
      <w:r>
        <w:t xml:space="preserve">6.4 Fases sólidas dispersas (não geometria CAD)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Lodo granular — diâmetro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D’Bastiani 2021 (faixa 1–3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Lodo granular — densidade aparente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1.460 kg/m³ (limite superior; sensibilidade 1.050)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2009/2010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Lodo granular — α_inicial no leito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 (zona z &lt; 8,76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Lodo granular — packing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esferas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Lodo granular — coef. restituição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Típico biológico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— diâmetro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15/05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— densidade aparente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— dosagem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 g/L (α≈1,0%)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— porosidade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Biochar — esfericidade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</w:tbl>
    <w:bookmarkEnd w:id="41"/>
    <w:bookmarkStart w:id="42" w:name="modelo-de-turbulência"/>
    <w:p>
      <w:pPr>
        <w:pStyle w:val="Heading3"/>
      </w:pPr>
      <w:r>
        <w:t xml:space="preserve">6.5 Modelo de turbulência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turbulência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k-ε realizable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Cisneros 2021; Wu 2011; D’Bastiani 2023 — dominante na literatura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Intensidade turbulenta no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= 0,16 × Re^(−1/8) ≈ 5,5%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Correlação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y⁺ alvo: 30–300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P-F-026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(não k-ω SST)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Cisneros 2021 — k-ε realizable teve melhor concordância com PIV em geometrias cilíndricas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premissas-cinéticas-pós-processamento"/>
    <w:p>
      <w:pPr>
        <w:pStyle w:val="Heading2"/>
      </w:pPr>
      <w:r>
        <w:t xml:space="preserve">7. Premissas Cinéticas (Pós-Processamento)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o caso base CFD entrega</w:t>
      </w:r>
      <w:r>
        <w:t xml:space="preserve"> </w:t>
      </w:r>
      <w:r>
        <w:rPr>
          <w:bCs/>
          <w:b/>
        </w:rPr>
        <w:t xml:space="preserve">campos hidrodinâmicos</w:t>
      </w:r>
      <w:r>
        <w:t xml:space="preserve">. O KPI</w:t>
      </w:r>
      <w:r>
        <w:t xml:space="preserve"> </w:t>
      </w:r>
      <w:r>
        <w:rPr>
          <w:bCs/>
          <w:b/>
        </w:rPr>
        <w:t xml:space="preserve">kg H₂/kg DQO</w:t>
      </w:r>
      <w:r>
        <w:t xml:space="preserve"> </w:t>
      </w:r>
      <w:r>
        <w:t xml:space="preserve">será calculado em</w:t>
      </w:r>
      <w:r>
        <w:t xml:space="preserve"> </w:t>
      </w:r>
      <w:r>
        <w:rPr>
          <w:bCs/>
          <w:b/>
        </w:rPr>
        <w:t xml:space="preserve">pós-processamento</w:t>
      </w:r>
      <w:r>
        <w:t xml:space="preserve">, alimentando a planilha Excel calibrada do cliente.</w:t>
      </w:r>
    </w:p>
    <w:bookmarkStart w:id="44" w:name="regiões-funcionais-stage-2-8"/>
    <w:p>
      <w:pPr>
        <w:pStyle w:val="Heading3"/>
      </w:pPr>
      <w:r>
        <w:t xml:space="preserve">7.1 Regiões funcionais (Stage 2 §8)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A (hidrogênica)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0 → 8,76 m (0–60% da altura)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B (metanogênica)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8,76 → 13,87 m (60–95%)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de separação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13,87 → 14,60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</w:tbl>
    <w:bookmarkEnd w:id="44"/>
    <w:bookmarkStart w:id="45" w:name="constantes-cinéticas-stage-2-10-13"/>
    <w:p>
      <w:pPr>
        <w:pStyle w:val="Heading3"/>
      </w:pPr>
      <w:r>
        <w:t xml:space="preserve">7.2 Constantes cinéticas (Stage 2 §10, §13)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k_app,A (Região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h⁻¹ (faixa 0,20–0,50)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k_app,B (Região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 h⁻¹ (faixa 0,05–0,15)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Rendimento prático CH₄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Nm³ CH₄/kg DQO removida (faixa 0,25–0,32)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 estequiométrico H₂ (f_H₂)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EXPLORATÓRIO (sensibilidade 0,02–0,05)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Região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5,2–5,5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Região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6,8–7,3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§9.2</w:t>
            </w:r>
          </w:p>
        </w:tc>
      </w:tr>
    </w:tbl>
    <w:bookmarkEnd w:id="45"/>
    <w:bookmarkStart w:id="46" w:name="field-functions-de-zoneamento-star-ccm"/>
    <w:p>
      <w:pPr>
        <w:pStyle w:val="Heading3"/>
      </w:pPr>
      <w:r>
        <w:t xml:space="preserve">7.3 Field Functions de zoneamento (STAR-CCM+)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Zone_A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($$Position[2] &lt; +1,46) &amp;&amp; ($$Position[2] &gt; −7,30) ? 1 : 0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Zone_B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($$Position[2] &gt;= +1,46) &amp;&amp; ($$Position[2] &lt; +6,57) ? 1 : 0</w:t>
      </w:r>
    </w:p>
    <w:bookmarkEnd w:id="46"/>
    <w:bookmarkStart w:id="47" w:name="reports-de-pós-processamento-entregues"/>
    <w:p>
      <w:pPr>
        <w:pStyle w:val="Heading3"/>
      </w:pPr>
      <w:r>
        <w:t xml:space="preserve">7.4 Reports de pós-processamento entregues</w:t>
      </w:r>
    </w:p>
    <w:p>
      <w:pPr>
        <w:numPr>
          <w:ilvl w:val="0"/>
          <w:numId w:val="1003"/>
        </w:numPr>
        <w:pStyle w:val="Compact"/>
      </w:pPr>
      <w:r>
        <w:t xml:space="preserve">Volume útil real por zona (descontando zonas mortas)</w:t>
      </w:r>
    </w:p>
    <w:p>
      <w:pPr>
        <w:numPr>
          <w:ilvl w:val="0"/>
          <w:numId w:val="1003"/>
        </w:numPr>
        <w:pStyle w:val="Compact"/>
      </w:pPr>
      <w:r>
        <w:t xml:space="preserve">Distribuição vertical de fases (lodo, gás, líquido)</w:t>
      </w:r>
    </w:p>
    <w:p>
      <w:pPr>
        <w:numPr>
          <w:ilvl w:val="0"/>
          <w:numId w:val="1003"/>
        </w:numPr>
        <w:pStyle w:val="Compact"/>
      </w:pPr>
      <w:r>
        <w:t xml:space="preserve">Vazão de gás coletada em cada DN50</w:t>
      </w:r>
    </w:p>
    <w:p>
      <w:pPr>
        <w:numPr>
          <w:ilvl w:val="0"/>
          <w:numId w:val="1003"/>
        </w:numPr>
        <w:pStyle w:val="Compact"/>
      </w:pPr>
      <w:r>
        <w:t xml:space="preserve">Tempo médio de residência por zona (DTR via passive scalar)</w:t>
      </w:r>
    </w:p>
    <w:p>
      <w:pPr>
        <w:numPr>
          <w:ilvl w:val="0"/>
          <w:numId w:val="1003"/>
        </w:numPr>
        <w:pStyle w:val="Compact"/>
      </w:pPr>
      <w:r>
        <w:t xml:space="preserve">Cisalhamento médio sobre o leito (relevante para retenção granular)</w:t>
      </w:r>
    </w:p>
    <w:p>
      <w:pPr>
        <w:numPr>
          <w:ilvl w:val="0"/>
          <w:numId w:val="1003"/>
        </w:numPr>
        <w:pStyle w:val="Compact"/>
      </w:pPr>
      <w:r>
        <w:t xml:space="preserve">Volume de zonas mortas (</w:t>
      </w:r>
      <w:r>
        <w:rPr>
          <w:rStyle w:val="VerbatimChar"/>
        </w:rPr>
        <w:t xml:space="preserve">|V| &lt; 1 mm/s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KPI consolidado: vazões mássicas em todos os inlets/outlets para balanço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remissas-de-discretização-numérica"/>
    <w:p>
      <w:pPr>
        <w:pStyle w:val="Heading2"/>
      </w:pPr>
      <w:r>
        <w:t xml:space="preserve">8. Premissas de Discretização Numérica</w:t>
      </w:r>
    </w:p>
    <w:bookmarkStart w:id="49" w:name="malha"/>
    <w:p>
      <w:pPr>
        <w:pStyle w:val="Heading3"/>
      </w:pPr>
      <w:r>
        <w:t xml:space="preserve">8.1 Malha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Polyhedral + Prism Layer + Surface Remesher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STAR-CCM+ multifásico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mm (≈ D/40)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Compromisso resolução vs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Camadas de prismas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 camadas, total ~10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Resolução de camada limite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ratio (prismas)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y⁺ 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(faixa 30–300)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Function de k-ε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local —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jato turbulento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local — eletrodos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30 mm preservado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local — difusores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Faces de 250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local — separadores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Bordas finas (8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total de células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Literatura: D’Bastiani 2021 cita ~2,3M para IC reactor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Independência de malha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GCI (Grid Convergence 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D’Bastiani 2021 — método padrão</w:t>
            </w:r>
          </w:p>
        </w:tc>
      </w:tr>
    </w:tbl>
    <w:bookmarkEnd w:id="49"/>
    <w:bookmarkStart w:id="50" w:name="solver-e-regime"/>
    <w:p>
      <w:pPr>
        <w:pStyle w:val="Heading3"/>
      </w:pPr>
      <w:r>
        <w:t xml:space="preserve">8.2 Solver e regime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Transiente após steady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L1 — captura dinâmica multifásica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step (transiente)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0,01–0,05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et al. 2017: Δt=0,02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simulado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1×TRH = 24 h (longo prazo: 5×TRH)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Convergência das fases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convergência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Resíduos &lt; 10⁻⁴ (continuidade/momento)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CFD multifásico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convergência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V_up médio Δ&lt;1% em 100 iter; α_G Δ&lt;2%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Estabilidade estatística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cenários-de-simulação"/>
    <w:p>
      <w:pPr>
        <w:pStyle w:val="Heading2"/>
      </w:pPr>
      <w:r>
        <w:t xml:space="preserve">9. Cenários de Simulação</w:t>
      </w:r>
    </w:p>
    <w:p>
      <w:pPr>
        <w:pStyle w:val="FirstParagraph"/>
      </w:pPr>
      <w:r>
        <w:t xml:space="preserve">Conforme matriz consolidada (Planilha de Setup v4.0, Aba 11):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Geometria v5.11, 80°, 7°, sem módulo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C0_M30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+ 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Φ=1,10 sobre k_app,A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C0_M60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+ M60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Φ=1,18 sobre k_app,A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NOZZLE_TANG_ANGLE = 75°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NOZZLE_TANG_ANGLE = 70°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NOZZLE_TANG_ANGLE = 85°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C0_DQO_min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DQO = 20.000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C0_DQO_max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DQO = 30.000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C0_kapp_min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cinética (só pós)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k_app,A = 0,20 h⁻¹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C0_kapp_max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cinética (só pós)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k_app,A = 0,50 h⁻¹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 §10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4 casos com mudança geométrica (re-gerar CAD), 4 com mudança apenas de setup, 2 só em pós-processamento.</w:t>
      </w:r>
    </w:p>
    <w:p>
      <w:r>
        <w:pict>
          <v:rect style="width:0;height:1.5pt" o:hralign="center" o:hrstd="t" o:hr="t"/>
        </w:pict>
      </w:r>
    </w:p>
    <w:bookmarkEnd w:id="52"/>
    <w:bookmarkStart w:id="57" w:name="limitações-e-hipóteses-adotadas"/>
    <w:p>
      <w:pPr>
        <w:pStyle w:val="Heading2"/>
      </w:pPr>
      <w:r>
        <w:t xml:space="preserve">10. Limitações e Hipóteses Adotadas</w:t>
      </w:r>
    </w:p>
    <w:bookmarkStart w:id="53" w:name="simplificações-geométricas"/>
    <w:p>
      <w:pPr>
        <w:pStyle w:val="Heading3"/>
      </w:pPr>
      <w:r>
        <w:t xml:space="preserve">10.1 Simplificações geométricas</w:t>
      </w:r>
    </w:p>
    <w:p>
      <w:pPr>
        <w:numPr>
          <w:ilvl w:val="0"/>
          <w:numId w:val="1004"/>
        </w:numPr>
        <w:pStyle w:val="Compact"/>
      </w:pPr>
      <w:r>
        <w:t xml:space="preserve">LIM-01: Espessura de parede do reator não modelada (parede infinitamente fina).</w:t>
      </w:r>
    </w:p>
    <w:p>
      <w:pPr>
        <w:numPr>
          <w:ilvl w:val="0"/>
          <w:numId w:val="1004"/>
        </w:numPr>
        <w:pStyle w:val="Compact"/>
      </w:pPr>
      <w:r>
        <w:t xml:space="preserve">LIM-02: Tubo único de alimentação que se ramifica em 6 bocais (Vinícius 18/05) modelado como 6 bocais individuais atravessando a parede — simplificação CFD aceitável.</w:t>
      </w:r>
    </w:p>
    <w:p>
      <w:pPr>
        <w:numPr>
          <w:ilvl w:val="0"/>
          <w:numId w:val="1004"/>
        </w:numPr>
        <w:pStyle w:val="Compact"/>
      </w:pPr>
      <w:r>
        <w:t xml:space="preserve">LIM-03: Tubos DN25 individuais de cada conjunto Λ não modelados (gás coletado sobe naturalmente).</w:t>
      </w:r>
    </w:p>
    <w:p>
      <w:pPr>
        <w:numPr>
          <w:ilvl w:val="0"/>
          <w:numId w:val="1004"/>
        </w:numPr>
        <w:pStyle w:val="Compact"/>
      </w:pPr>
      <w:r>
        <w:t xml:space="preserve">LIM-04: Difusores reais (placas porosas) modelados apenas como faces de Mass Flow Inlet (sem geometria de microfuros).</w:t>
      </w:r>
    </w:p>
    <w:bookmarkEnd w:id="53"/>
    <w:bookmarkStart w:id="54" w:name="simplificações-físico-químicas"/>
    <w:p>
      <w:pPr>
        <w:pStyle w:val="Heading3"/>
      </w:pPr>
      <w:r>
        <w:t xml:space="preserve">10.2 Simplificações físico-químicas</w:t>
      </w:r>
    </w:p>
    <w:p>
      <w:pPr>
        <w:numPr>
          <w:ilvl w:val="0"/>
          <w:numId w:val="1005"/>
        </w:numPr>
        <w:pStyle w:val="Compact"/>
      </w:pPr>
      <w:r>
        <w:t xml:space="preserve">LIM-05: Biochar e lodo granular</w:t>
      </w:r>
      <w:r>
        <w:t xml:space="preserve"> </w:t>
      </w:r>
      <w:r>
        <w:rPr>
          <w:bCs/>
          <w:b/>
        </w:rPr>
        <w:t xml:space="preserve">não possuem geometria CAD</w:t>
      </w:r>
      <w:r>
        <w:t xml:space="preserve"> </w:t>
      </w:r>
      <w:r>
        <w:t xml:space="preserve">— modelados como fases sólidas dispersas em E-E + KTGF.</w:t>
      </w:r>
    </w:p>
    <w:p>
      <w:pPr>
        <w:numPr>
          <w:ilvl w:val="0"/>
          <w:numId w:val="1005"/>
        </w:numPr>
        <w:pStyle w:val="Compact"/>
      </w:pPr>
      <w:r>
        <w:t xml:space="preserve">LIM-06: Diâmetro de bolha tratado como d₃₂ único (2 mm); modelo de PBM não implementado no caso base.</w:t>
      </w:r>
    </w:p>
    <w:p>
      <w:pPr>
        <w:numPr>
          <w:ilvl w:val="0"/>
          <w:numId w:val="1005"/>
        </w:numPr>
        <w:pStyle w:val="Compact"/>
      </w:pPr>
      <w:r>
        <w:t xml:space="preserve">LIM-07: Reator considerado</w:t>
      </w:r>
      <w:r>
        <w:t xml:space="preserve"> </w:t>
      </w:r>
      <w:r>
        <w:rPr>
          <w:bCs/>
          <w:b/>
        </w:rPr>
        <w:t xml:space="preserve">isotérmico</w:t>
      </w:r>
      <w:r>
        <w:t xml:space="preserve"> </w:t>
      </w:r>
      <w:r>
        <w:t xml:space="preserve">a 35 °C (consistente com toda a literatura revisada — D’Bastiani 2023).</w:t>
      </w:r>
    </w:p>
    <w:p>
      <w:pPr>
        <w:numPr>
          <w:ilvl w:val="0"/>
          <w:numId w:val="1005"/>
        </w:numPr>
        <w:pStyle w:val="Compact"/>
      </w:pPr>
      <w:r>
        <w:t xml:space="preserve">LIM-08:</w:t>
      </w:r>
      <w:r>
        <w:t xml:space="preserve"> </w:t>
      </w:r>
      <w:r>
        <w:rPr>
          <w:bCs/>
          <w:b/>
        </w:rPr>
        <w:t xml:space="preserve">Sem acoplamento direto CFD–biocinética</w:t>
      </w:r>
      <w:r>
        <w:t xml:space="preserve"> </w:t>
      </w:r>
      <w:r>
        <w:t xml:space="preserve">no caso base. Cinética aplicada em pós-processamento.</w:t>
      </w:r>
    </w:p>
    <w:p>
      <w:pPr>
        <w:numPr>
          <w:ilvl w:val="0"/>
          <w:numId w:val="1005"/>
        </w:numPr>
        <w:pStyle w:val="Compact"/>
      </w:pPr>
      <w:r>
        <w:t xml:space="preserve">LIM-09: Eletrodos modelados como</w:t>
      </w:r>
      <w:r>
        <w:t xml:space="preserve"> </w:t>
      </w:r>
      <w:r>
        <w:rPr>
          <w:bCs/>
          <w:b/>
        </w:rPr>
        <w:t xml:space="preserve">sólidos inertes</w:t>
      </w:r>
      <w:r>
        <w:t xml:space="preserve"> </w:t>
      </w:r>
      <w:r>
        <w:t xml:space="preserve">(sem eletroquímica, sem campo magnético) — próxima etapa do projeto.</w:t>
      </w:r>
    </w:p>
    <w:bookmarkEnd w:id="54"/>
    <w:bookmarkStart w:id="55" w:name="premissas-sobre-composição"/>
    <w:p>
      <w:pPr>
        <w:pStyle w:val="Heading3"/>
      </w:pPr>
      <w:r>
        <w:t xml:space="preserve">10.3 Premissas sobre composição</w:t>
      </w:r>
    </w:p>
    <w:p>
      <w:pPr>
        <w:numPr>
          <w:ilvl w:val="0"/>
          <w:numId w:val="1006"/>
        </w:numPr>
        <w:pStyle w:val="Compact"/>
      </w:pPr>
      <w:r>
        <w:t xml:space="preserve">LIM-10: Composição do biogás recirculado considerada</w:t>
      </w:r>
      <w:r>
        <w:t xml:space="preserve"> </w:t>
      </w:r>
      <w:r>
        <w:rPr>
          <w:bCs/>
          <w:b/>
        </w:rPr>
        <w:t xml:space="preserve">constante</w:t>
      </w:r>
      <w:r>
        <w:t xml:space="preserve"> </w:t>
      </w:r>
      <w:r>
        <w:t xml:space="preserve">(CH₄ 65 / CO₂ 34 / H₂S 1) ao longo da simulação.</w:t>
      </w:r>
    </w:p>
    <w:p>
      <w:pPr>
        <w:numPr>
          <w:ilvl w:val="0"/>
          <w:numId w:val="1006"/>
        </w:numPr>
        <w:pStyle w:val="Compact"/>
      </w:pPr>
      <w:r>
        <w:t xml:space="preserve">LIM-11: Densidade do biogás calculada por</w:t>
      </w:r>
      <w:r>
        <w:t xml:space="preserve"> </w:t>
      </w:r>
      <w:r>
        <w:rPr>
          <w:bCs/>
          <w:b/>
        </w:rPr>
        <w:t xml:space="preserve">gás ideal</w:t>
      </w:r>
      <w:r>
        <w:t xml:space="preserve"> </w:t>
      </w:r>
      <w:r>
        <w:t xml:space="preserve">na P/T operacional.</w:t>
      </w:r>
    </w:p>
    <w:bookmarkEnd w:id="55"/>
    <w:bookmarkStart w:id="56" w:name="validação"/>
    <w:p>
      <w:pPr>
        <w:pStyle w:val="Heading3"/>
      </w:pPr>
      <w:r>
        <w:t xml:space="preserve">10.4 Validação</w:t>
      </w:r>
    </w:p>
    <w:p>
      <w:pPr>
        <w:numPr>
          <w:ilvl w:val="0"/>
          <w:numId w:val="1007"/>
        </w:numPr>
        <w:pStyle w:val="Compact"/>
      </w:pPr>
      <w:r>
        <w:t xml:space="preserve">LIM-12:</w:t>
      </w:r>
      <w:r>
        <w:t xml:space="preserve"> </w:t>
      </w:r>
      <w:r>
        <w:rPr>
          <w:bCs/>
          <w:b/>
        </w:rPr>
        <w:t xml:space="preserve">Sem reator físico construído ainda</w:t>
      </w:r>
      <w:r>
        <w:t xml:space="preserve"> </w:t>
      </w:r>
      <w:r>
        <w:t xml:space="preserve">— validação será</w:t>
      </w:r>
      <w:r>
        <w:t xml:space="preserve"> </w:t>
      </w:r>
      <w:r>
        <w:rPr>
          <w:bCs/>
          <w:b/>
        </w:rPr>
        <w:t xml:space="preserve">indireta</w:t>
      </w:r>
      <w:r>
        <w:t xml:space="preserve">, comparando padrões de escoamento e DTR contra dados PIV da literatura (D’Bastiani 2021) em geometrias similares.</w:t>
      </w:r>
    </w:p>
    <w:p>
      <w:pPr>
        <w:numPr>
          <w:ilvl w:val="0"/>
          <w:numId w:val="1007"/>
        </w:numPr>
        <w:pStyle w:val="Compact"/>
      </w:pPr>
      <w:r>
        <w:t xml:space="preserve">LIM-13: KPIs de produção (H₂, CH₄) tratados como</w:t>
      </w:r>
      <w:r>
        <w:t xml:space="preserve"> </w:t>
      </w:r>
      <w:r>
        <w:rPr>
          <w:bCs/>
          <w:b/>
        </w:rPr>
        <w:t xml:space="preserve">variáveis de resposta exploratórias</w:t>
      </w:r>
      <w:r>
        <w:t xml:space="preserve">, não como valores garantidos (alinhado a Stage 2 §17–§18).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iscos-técnicos-e-mitigação"/>
    <w:p>
      <w:pPr>
        <w:pStyle w:val="Heading2"/>
      </w:pPr>
      <w:r>
        <w:t xml:space="preserve">11. Riscos Técnicos e Mitigação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computacional do transiente trifásico exceder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steady-state; transiente apenas após convergência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validação experimental (sem piloto físico)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indireta via PIV de literatura; explicitar em Stage 2 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solicitar acoplamento CFD-cinética dentro do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 contratual: KPI H₂/DQO entregue via planilha do cliente (pós-proc.); aditivo se necessário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Imprecisão das constantes k_app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Cenários de sensibilidade C0_kapp_min/max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Conflitos geométricos não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Mitigado por</w:t>
            </w:r>
            <w:r>
              <w:t xml:space="preserve"> </w:t>
            </w:r>
            <w:r>
              <w:rPr>
                <w:rStyle w:val="VerbatimChar"/>
              </w:rPr>
              <w:t xml:space="preserve">_check_clearances()</w:t>
            </w:r>
            <w:r>
              <w:t xml:space="preserve"> </w:t>
            </w:r>
            <w:r>
              <w:t xml:space="preserve">automatizado no CAD v5.10+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Check do STAR-CCM+ falhar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Tolerâncias revisadas; fillet do joelho em try/except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 do biogás real diferir significativamente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 já planejada (Stage 2 §7)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rastreabilidade-de-fontes"/>
    <w:p>
      <w:pPr>
        <w:pStyle w:val="Heading2"/>
      </w:pPr>
      <w:r>
        <w:t xml:space="preserve">12. Rastreabilidade de Fontes</w:t>
      </w:r>
    </w:p>
    <w:bookmarkStart w:id="59" w:name="documentos-do-cliente"/>
    <w:p>
      <w:pPr>
        <w:pStyle w:val="Heading3"/>
      </w:pPr>
      <w:r>
        <w:t xml:space="preserve">12.1 Documentos do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Premissas iniciais (D, H, V, separadores, eletrodos)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(16309384-Relatorio_Tecnico_CFD_Stage_2)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DQO, vazões, cinética, cenários C0/M30/M60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 L1 (75e2fc2b-Notas_L1_Vinicius)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D’Bastiani 2023 — decisões de setup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Memorial Vinícius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Especificações geométricas iniciais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Substituído por v3.0</w:t>
            </w:r>
          </w:p>
        </w:tc>
      </w:tr>
    </w:tbl>
    <w:bookmarkEnd w:id="59"/>
    <w:bookmarkStart w:id="60" w:name="X466bc1318713f673201320b9d2638e07381288d"/>
    <w:p>
      <w:pPr>
        <w:pStyle w:val="Heading3"/>
      </w:pPr>
      <w:r>
        <w:t xml:space="preserve">12.2 Conversas técnicas com Vinícius (14–18/05/2026)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Decisões aplicadas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15/05 15:38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Áudio — geometria geral, topo, 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Topo, bocais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15/05 16:09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— calota toroesférica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 (interpretação revisada)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15/05 16:46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D/8 = 0,261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15/05 16:50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Eletrodos gap 30 mm; 12 difusores DN225/250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P-G-037; P-G-042..049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15/05 17:05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Áudio — sistema completo de tubulação 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P-G-026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15/05 17:12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Áudio — 40% recirculação gasosa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16/05 18:04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extensa — topo convexo, saídas DN100, bocais 7°/80°, composição 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P-G-002 a P-G-009; P-G-014..016; P-O-008..011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17/05 (áudio)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de efluente bem no topo; DN50 só 3; Λ 2/4/4/4; DN100 a 15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P-G-007; P-G-008; P-G-019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18/05 (áudio + croqui)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 de 4 ramais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P-G-029..033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18/05 17:06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final 5 itens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P-G-028 a P-G-032</w:t>
            </w:r>
          </w:p>
        </w:tc>
      </w:tr>
    </w:tbl>
    <w:bookmarkEnd w:id="60"/>
    <w:bookmarkStart w:id="61" w:name="X4559175e4c1cf80bfec5a79a83bf77386edb5d1"/>
    <w:p>
      <w:pPr>
        <w:pStyle w:val="Heading3"/>
      </w:pPr>
      <w:r>
        <w:t xml:space="preserve">12.3 Documentos técnicos gerados (entregáveis intermediários)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FIORA_IC_geometry_v5_11.py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v5.11 (final)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CadQuery — geometria CAD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FIORA_IC_v5_11_*.step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Geometria STEP para STAR-CCM+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FIORA_IC_Memorial_Geometria_v3.docx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Memorial Descritivo de Geometria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FIORA_IC_Setup_CFD_v4.xlsx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 de Setup CFD (13 abas)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FIORA_IC_Relatorio_Premissas.docx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Rev. 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documento</w:t>
            </w:r>
          </w:p>
        </w:tc>
      </w:tr>
    </w:tbl>
    <w:bookmarkEnd w:id="61"/>
    <w:bookmarkStart w:id="62" w:name="referências-científicas"/>
    <w:p>
      <w:pPr>
        <w:pStyle w:val="Heading3"/>
      </w:pPr>
      <w:r>
        <w:t xml:space="preserve">12.4 Referências científicas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D’Bastiani, C.; Kennedy, D.; Reynolds, A. (2023).</w:t>
            </w:r>
            <w:r>
              <w:t xml:space="preserve"> </w:t>
            </w:r>
            <w:r>
              <w:rPr>
                <w:iCs/>
                <w:i/>
              </w:rPr>
              <w:t xml:space="preserve">CFD simulation of anaerobic granular sludge reactors: A review.</w:t>
            </w:r>
            <w:r>
              <w:t xml:space="preserve"> </w:t>
            </w:r>
            <w:r>
              <w:t xml:space="preserve">Water Research, v.242, 120220. DOI: 10.1016/j.watres.2023.120220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Y. et al. (2010). EGSB reactor CFD — biohidrogênio acoplado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D’Bastiani, C. et al. (2021). UASB três fases — validação PIV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Wu, B. (2015). Shear rate em reatores granulares — papel do biogás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Cisneros et al. (2021). Comparação k-ε realizable vs k-ω SST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 et al. (2017). EGSB — ângulo de separador trifásico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aprovação-e-controle-de-revisões"/>
    <w:p>
      <w:pPr>
        <w:pStyle w:val="Heading2"/>
      </w:pPr>
      <w:r>
        <w:t xml:space="preserve">13. Aprovação e Controle de Revisões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 Rozo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(aguardando 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Emissão inicial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Engenheiro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 Rozo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_____/_____/_____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_____/_____/_____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Diretor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Ricardo Barbosa de Barros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_____/_____/_____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Aprovação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Alberoni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_____/_____/_____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anexos-documentos-de-referência"/>
    <w:p>
      <w:pPr>
        <w:pStyle w:val="Heading2"/>
      </w:pPr>
      <w:r>
        <w:t xml:space="preserve">14. Anexos (Documentos de Referência)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A:</w:t>
      </w:r>
      <w:r>
        <w:t xml:space="preserve"> </w:t>
      </w:r>
      <w:r>
        <w:t xml:space="preserve">Memorial Descritivo de Geometria v3.0 —</w:t>
      </w:r>
      <w:r>
        <w:t xml:space="preserve"> </w:t>
      </w:r>
      <w:r>
        <w:rPr>
          <w:rStyle w:val="VerbatimChar"/>
        </w:rPr>
        <w:t xml:space="preserve">FIORA_IC_Memorial_Geometria_v3.docx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B:</w:t>
      </w:r>
      <w:r>
        <w:t xml:space="preserve"> </w:t>
      </w:r>
      <w:r>
        <w:t xml:space="preserve">Planilha de Setup CFD v4.0 —</w:t>
      </w:r>
      <w:r>
        <w:t xml:space="preserve"> </w:t>
      </w:r>
      <w:r>
        <w:rPr>
          <w:rStyle w:val="VerbatimChar"/>
        </w:rPr>
        <w:t xml:space="preserve">FIORA_IC_Setup_CFD_v4.xlsx</w:t>
      </w:r>
      <w:r>
        <w:t xml:space="preserve"> </w:t>
      </w:r>
      <w:r>
        <w:t xml:space="preserve">(13 abas)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C:</w:t>
      </w:r>
      <w:r>
        <w:t xml:space="preserve"> </w:t>
      </w:r>
      <w:r>
        <w:t xml:space="preserve">Script CAD CadQuery —</w:t>
      </w:r>
      <w:r>
        <w:t xml:space="preserve"> </w:t>
      </w:r>
      <w:r>
        <w:rPr>
          <w:rStyle w:val="VerbatimChar"/>
        </w:rPr>
        <w:t xml:space="preserve">FIORA_IC_geometry_v5_11.py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D:</w:t>
      </w:r>
      <w:r>
        <w:t xml:space="preserve"> </w:t>
      </w:r>
      <w:r>
        <w:t xml:space="preserve">Arquivos STEP (6×) —</w:t>
      </w:r>
      <w:r>
        <w:t xml:space="preserve"> </w:t>
      </w:r>
      <w:r>
        <w:rPr>
          <w:rStyle w:val="VerbatimChar"/>
        </w:rPr>
        <w:t xml:space="preserve">FIORA_IC_v5_11_*.step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E:</w:t>
      </w:r>
      <w:r>
        <w:t xml:space="preserve"> </w:t>
      </w:r>
      <w:r>
        <w:t xml:space="preserve">Relatório Stage 2 — fornecido pelo cliente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F:</w:t>
      </w:r>
      <w:r>
        <w:t xml:space="preserve"> </w:t>
      </w:r>
      <w:r>
        <w:t xml:space="preserve">Notas de Revisão de Literatura L1 (D’Bastiani 2023)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FIORA IC — Relatório de Premissas Técnicas Rev. A — 18/05/2026</w:t>
      </w:r>
    </w:p>
    <w:p>
      <w:pPr>
        <w:pStyle w:val="BodyText"/>
      </w:pPr>
      <w:r>
        <w:rPr>
          <w:iCs/>
          <w:i/>
        </w:rPr>
        <w:t xml:space="preserve">CONFIDENCIAL — Tecnologia Patenteada. Reprodução proibida sem autorização expressa.</w:t>
      </w:r>
    </w:p>
    <w:bookmarkEnd w:id="65"/>
    <w:bookmarkEnd w:id="66"/>
    <w:sectPr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5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styleId="Heading2" w:type="paragraph">
    <w:name w:val="Heading 2"/>
    <w:basedOn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styleId="Heading3" w:type="paragraph">
    <w:name w:val="Heading 3"/>
    <w:basedOn w:val="Normal"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2026-05-19T13:19:27Z</dcterms:created>
  <dcterms:modified xsi:type="dcterms:W3CDTF">2026-05-19T13:19:27Z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