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bookmarkStart w:id="0" w:name="introduction" w:displacedByCustomXml="next"/>
    <w:sdt>
      <w:sdtPr>
        <w:id w:val="-1682501042"/>
        <w:docPartObj>
          <w:docPartGallery w:val="Cover Pages"/>
          <w:docPartUnique/>
        </w:docPartObj>
      </w:sdtPr>
      <w:sdtContent>
        <w:p w14:paraId="7D9F7489" w14:textId="7A3DDEF1" w:rsidR="00DB728C" w:rsidRPr="00890670" w:rsidRDefault="000C3504" w:rsidP="00FF3141">
          <w:r>
            <w:rPr>
              <w:noProof/>
            </w:rPr>
            <w:drawing>
              <wp:inline distT="0" distB="0" distL="0" distR="0" wp14:anchorId="329EC9F9" wp14:editId="7049CC1C">
                <wp:extent cx="4105664" cy="1621539"/>
                <wp:effectExtent l="0" t="0" r="0" b="0"/>
                <wp:docPr id="6440192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4019281" name="Picture 644019281"/>
                        <pic:cNvPicPr/>
                      </pic:nvPicPr>
                      <pic:blipFill>
                        <a:blip r:embed="rId9" cstate="print">
                          <a:extLst>
                            <a:ext uri="{28A0092B-C50C-407E-A947-70E740481C1C}">
                              <a14:useLocalDpi xmlns:a14="http://schemas.microsoft.com/office/drawing/2010/main" val="0"/>
                            </a:ext>
                          </a:extLst>
                        </a:blip>
                        <a:stretch>
                          <a:fillRect/>
                        </a:stretch>
                      </pic:blipFill>
                      <pic:spPr>
                        <a:xfrm>
                          <a:off x="0" y="0"/>
                          <a:ext cx="4105664" cy="1621539"/>
                        </a:xfrm>
                        <a:prstGeom prst="rect">
                          <a:avLst/>
                        </a:prstGeom>
                      </pic:spPr>
                    </pic:pic>
                  </a:graphicData>
                </a:graphic>
              </wp:inline>
            </w:drawing>
          </w:r>
        </w:p>
        <w:tbl>
          <w:tblPr>
            <w:tblpPr w:leftFromText="187" w:rightFromText="187" w:horzAnchor="margin" w:tblpXSpec="center" w:tblpY="2881"/>
            <w:tblW w:w="4000" w:type="pct"/>
            <w:tblBorders>
              <w:left w:val="single" w:sz="12" w:space="0" w:color="000000" w:themeColor="text1"/>
            </w:tblBorders>
            <w:tblCellMar>
              <w:left w:w="144" w:type="dxa"/>
              <w:right w:w="115" w:type="dxa"/>
            </w:tblCellMar>
            <w:tblLook w:val="04A0" w:firstRow="1" w:lastRow="0" w:firstColumn="1" w:lastColumn="0" w:noHBand="0" w:noVBand="1"/>
          </w:tblPr>
          <w:tblGrid>
            <w:gridCol w:w="7476"/>
          </w:tblGrid>
          <w:tr w:rsidR="00DB728C" w:rsidRPr="00890670" w14:paraId="55887511" w14:textId="77777777" w:rsidTr="00344089">
            <w:sdt>
              <w:sdtPr>
                <w:rPr>
                  <w:sz w:val="24"/>
                  <w:szCs w:val="24"/>
                  <w:lang w:val="en-GB"/>
                </w:rPr>
                <w:alias w:val="Company"/>
                <w:id w:val="13406915"/>
                <w:placeholder>
                  <w:docPart w:val="7F39E9F0065B48958AD40EE80DED5E0F"/>
                </w:placeholder>
                <w:dataBinding w:prefixMappings="xmlns:ns0='http://schemas.openxmlformats.org/officeDocument/2006/extended-properties'" w:xpath="/ns0:Properties[1]/ns0:Company[1]" w:storeItemID="{6668398D-A668-4E3E-A5EB-62B293D839F1}"/>
                <w:text/>
              </w:sdtPr>
              <w:sdtContent>
                <w:tc>
                  <w:tcPr>
                    <w:tcW w:w="7672" w:type="dxa"/>
                    <w:tcMar>
                      <w:top w:w="216" w:type="dxa"/>
                      <w:left w:w="115" w:type="dxa"/>
                      <w:bottom w:w="216" w:type="dxa"/>
                      <w:right w:w="115" w:type="dxa"/>
                    </w:tcMar>
                  </w:tcPr>
                  <w:p w14:paraId="6946A081" w14:textId="143C9482" w:rsidR="00DB728C" w:rsidRPr="00890670" w:rsidRDefault="00DB728C">
                    <w:pPr>
                      <w:pStyle w:val="NoSpacing"/>
                      <w:rPr>
                        <w:sz w:val="24"/>
                        <w:lang w:val="en-GB"/>
                      </w:rPr>
                    </w:pPr>
                    <w:r w:rsidRPr="00890670">
                      <w:rPr>
                        <w:sz w:val="24"/>
                        <w:szCs w:val="24"/>
                        <w:lang w:val="en-GB"/>
                      </w:rPr>
                      <w:t>Utrecht University - MSc Applied Data Science</w:t>
                    </w:r>
                  </w:p>
                </w:tc>
              </w:sdtContent>
            </w:sdt>
          </w:tr>
          <w:tr w:rsidR="00DB728C" w:rsidRPr="00890670" w14:paraId="69150438" w14:textId="77777777" w:rsidTr="00344089">
            <w:tc>
              <w:tcPr>
                <w:tcW w:w="7672" w:type="dxa"/>
              </w:tcPr>
              <w:sdt>
                <w:sdtPr>
                  <w:rPr>
                    <w:rFonts w:asciiTheme="majorHAnsi" w:eastAsiaTheme="majorEastAsia" w:hAnsiTheme="majorHAnsi" w:cstheme="majorBidi"/>
                    <w:sz w:val="88"/>
                    <w:szCs w:val="88"/>
                    <w:lang w:val="en-GB"/>
                  </w:rPr>
                  <w:alias w:val="Title"/>
                  <w:id w:val="13406919"/>
                  <w:placeholder>
                    <w:docPart w:val="051EE07ED9884C6785870964325E80C3"/>
                  </w:placeholder>
                  <w:dataBinding w:prefixMappings="xmlns:ns0='http://schemas.openxmlformats.org/package/2006/metadata/core-properties' xmlns:ns1='http://purl.org/dc/elements/1.1/'" w:xpath="/ns0:coreProperties[1]/ns1:title[1]" w:storeItemID="{6C3C8BC8-F283-45AE-878A-BAB7291924A1}"/>
                  <w:text/>
                </w:sdtPr>
                <w:sdtContent>
                  <w:p w14:paraId="6EFFDED8" w14:textId="078723F1" w:rsidR="00DB728C" w:rsidRPr="00890670" w:rsidRDefault="00DB728C">
                    <w:pPr>
                      <w:pStyle w:val="NoSpacing"/>
                      <w:spacing w:line="216" w:lineRule="auto"/>
                      <w:rPr>
                        <w:rFonts w:asciiTheme="majorHAnsi" w:eastAsiaTheme="majorEastAsia" w:hAnsiTheme="majorHAnsi" w:cstheme="majorBidi"/>
                        <w:color w:val="156082" w:themeColor="accent1"/>
                        <w:sz w:val="88"/>
                        <w:szCs w:val="88"/>
                        <w:lang w:val="en-GB"/>
                      </w:rPr>
                    </w:pPr>
                    <w:r w:rsidRPr="00890670">
                      <w:rPr>
                        <w:rFonts w:asciiTheme="majorHAnsi" w:eastAsiaTheme="majorEastAsia" w:hAnsiTheme="majorHAnsi" w:cstheme="majorBidi"/>
                        <w:sz w:val="88"/>
                        <w:szCs w:val="88"/>
                        <w:lang w:val="en-GB"/>
                      </w:rPr>
                      <w:t xml:space="preserve">When Is Dyadic Transformation </w:t>
                    </w:r>
                    <w:r w:rsidR="00FC6CFB">
                      <w:rPr>
                        <w:rFonts w:asciiTheme="majorHAnsi" w:eastAsiaTheme="majorEastAsia" w:hAnsiTheme="majorHAnsi" w:cstheme="majorBidi"/>
                        <w:sz w:val="88"/>
                        <w:szCs w:val="88"/>
                        <w:lang w:val="en-GB"/>
                      </w:rPr>
                      <w:t>Reliable</w:t>
                    </w:r>
                    <w:r w:rsidRPr="00890670">
                      <w:rPr>
                        <w:rFonts w:asciiTheme="majorHAnsi" w:eastAsiaTheme="majorEastAsia" w:hAnsiTheme="majorHAnsi" w:cstheme="majorBidi"/>
                        <w:sz w:val="88"/>
                        <w:szCs w:val="88"/>
                        <w:lang w:val="en-GB"/>
                      </w:rPr>
                      <w:t>? A Threshold for Relational Event Models with Multi-Receiver Events</w:t>
                    </w:r>
                  </w:p>
                </w:sdtContent>
              </w:sdt>
            </w:tc>
          </w:tr>
          <w:tr w:rsidR="00DB728C" w:rsidRPr="00890670" w14:paraId="1E789873" w14:textId="77777777" w:rsidTr="00344089">
            <w:sdt>
              <w:sdtPr>
                <w:rPr>
                  <w:sz w:val="24"/>
                  <w:szCs w:val="24"/>
                  <w:lang w:val="en-GB"/>
                </w:rPr>
                <w:alias w:val="Subtitle"/>
                <w:id w:val="13406923"/>
                <w:placeholder>
                  <w:docPart w:val="C782288CED2D4C7DA2891A041E673F71"/>
                </w:placeholder>
                <w:dataBinding w:prefixMappings="xmlns:ns0='http://schemas.openxmlformats.org/package/2006/metadata/core-properties' xmlns:ns1='http://purl.org/dc/elements/1.1/'" w:xpath="/ns0:coreProperties[1]/ns1:subject[1]" w:storeItemID="{6C3C8BC8-F283-45AE-878A-BAB7291924A1}"/>
                <w:text/>
              </w:sdtPr>
              <w:sdtContent>
                <w:tc>
                  <w:tcPr>
                    <w:tcW w:w="7672" w:type="dxa"/>
                    <w:tcMar>
                      <w:top w:w="216" w:type="dxa"/>
                      <w:left w:w="115" w:type="dxa"/>
                      <w:bottom w:w="216" w:type="dxa"/>
                      <w:right w:w="115" w:type="dxa"/>
                    </w:tcMar>
                  </w:tcPr>
                  <w:p w14:paraId="664FCD01" w14:textId="4DB2252B" w:rsidR="00DB728C" w:rsidRPr="00890670" w:rsidRDefault="00DB728C">
                    <w:pPr>
                      <w:pStyle w:val="NoSpacing"/>
                      <w:rPr>
                        <w:sz w:val="24"/>
                        <w:lang w:val="en-GB"/>
                      </w:rPr>
                    </w:pPr>
                    <w:r w:rsidRPr="00890670">
                      <w:rPr>
                        <w:sz w:val="24"/>
                        <w:szCs w:val="24"/>
                        <w:lang w:val="en-GB"/>
                      </w:rPr>
                      <w:t>Supervisors: Mahdi Shafiee Kamalabad, Myrthe Prins</w:t>
                    </w:r>
                  </w:p>
                </w:tc>
              </w:sdtContent>
            </w:sdt>
          </w:tr>
        </w:tbl>
        <w:tbl>
          <w:tblPr>
            <w:tblpPr w:leftFromText="187" w:rightFromText="187" w:horzAnchor="margin" w:tblpXSpec="center" w:tblpYSpec="bottom"/>
            <w:tblW w:w="3857" w:type="pct"/>
            <w:tblLook w:val="04A0" w:firstRow="1" w:lastRow="0" w:firstColumn="1" w:lastColumn="0" w:noHBand="0" w:noVBand="1"/>
          </w:tblPr>
          <w:tblGrid>
            <w:gridCol w:w="7220"/>
          </w:tblGrid>
          <w:tr w:rsidR="00DB728C" w:rsidRPr="00890670" w14:paraId="65F1FF05" w14:textId="77777777">
            <w:tc>
              <w:tcPr>
                <w:tcW w:w="7221" w:type="dxa"/>
                <w:tcMar>
                  <w:top w:w="216" w:type="dxa"/>
                  <w:left w:w="115" w:type="dxa"/>
                  <w:bottom w:w="216" w:type="dxa"/>
                  <w:right w:w="115" w:type="dxa"/>
                </w:tcMar>
              </w:tcPr>
              <w:sdt>
                <w:sdtPr>
                  <w:rPr>
                    <w:sz w:val="28"/>
                    <w:szCs w:val="28"/>
                    <w:lang w:val="en-GB"/>
                  </w:rPr>
                  <w:alias w:val="Author"/>
                  <w:id w:val="13406928"/>
                  <w:placeholder>
                    <w:docPart w:val="3B2C796DEA854107968540B115FCDEE2"/>
                  </w:placeholder>
                  <w:dataBinding w:prefixMappings="xmlns:ns0='http://schemas.openxmlformats.org/package/2006/metadata/core-properties' xmlns:ns1='http://purl.org/dc/elements/1.1/'" w:xpath="/ns0:coreProperties[1]/ns1:creator[1]" w:storeItemID="{6C3C8BC8-F283-45AE-878A-BAB7291924A1}"/>
                  <w:text/>
                </w:sdtPr>
                <w:sdtContent>
                  <w:p w14:paraId="137D3BA3" w14:textId="786359A4" w:rsidR="00DB728C" w:rsidRPr="00890670" w:rsidRDefault="00DB728C">
                    <w:pPr>
                      <w:pStyle w:val="NoSpacing"/>
                      <w:rPr>
                        <w:sz w:val="28"/>
                        <w:szCs w:val="28"/>
                        <w:lang w:val="en-GB"/>
                      </w:rPr>
                    </w:pPr>
                    <w:r w:rsidRPr="00890670">
                      <w:rPr>
                        <w:sz w:val="28"/>
                        <w:szCs w:val="28"/>
                        <w:lang w:val="en-GB"/>
                      </w:rPr>
                      <w:t>Gabriel Silva Cheinquer - 4266390</w:t>
                    </w:r>
                  </w:p>
                </w:sdtContent>
              </w:sdt>
              <w:sdt>
                <w:sdtPr>
                  <w:rPr>
                    <w:sz w:val="28"/>
                    <w:szCs w:val="28"/>
                    <w:lang w:val="en-GB"/>
                  </w:rPr>
                  <w:alias w:val="Date"/>
                  <w:tag w:val="Date"/>
                  <w:id w:val="13406932"/>
                  <w:placeholder>
                    <w:docPart w:val="B381164141B64278902E07471DF04FE8"/>
                  </w:placeholder>
                  <w:dataBinding w:prefixMappings="xmlns:ns0='http://schemas.microsoft.com/office/2006/coverPageProps'" w:xpath="/ns0:CoverPageProperties[1]/ns0:PublishDate[1]" w:storeItemID="{55AF091B-3C7A-41E3-B477-F2FDAA23CFDA}"/>
                  <w:date w:fullDate="2026-06-29T00:00:00Z">
                    <w:dateFormat w:val="M-d-yyyy"/>
                    <w:lid w:val="en-US"/>
                    <w:storeMappedDataAs w:val="dateTime"/>
                    <w:calendar w:val="gregorian"/>
                  </w:date>
                </w:sdtPr>
                <w:sdtContent>
                  <w:p w14:paraId="4665971C" w14:textId="3B67EFD2" w:rsidR="00DB728C" w:rsidRPr="00890670" w:rsidRDefault="00A40D01">
                    <w:pPr>
                      <w:pStyle w:val="NoSpacing"/>
                      <w:rPr>
                        <w:sz w:val="28"/>
                        <w:szCs w:val="28"/>
                        <w:lang w:val="en-GB"/>
                      </w:rPr>
                    </w:pPr>
                    <w:r>
                      <w:rPr>
                        <w:sz w:val="28"/>
                        <w:szCs w:val="28"/>
                      </w:rPr>
                      <w:t>29-06-2026</w:t>
                    </w:r>
                  </w:p>
                </w:sdtContent>
              </w:sdt>
              <w:p w14:paraId="4262DE2B" w14:textId="77777777" w:rsidR="00DB728C" w:rsidRPr="00890670" w:rsidRDefault="00DB728C">
                <w:pPr>
                  <w:pStyle w:val="NoSpacing"/>
                  <w:rPr>
                    <w:color w:val="156082" w:themeColor="accent1"/>
                    <w:lang w:val="en-GB"/>
                  </w:rPr>
                </w:pPr>
              </w:p>
            </w:tc>
          </w:tr>
        </w:tbl>
        <w:p w14:paraId="5AF82B3C" w14:textId="11A384D4" w:rsidR="00DB728C" w:rsidRPr="00890670" w:rsidRDefault="00DB728C" w:rsidP="00FF3141">
          <w:r w:rsidRPr="00890670">
            <w:br w:type="page"/>
          </w:r>
        </w:p>
      </w:sdtContent>
    </w:sdt>
    <w:p w14:paraId="38E9E198" w14:textId="3F68AC90" w:rsidR="00D948CF" w:rsidRPr="00890670" w:rsidRDefault="00D948CF" w:rsidP="00E426E5">
      <w:pPr>
        <w:pStyle w:val="Heading2"/>
        <w:numPr>
          <w:ilvl w:val="0"/>
          <w:numId w:val="0"/>
        </w:numPr>
        <w:ind w:left="397" w:hanging="397"/>
      </w:pPr>
      <w:bookmarkStart w:id="1" w:name="_Toc232774276"/>
      <w:bookmarkStart w:id="2" w:name="_Toc233640826"/>
      <w:r w:rsidRPr="00D30EC7">
        <w:lastRenderedPageBreak/>
        <w:t>Abstract</w:t>
      </w:r>
      <w:bookmarkEnd w:id="1"/>
      <w:bookmarkEnd w:id="2"/>
    </w:p>
    <w:p w14:paraId="1917D4BD" w14:textId="77777777" w:rsidR="00682131" w:rsidRDefault="00682131" w:rsidP="00682131">
      <w:pPr>
        <w:pStyle w:val="FirstParagraph"/>
      </w:pPr>
      <w:r>
        <w:t>The Relational Event Model (REM) is the standard framework for analysing relational event histories, but it is defined entirely on directed dyads, whereas many real communication processes are multi-receiver, meaning that a single sender addresses several receivers in one event. A common workaround is to transform each multi-receiver event into several dyadic events separated by a small tie-breaking timestamp noise, yet the proportion of multi-receiver events up to which this transformation still recovers the underlying parameters has not been established. We answer this with a controlled simulation in which the dyadic generating parameters are known. Baseline dyadic event histories (</w:t>
      </w:r>
      <m:oMath>
        <m:r>
          <w:rPr>
            <w:rFonts w:ascii="Cambria Math" w:hAnsi="Cambria Math"/>
          </w:rPr>
          <m:t>N</m:t>
        </m:r>
        <m:r>
          <m:rPr>
            <m:sty m:val="p"/>
          </m:rPr>
          <w:rPr>
            <w:rFonts w:ascii="Cambria Math" w:hAnsi="Cambria Math"/>
          </w:rPr>
          <m:t>=</m:t>
        </m:r>
        <m:r>
          <w:rPr>
            <w:rFonts w:ascii="Cambria Math" w:hAnsi="Cambria Math"/>
          </w:rPr>
          <m:t>20</m:t>
        </m:r>
      </m:oMath>
      <w:r>
        <w:t xml:space="preserve"> actors, </w:t>
      </w:r>
      <m:oMath>
        <m:r>
          <w:rPr>
            <w:rFonts w:ascii="Cambria Math" w:hAnsi="Cambria Math"/>
          </w:rPr>
          <m:t>M</m:t>
        </m:r>
        <m:r>
          <m:rPr>
            <m:sty m:val="p"/>
          </m:rPr>
          <w:rPr>
            <w:rFonts w:ascii="Cambria Math" w:hAnsi="Cambria Math"/>
          </w:rPr>
          <m:t>=</m:t>
        </m:r>
        <m:r>
          <w:rPr>
            <w:rFonts w:ascii="Cambria Math" w:hAnsi="Cambria Math"/>
          </w:rPr>
          <m:t>2</m:t>
        </m:r>
        <m:r>
          <m:rPr>
            <m:sty m:val="p"/>
          </m:rPr>
          <w:rPr>
            <w:rFonts w:ascii="Cambria Math" w:hAnsi="Cambria Math"/>
          </w:rPr>
          <m:t>,</m:t>
        </m:r>
        <m:r>
          <w:rPr>
            <w:rFonts w:ascii="Cambria Math" w:hAnsi="Cambria Math"/>
          </w:rPr>
          <m:t>000</m:t>
        </m:r>
      </m:oMath>
      <w:r>
        <w:t xml:space="preserve"> events) are perturbed by randomly tagging an additional receiver onto a controlled proportion of events, the dyadic transformation is applied, and the refitted REM coefficients are compared against the known truth across 28 independent baseline datasets, with a native Relational Hyperevent Model reported as a contextual benchmark. Acceptability is judged by a pre-specified per-effect recovery-noise band. The result is a three-zone operating range: recovery is reliable up to a multi-r</w:t>
      </w:r>
      <w:proofErr w:type="spellStart"/>
      <w:r>
        <w:t>eceiver</w:t>
      </w:r>
      <w:proofErr w:type="spellEnd"/>
      <w:r>
        <w:t xml:space="preserve"> share of about 8%, borderline between 8% and roughly 12%, and unreliable above 12%, with the triadic outgoing-two-paths effect binding first. For shares above roughly 12% we recommend a native multi-receiver model such as the relational hyperevent model, a restructuring of the data, or another estimator designed for polyadic events, in place of the dyadic transformation.</w:t>
      </w:r>
    </w:p>
    <w:p w14:paraId="424914B3" w14:textId="77777777" w:rsidR="00682131" w:rsidRDefault="00682131" w:rsidP="00682131">
      <w:pPr>
        <w:pStyle w:val="BodyText"/>
      </w:pPr>
      <w:r>
        <w:rPr>
          <w:b/>
          <w:bCs/>
        </w:rPr>
        <w:t>Keywords:</w:t>
      </w:r>
      <w:r>
        <w:t xml:space="preserve"> relational event model, relational hyperevent model, multicast, dyadic transformation, parameter recovery, simulation study</w:t>
      </w:r>
    </w:p>
    <w:p w14:paraId="265F601D" w14:textId="77777777" w:rsidR="00D948CF" w:rsidRPr="00890670" w:rsidRDefault="00D948CF" w:rsidP="00FF3141">
      <w:pPr>
        <w:rPr>
          <w:rFonts w:asciiTheme="majorHAnsi" w:eastAsiaTheme="majorEastAsia" w:hAnsiTheme="majorHAnsi" w:cstheme="majorBidi"/>
          <w:color w:val="0F4761" w:themeColor="accent1" w:themeShade="BF"/>
          <w:sz w:val="32"/>
          <w:szCs w:val="32"/>
        </w:rPr>
      </w:pPr>
      <w:r w:rsidRPr="00890670">
        <w:br w:type="page"/>
      </w:r>
    </w:p>
    <w:bookmarkStart w:id="3" w:name="_Toc232774277" w:displacedByCustomXml="next"/>
    <w:bookmarkStart w:id="4" w:name="_Toc233640827" w:displacedByCustomXml="next"/>
    <w:sdt>
      <w:sdtPr>
        <w:rPr>
          <w:rFonts w:asciiTheme="minorHAnsi" w:eastAsiaTheme="minorEastAsia" w:hAnsiTheme="minorHAnsi" w:cstheme="minorBidi"/>
          <w:b w:val="0"/>
          <w:bCs w:val="0"/>
          <w:sz w:val="24"/>
          <w:szCs w:val="24"/>
        </w:rPr>
        <w:id w:val="555366332"/>
        <w:docPartObj>
          <w:docPartGallery w:val="Table of Contents"/>
          <w:docPartUnique/>
        </w:docPartObj>
      </w:sdtPr>
      <w:sdtContent>
        <w:bookmarkEnd w:id="3" w:displacedByCustomXml="prev"/>
        <w:p w14:paraId="21BBB428" w14:textId="77777777" w:rsidR="00432EC8" w:rsidRDefault="00E426E5" w:rsidP="00E426E5">
          <w:pPr>
            <w:pStyle w:val="Heading2"/>
            <w:numPr>
              <w:ilvl w:val="0"/>
              <w:numId w:val="0"/>
            </w:numPr>
            <w:ind w:left="397" w:hanging="397"/>
            <w:rPr>
              <w:noProof/>
            </w:rPr>
          </w:pPr>
          <w:r w:rsidRPr="00E426E5">
            <w:t>Table of Contents</w:t>
          </w:r>
          <w:bookmarkEnd w:id="4"/>
          <w:r w:rsidR="0026249A" w:rsidRPr="00E426E5">
            <w:rPr>
              <w:sz w:val="4"/>
              <w:szCs w:val="4"/>
            </w:rPr>
            <w:fldChar w:fldCharType="begin"/>
          </w:r>
          <w:r w:rsidR="0026249A" w:rsidRPr="00E426E5">
            <w:rPr>
              <w:sz w:val="4"/>
              <w:szCs w:val="4"/>
            </w:rPr>
            <w:instrText xml:space="preserve"> TOC \o "1-3" \h \z \u </w:instrText>
          </w:r>
          <w:r w:rsidR="0026249A" w:rsidRPr="00E426E5">
            <w:rPr>
              <w:sz w:val="4"/>
              <w:szCs w:val="4"/>
            </w:rPr>
            <w:fldChar w:fldCharType="separate"/>
          </w:r>
        </w:p>
        <w:p w14:paraId="0EF742CB" w14:textId="0B082F4A" w:rsidR="00432EC8" w:rsidRPr="00432EC8" w:rsidRDefault="00432EC8">
          <w:pPr>
            <w:pStyle w:val="TOC2"/>
            <w:tabs>
              <w:tab w:val="left" w:pos="720"/>
              <w:tab w:val="right" w:leader="dot" w:pos="9350"/>
            </w:tabs>
            <w:rPr>
              <w:noProof/>
              <w:kern w:val="2"/>
              <w:sz w:val="20"/>
              <w:szCs w:val="20"/>
              <w:lang/>
              <w14:ligatures w14:val="standardContextual"/>
            </w:rPr>
          </w:pPr>
          <w:hyperlink w:anchor="_Toc233640828" w:history="1">
            <w:r w:rsidRPr="00432EC8">
              <w:rPr>
                <w:rStyle w:val="Hyperlink"/>
                <w:noProof/>
                <w:sz w:val="20"/>
                <w:szCs w:val="20"/>
              </w:rPr>
              <w:t>1.</w:t>
            </w:r>
            <w:r w:rsidRPr="00432EC8">
              <w:rPr>
                <w:noProof/>
                <w:kern w:val="2"/>
                <w:sz w:val="20"/>
                <w:szCs w:val="20"/>
                <w:lang/>
                <w14:ligatures w14:val="standardContextual"/>
              </w:rPr>
              <w:tab/>
            </w:r>
            <w:r w:rsidRPr="00432EC8">
              <w:rPr>
                <w:rStyle w:val="Hyperlink"/>
                <w:noProof/>
                <w:sz w:val="20"/>
                <w:szCs w:val="20"/>
              </w:rPr>
              <w:t>Introduction</w:t>
            </w:r>
            <w:r w:rsidRPr="00432EC8">
              <w:rPr>
                <w:noProof/>
                <w:webHidden/>
                <w:sz w:val="20"/>
                <w:szCs w:val="20"/>
              </w:rPr>
              <w:tab/>
            </w:r>
            <w:r w:rsidRPr="00432EC8">
              <w:rPr>
                <w:noProof/>
                <w:webHidden/>
                <w:sz w:val="20"/>
                <w:szCs w:val="20"/>
              </w:rPr>
              <w:fldChar w:fldCharType="begin"/>
            </w:r>
            <w:r w:rsidRPr="00432EC8">
              <w:rPr>
                <w:noProof/>
                <w:webHidden/>
                <w:sz w:val="20"/>
                <w:szCs w:val="20"/>
              </w:rPr>
              <w:instrText xml:space="preserve"> PAGEREF _Toc233640828 \h </w:instrText>
            </w:r>
            <w:r w:rsidRPr="00432EC8">
              <w:rPr>
                <w:noProof/>
                <w:webHidden/>
                <w:sz w:val="20"/>
                <w:szCs w:val="20"/>
              </w:rPr>
            </w:r>
            <w:r w:rsidRPr="00432EC8">
              <w:rPr>
                <w:noProof/>
                <w:webHidden/>
                <w:sz w:val="20"/>
                <w:szCs w:val="20"/>
              </w:rPr>
              <w:fldChar w:fldCharType="separate"/>
            </w:r>
            <w:r>
              <w:rPr>
                <w:noProof/>
                <w:webHidden/>
                <w:sz w:val="20"/>
                <w:szCs w:val="20"/>
              </w:rPr>
              <w:t>3</w:t>
            </w:r>
            <w:r w:rsidRPr="00432EC8">
              <w:rPr>
                <w:noProof/>
                <w:webHidden/>
                <w:sz w:val="20"/>
                <w:szCs w:val="20"/>
              </w:rPr>
              <w:fldChar w:fldCharType="end"/>
            </w:r>
          </w:hyperlink>
        </w:p>
        <w:p w14:paraId="3ECA27D5" w14:textId="3E8D7319" w:rsidR="00432EC8" w:rsidRPr="00432EC8" w:rsidRDefault="00432EC8">
          <w:pPr>
            <w:pStyle w:val="TOC3"/>
            <w:tabs>
              <w:tab w:val="left" w:pos="1200"/>
              <w:tab w:val="right" w:leader="dot" w:pos="9350"/>
            </w:tabs>
            <w:rPr>
              <w:noProof/>
              <w:kern w:val="2"/>
              <w:sz w:val="20"/>
              <w:szCs w:val="20"/>
              <w:lang/>
              <w14:ligatures w14:val="standardContextual"/>
            </w:rPr>
          </w:pPr>
          <w:hyperlink w:anchor="_Toc233640829" w:history="1">
            <w:r w:rsidRPr="00432EC8">
              <w:rPr>
                <w:rStyle w:val="Hyperlink"/>
                <w:noProof/>
                <w:sz w:val="20"/>
                <w:szCs w:val="20"/>
              </w:rPr>
              <w:t>1.1</w:t>
            </w:r>
            <w:r w:rsidRPr="00432EC8">
              <w:rPr>
                <w:noProof/>
                <w:kern w:val="2"/>
                <w:sz w:val="20"/>
                <w:szCs w:val="20"/>
                <w:lang/>
                <w14:ligatures w14:val="standardContextual"/>
              </w:rPr>
              <w:tab/>
            </w:r>
            <w:r w:rsidRPr="00432EC8">
              <w:rPr>
                <w:rStyle w:val="Hyperlink"/>
                <w:noProof/>
                <w:sz w:val="20"/>
                <w:szCs w:val="20"/>
              </w:rPr>
              <w:t>Social networks and relational event history data</w:t>
            </w:r>
            <w:r w:rsidRPr="00432EC8">
              <w:rPr>
                <w:noProof/>
                <w:webHidden/>
                <w:sz w:val="20"/>
                <w:szCs w:val="20"/>
              </w:rPr>
              <w:tab/>
            </w:r>
            <w:r w:rsidRPr="00432EC8">
              <w:rPr>
                <w:noProof/>
                <w:webHidden/>
                <w:sz w:val="20"/>
                <w:szCs w:val="20"/>
              </w:rPr>
              <w:fldChar w:fldCharType="begin"/>
            </w:r>
            <w:r w:rsidRPr="00432EC8">
              <w:rPr>
                <w:noProof/>
                <w:webHidden/>
                <w:sz w:val="20"/>
                <w:szCs w:val="20"/>
              </w:rPr>
              <w:instrText xml:space="preserve"> PAGEREF _Toc233640829 \h </w:instrText>
            </w:r>
            <w:r w:rsidRPr="00432EC8">
              <w:rPr>
                <w:noProof/>
                <w:webHidden/>
                <w:sz w:val="20"/>
                <w:szCs w:val="20"/>
              </w:rPr>
            </w:r>
            <w:r w:rsidRPr="00432EC8">
              <w:rPr>
                <w:noProof/>
                <w:webHidden/>
                <w:sz w:val="20"/>
                <w:szCs w:val="20"/>
              </w:rPr>
              <w:fldChar w:fldCharType="separate"/>
            </w:r>
            <w:r>
              <w:rPr>
                <w:noProof/>
                <w:webHidden/>
                <w:sz w:val="20"/>
                <w:szCs w:val="20"/>
              </w:rPr>
              <w:t>3</w:t>
            </w:r>
            <w:r w:rsidRPr="00432EC8">
              <w:rPr>
                <w:noProof/>
                <w:webHidden/>
                <w:sz w:val="20"/>
                <w:szCs w:val="20"/>
              </w:rPr>
              <w:fldChar w:fldCharType="end"/>
            </w:r>
          </w:hyperlink>
        </w:p>
        <w:p w14:paraId="6C66F828" w14:textId="3B9316E0" w:rsidR="00432EC8" w:rsidRPr="00432EC8" w:rsidRDefault="00432EC8">
          <w:pPr>
            <w:pStyle w:val="TOC3"/>
            <w:tabs>
              <w:tab w:val="left" w:pos="1200"/>
              <w:tab w:val="right" w:leader="dot" w:pos="9350"/>
            </w:tabs>
            <w:rPr>
              <w:noProof/>
              <w:kern w:val="2"/>
              <w:sz w:val="20"/>
              <w:szCs w:val="20"/>
              <w:lang/>
              <w14:ligatures w14:val="standardContextual"/>
            </w:rPr>
          </w:pPr>
          <w:hyperlink w:anchor="_Toc233640830" w:history="1">
            <w:r w:rsidRPr="00432EC8">
              <w:rPr>
                <w:rStyle w:val="Hyperlink"/>
                <w:noProof/>
                <w:sz w:val="20"/>
                <w:szCs w:val="20"/>
              </w:rPr>
              <w:t>1.2</w:t>
            </w:r>
            <w:r w:rsidRPr="00432EC8">
              <w:rPr>
                <w:noProof/>
                <w:kern w:val="2"/>
                <w:sz w:val="20"/>
                <w:szCs w:val="20"/>
                <w:lang/>
                <w14:ligatures w14:val="standardContextual"/>
              </w:rPr>
              <w:tab/>
            </w:r>
            <w:r w:rsidRPr="00432EC8">
              <w:rPr>
                <w:rStyle w:val="Hyperlink"/>
                <w:noProof/>
                <w:sz w:val="20"/>
                <w:szCs w:val="20"/>
              </w:rPr>
              <w:t>The relational event model</w:t>
            </w:r>
            <w:r w:rsidRPr="00432EC8">
              <w:rPr>
                <w:noProof/>
                <w:webHidden/>
                <w:sz w:val="20"/>
                <w:szCs w:val="20"/>
              </w:rPr>
              <w:tab/>
            </w:r>
            <w:r w:rsidRPr="00432EC8">
              <w:rPr>
                <w:noProof/>
                <w:webHidden/>
                <w:sz w:val="20"/>
                <w:szCs w:val="20"/>
              </w:rPr>
              <w:fldChar w:fldCharType="begin"/>
            </w:r>
            <w:r w:rsidRPr="00432EC8">
              <w:rPr>
                <w:noProof/>
                <w:webHidden/>
                <w:sz w:val="20"/>
                <w:szCs w:val="20"/>
              </w:rPr>
              <w:instrText xml:space="preserve"> PAGEREF _Toc233640830 \h </w:instrText>
            </w:r>
            <w:r w:rsidRPr="00432EC8">
              <w:rPr>
                <w:noProof/>
                <w:webHidden/>
                <w:sz w:val="20"/>
                <w:szCs w:val="20"/>
              </w:rPr>
            </w:r>
            <w:r w:rsidRPr="00432EC8">
              <w:rPr>
                <w:noProof/>
                <w:webHidden/>
                <w:sz w:val="20"/>
                <w:szCs w:val="20"/>
              </w:rPr>
              <w:fldChar w:fldCharType="separate"/>
            </w:r>
            <w:r>
              <w:rPr>
                <w:noProof/>
                <w:webHidden/>
                <w:sz w:val="20"/>
                <w:szCs w:val="20"/>
              </w:rPr>
              <w:t>4</w:t>
            </w:r>
            <w:r w:rsidRPr="00432EC8">
              <w:rPr>
                <w:noProof/>
                <w:webHidden/>
                <w:sz w:val="20"/>
                <w:szCs w:val="20"/>
              </w:rPr>
              <w:fldChar w:fldCharType="end"/>
            </w:r>
          </w:hyperlink>
        </w:p>
        <w:p w14:paraId="454B184F" w14:textId="282C2208" w:rsidR="00432EC8" w:rsidRPr="00432EC8" w:rsidRDefault="00432EC8">
          <w:pPr>
            <w:pStyle w:val="TOC3"/>
            <w:tabs>
              <w:tab w:val="left" w:pos="1200"/>
              <w:tab w:val="right" w:leader="dot" w:pos="9350"/>
            </w:tabs>
            <w:rPr>
              <w:noProof/>
              <w:kern w:val="2"/>
              <w:sz w:val="20"/>
              <w:szCs w:val="20"/>
              <w:lang/>
              <w14:ligatures w14:val="standardContextual"/>
            </w:rPr>
          </w:pPr>
          <w:hyperlink w:anchor="_Toc233640831" w:history="1">
            <w:r w:rsidRPr="00432EC8">
              <w:rPr>
                <w:rStyle w:val="Hyperlink"/>
                <w:noProof/>
                <w:sz w:val="20"/>
                <w:szCs w:val="20"/>
              </w:rPr>
              <w:t>1.3</w:t>
            </w:r>
            <w:r w:rsidRPr="00432EC8">
              <w:rPr>
                <w:noProof/>
                <w:kern w:val="2"/>
                <w:sz w:val="20"/>
                <w:szCs w:val="20"/>
                <w:lang/>
                <w14:ligatures w14:val="standardContextual"/>
              </w:rPr>
              <w:tab/>
            </w:r>
            <w:r w:rsidRPr="00432EC8">
              <w:rPr>
                <w:rStyle w:val="Hyperlink"/>
                <w:noProof/>
                <w:sz w:val="20"/>
                <w:szCs w:val="20"/>
              </w:rPr>
              <w:t>The multi-receiver challenge and the Relational Hyperevent Model</w:t>
            </w:r>
            <w:r w:rsidRPr="00432EC8">
              <w:rPr>
                <w:noProof/>
                <w:webHidden/>
                <w:sz w:val="20"/>
                <w:szCs w:val="20"/>
              </w:rPr>
              <w:tab/>
            </w:r>
            <w:r w:rsidRPr="00432EC8">
              <w:rPr>
                <w:noProof/>
                <w:webHidden/>
                <w:sz w:val="20"/>
                <w:szCs w:val="20"/>
              </w:rPr>
              <w:fldChar w:fldCharType="begin"/>
            </w:r>
            <w:r w:rsidRPr="00432EC8">
              <w:rPr>
                <w:noProof/>
                <w:webHidden/>
                <w:sz w:val="20"/>
                <w:szCs w:val="20"/>
              </w:rPr>
              <w:instrText xml:space="preserve"> PAGEREF _Toc233640831 \h </w:instrText>
            </w:r>
            <w:r w:rsidRPr="00432EC8">
              <w:rPr>
                <w:noProof/>
                <w:webHidden/>
                <w:sz w:val="20"/>
                <w:szCs w:val="20"/>
              </w:rPr>
            </w:r>
            <w:r w:rsidRPr="00432EC8">
              <w:rPr>
                <w:noProof/>
                <w:webHidden/>
                <w:sz w:val="20"/>
                <w:szCs w:val="20"/>
              </w:rPr>
              <w:fldChar w:fldCharType="separate"/>
            </w:r>
            <w:r>
              <w:rPr>
                <w:noProof/>
                <w:webHidden/>
                <w:sz w:val="20"/>
                <w:szCs w:val="20"/>
              </w:rPr>
              <w:t>5</w:t>
            </w:r>
            <w:r w:rsidRPr="00432EC8">
              <w:rPr>
                <w:noProof/>
                <w:webHidden/>
                <w:sz w:val="20"/>
                <w:szCs w:val="20"/>
              </w:rPr>
              <w:fldChar w:fldCharType="end"/>
            </w:r>
          </w:hyperlink>
        </w:p>
        <w:p w14:paraId="6CF05940" w14:textId="00095EE0" w:rsidR="00432EC8" w:rsidRPr="00432EC8" w:rsidRDefault="00432EC8">
          <w:pPr>
            <w:pStyle w:val="TOC3"/>
            <w:tabs>
              <w:tab w:val="left" w:pos="1200"/>
              <w:tab w:val="right" w:leader="dot" w:pos="9350"/>
            </w:tabs>
            <w:rPr>
              <w:noProof/>
              <w:kern w:val="2"/>
              <w:sz w:val="20"/>
              <w:szCs w:val="20"/>
              <w:lang/>
              <w14:ligatures w14:val="standardContextual"/>
            </w:rPr>
          </w:pPr>
          <w:hyperlink w:anchor="_Toc233640832" w:history="1">
            <w:r w:rsidRPr="00432EC8">
              <w:rPr>
                <w:rStyle w:val="Hyperlink"/>
                <w:noProof/>
                <w:sz w:val="20"/>
                <w:szCs w:val="20"/>
              </w:rPr>
              <w:t>1.4</w:t>
            </w:r>
            <w:r w:rsidRPr="00432EC8">
              <w:rPr>
                <w:noProof/>
                <w:kern w:val="2"/>
                <w:sz w:val="20"/>
                <w:szCs w:val="20"/>
                <w:lang/>
                <w14:ligatures w14:val="standardContextual"/>
              </w:rPr>
              <w:tab/>
            </w:r>
            <w:r w:rsidRPr="00432EC8">
              <w:rPr>
                <w:rStyle w:val="Hyperlink"/>
                <w:noProof/>
                <w:sz w:val="20"/>
                <w:szCs w:val="20"/>
              </w:rPr>
              <w:t>Methodological grounding</w:t>
            </w:r>
            <w:r w:rsidRPr="00432EC8">
              <w:rPr>
                <w:noProof/>
                <w:webHidden/>
                <w:sz w:val="20"/>
                <w:szCs w:val="20"/>
              </w:rPr>
              <w:tab/>
            </w:r>
            <w:r w:rsidRPr="00432EC8">
              <w:rPr>
                <w:noProof/>
                <w:webHidden/>
                <w:sz w:val="20"/>
                <w:szCs w:val="20"/>
              </w:rPr>
              <w:fldChar w:fldCharType="begin"/>
            </w:r>
            <w:r w:rsidRPr="00432EC8">
              <w:rPr>
                <w:noProof/>
                <w:webHidden/>
                <w:sz w:val="20"/>
                <w:szCs w:val="20"/>
              </w:rPr>
              <w:instrText xml:space="preserve"> PAGEREF _Toc233640832 \h </w:instrText>
            </w:r>
            <w:r w:rsidRPr="00432EC8">
              <w:rPr>
                <w:noProof/>
                <w:webHidden/>
                <w:sz w:val="20"/>
                <w:szCs w:val="20"/>
              </w:rPr>
            </w:r>
            <w:r w:rsidRPr="00432EC8">
              <w:rPr>
                <w:noProof/>
                <w:webHidden/>
                <w:sz w:val="20"/>
                <w:szCs w:val="20"/>
              </w:rPr>
              <w:fldChar w:fldCharType="separate"/>
            </w:r>
            <w:r>
              <w:rPr>
                <w:noProof/>
                <w:webHidden/>
                <w:sz w:val="20"/>
                <w:szCs w:val="20"/>
              </w:rPr>
              <w:t>7</w:t>
            </w:r>
            <w:r w:rsidRPr="00432EC8">
              <w:rPr>
                <w:noProof/>
                <w:webHidden/>
                <w:sz w:val="20"/>
                <w:szCs w:val="20"/>
              </w:rPr>
              <w:fldChar w:fldCharType="end"/>
            </w:r>
          </w:hyperlink>
        </w:p>
        <w:p w14:paraId="5B9CE230" w14:textId="6F366373" w:rsidR="00432EC8" w:rsidRPr="00432EC8" w:rsidRDefault="00432EC8">
          <w:pPr>
            <w:pStyle w:val="TOC3"/>
            <w:tabs>
              <w:tab w:val="left" w:pos="1200"/>
              <w:tab w:val="right" w:leader="dot" w:pos="9350"/>
            </w:tabs>
            <w:rPr>
              <w:noProof/>
              <w:kern w:val="2"/>
              <w:sz w:val="20"/>
              <w:szCs w:val="20"/>
              <w:lang/>
              <w14:ligatures w14:val="standardContextual"/>
            </w:rPr>
          </w:pPr>
          <w:hyperlink w:anchor="_Toc233640833" w:history="1">
            <w:r w:rsidRPr="00432EC8">
              <w:rPr>
                <w:rStyle w:val="Hyperlink"/>
                <w:noProof/>
                <w:sz w:val="20"/>
                <w:szCs w:val="20"/>
              </w:rPr>
              <w:t>1.5</w:t>
            </w:r>
            <w:r w:rsidRPr="00432EC8">
              <w:rPr>
                <w:noProof/>
                <w:kern w:val="2"/>
                <w:sz w:val="20"/>
                <w:szCs w:val="20"/>
                <w:lang/>
                <w14:ligatures w14:val="standardContextual"/>
              </w:rPr>
              <w:tab/>
            </w:r>
            <w:r w:rsidRPr="00432EC8">
              <w:rPr>
                <w:rStyle w:val="Hyperlink"/>
                <w:noProof/>
                <w:sz w:val="20"/>
                <w:szCs w:val="20"/>
              </w:rPr>
              <w:t>Current research</w:t>
            </w:r>
            <w:r w:rsidRPr="00432EC8">
              <w:rPr>
                <w:noProof/>
                <w:webHidden/>
                <w:sz w:val="20"/>
                <w:szCs w:val="20"/>
              </w:rPr>
              <w:tab/>
            </w:r>
            <w:r w:rsidRPr="00432EC8">
              <w:rPr>
                <w:noProof/>
                <w:webHidden/>
                <w:sz w:val="20"/>
                <w:szCs w:val="20"/>
              </w:rPr>
              <w:fldChar w:fldCharType="begin"/>
            </w:r>
            <w:r w:rsidRPr="00432EC8">
              <w:rPr>
                <w:noProof/>
                <w:webHidden/>
                <w:sz w:val="20"/>
                <w:szCs w:val="20"/>
              </w:rPr>
              <w:instrText xml:space="preserve"> PAGEREF _Toc233640833 \h </w:instrText>
            </w:r>
            <w:r w:rsidRPr="00432EC8">
              <w:rPr>
                <w:noProof/>
                <w:webHidden/>
                <w:sz w:val="20"/>
                <w:szCs w:val="20"/>
              </w:rPr>
            </w:r>
            <w:r w:rsidRPr="00432EC8">
              <w:rPr>
                <w:noProof/>
                <w:webHidden/>
                <w:sz w:val="20"/>
                <w:szCs w:val="20"/>
              </w:rPr>
              <w:fldChar w:fldCharType="separate"/>
            </w:r>
            <w:r>
              <w:rPr>
                <w:noProof/>
                <w:webHidden/>
                <w:sz w:val="20"/>
                <w:szCs w:val="20"/>
              </w:rPr>
              <w:t>7</w:t>
            </w:r>
            <w:r w:rsidRPr="00432EC8">
              <w:rPr>
                <w:noProof/>
                <w:webHidden/>
                <w:sz w:val="20"/>
                <w:szCs w:val="20"/>
              </w:rPr>
              <w:fldChar w:fldCharType="end"/>
            </w:r>
          </w:hyperlink>
        </w:p>
        <w:p w14:paraId="2C9E21AE" w14:textId="4542ED68" w:rsidR="00432EC8" w:rsidRPr="00432EC8" w:rsidRDefault="00432EC8">
          <w:pPr>
            <w:pStyle w:val="TOC2"/>
            <w:tabs>
              <w:tab w:val="left" w:pos="720"/>
              <w:tab w:val="right" w:leader="dot" w:pos="9350"/>
            </w:tabs>
            <w:rPr>
              <w:noProof/>
              <w:kern w:val="2"/>
              <w:sz w:val="20"/>
              <w:szCs w:val="20"/>
              <w:lang/>
              <w14:ligatures w14:val="standardContextual"/>
            </w:rPr>
          </w:pPr>
          <w:hyperlink w:anchor="_Toc233640834" w:history="1">
            <w:r w:rsidRPr="00432EC8">
              <w:rPr>
                <w:rStyle w:val="Hyperlink"/>
                <w:noProof/>
                <w:sz w:val="20"/>
                <w:szCs w:val="20"/>
              </w:rPr>
              <w:t>2.</w:t>
            </w:r>
            <w:r w:rsidRPr="00432EC8">
              <w:rPr>
                <w:noProof/>
                <w:kern w:val="2"/>
                <w:sz w:val="20"/>
                <w:szCs w:val="20"/>
                <w:lang/>
                <w14:ligatures w14:val="standardContextual"/>
              </w:rPr>
              <w:tab/>
            </w:r>
            <w:r w:rsidRPr="00432EC8">
              <w:rPr>
                <w:rStyle w:val="Hyperlink"/>
                <w:noProof/>
                <w:sz w:val="20"/>
                <w:szCs w:val="20"/>
              </w:rPr>
              <w:t>Methodology</w:t>
            </w:r>
            <w:r w:rsidRPr="00432EC8">
              <w:rPr>
                <w:noProof/>
                <w:webHidden/>
                <w:sz w:val="20"/>
                <w:szCs w:val="20"/>
              </w:rPr>
              <w:tab/>
            </w:r>
            <w:r w:rsidRPr="00432EC8">
              <w:rPr>
                <w:noProof/>
                <w:webHidden/>
                <w:sz w:val="20"/>
                <w:szCs w:val="20"/>
              </w:rPr>
              <w:fldChar w:fldCharType="begin"/>
            </w:r>
            <w:r w:rsidRPr="00432EC8">
              <w:rPr>
                <w:noProof/>
                <w:webHidden/>
                <w:sz w:val="20"/>
                <w:szCs w:val="20"/>
              </w:rPr>
              <w:instrText xml:space="preserve"> PAGEREF _Toc233640834 \h </w:instrText>
            </w:r>
            <w:r w:rsidRPr="00432EC8">
              <w:rPr>
                <w:noProof/>
                <w:webHidden/>
                <w:sz w:val="20"/>
                <w:szCs w:val="20"/>
              </w:rPr>
            </w:r>
            <w:r w:rsidRPr="00432EC8">
              <w:rPr>
                <w:noProof/>
                <w:webHidden/>
                <w:sz w:val="20"/>
                <w:szCs w:val="20"/>
              </w:rPr>
              <w:fldChar w:fldCharType="separate"/>
            </w:r>
            <w:r>
              <w:rPr>
                <w:noProof/>
                <w:webHidden/>
                <w:sz w:val="20"/>
                <w:szCs w:val="20"/>
              </w:rPr>
              <w:t>8</w:t>
            </w:r>
            <w:r w:rsidRPr="00432EC8">
              <w:rPr>
                <w:noProof/>
                <w:webHidden/>
                <w:sz w:val="20"/>
                <w:szCs w:val="20"/>
              </w:rPr>
              <w:fldChar w:fldCharType="end"/>
            </w:r>
          </w:hyperlink>
        </w:p>
        <w:p w14:paraId="497EECAC" w14:textId="49F6B341" w:rsidR="00432EC8" w:rsidRPr="00432EC8" w:rsidRDefault="00432EC8">
          <w:pPr>
            <w:pStyle w:val="TOC3"/>
            <w:tabs>
              <w:tab w:val="left" w:pos="1200"/>
              <w:tab w:val="right" w:leader="dot" w:pos="9350"/>
            </w:tabs>
            <w:rPr>
              <w:noProof/>
              <w:kern w:val="2"/>
              <w:sz w:val="20"/>
              <w:szCs w:val="20"/>
              <w:lang/>
              <w14:ligatures w14:val="standardContextual"/>
            </w:rPr>
          </w:pPr>
          <w:hyperlink w:anchor="_Toc233640835" w:history="1">
            <w:r w:rsidRPr="00432EC8">
              <w:rPr>
                <w:rStyle w:val="Hyperlink"/>
                <w:noProof/>
                <w:sz w:val="20"/>
                <w:szCs w:val="20"/>
              </w:rPr>
              <w:t>2.1</w:t>
            </w:r>
            <w:r w:rsidRPr="00432EC8">
              <w:rPr>
                <w:noProof/>
                <w:kern w:val="2"/>
                <w:sz w:val="20"/>
                <w:szCs w:val="20"/>
                <w:lang/>
                <w14:ligatures w14:val="standardContextual"/>
              </w:rPr>
              <w:tab/>
            </w:r>
            <w:r w:rsidRPr="00432EC8">
              <w:rPr>
                <w:rStyle w:val="Hyperlink"/>
                <w:noProof/>
                <w:sz w:val="20"/>
                <w:szCs w:val="20"/>
              </w:rPr>
              <w:t>Data source and baseline data-generating process</w:t>
            </w:r>
            <w:r w:rsidRPr="00432EC8">
              <w:rPr>
                <w:noProof/>
                <w:webHidden/>
                <w:sz w:val="20"/>
                <w:szCs w:val="20"/>
              </w:rPr>
              <w:tab/>
            </w:r>
            <w:r w:rsidRPr="00432EC8">
              <w:rPr>
                <w:noProof/>
                <w:webHidden/>
                <w:sz w:val="20"/>
                <w:szCs w:val="20"/>
              </w:rPr>
              <w:fldChar w:fldCharType="begin"/>
            </w:r>
            <w:r w:rsidRPr="00432EC8">
              <w:rPr>
                <w:noProof/>
                <w:webHidden/>
                <w:sz w:val="20"/>
                <w:szCs w:val="20"/>
              </w:rPr>
              <w:instrText xml:space="preserve"> PAGEREF _Toc233640835 \h </w:instrText>
            </w:r>
            <w:r w:rsidRPr="00432EC8">
              <w:rPr>
                <w:noProof/>
                <w:webHidden/>
                <w:sz w:val="20"/>
                <w:szCs w:val="20"/>
              </w:rPr>
            </w:r>
            <w:r w:rsidRPr="00432EC8">
              <w:rPr>
                <w:noProof/>
                <w:webHidden/>
                <w:sz w:val="20"/>
                <w:szCs w:val="20"/>
              </w:rPr>
              <w:fldChar w:fldCharType="separate"/>
            </w:r>
            <w:r>
              <w:rPr>
                <w:noProof/>
                <w:webHidden/>
                <w:sz w:val="20"/>
                <w:szCs w:val="20"/>
              </w:rPr>
              <w:t>8</w:t>
            </w:r>
            <w:r w:rsidRPr="00432EC8">
              <w:rPr>
                <w:noProof/>
                <w:webHidden/>
                <w:sz w:val="20"/>
                <w:szCs w:val="20"/>
              </w:rPr>
              <w:fldChar w:fldCharType="end"/>
            </w:r>
          </w:hyperlink>
        </w:p>
        <w:p w14:paraId="254A61DF" w14:textId="0D910596" w:rsidR="00432EC8" w:rsidRPr="00432EC8" w:rsidRDefault="00432EC8">
          <w:pPr>
            <w:pStyle w:val="TOC3"/>
            <w:tabs>
              <w:tab w:val="left" w:pos="1200"/>
              <w:tab w:val="right" w:leader="dot" w:pos="9350"/>
            </w:tabs>
            <w:rPr>
              <w:noProof/>
              <w:kern w:val="2"/>
              <w:sz w:val="20"/>
              <w:szCs w:val="20"/>
              <w:lang/>
              <w14:ligatures w14:val="standardContextual"/>
            </w:rPr>
          </w:pPr>
          <w:hyperlink w:anchor="_Toc233640836" w:history="1">
            <w:r w:rsidRPr="00432EC8">
              <w:rPr>
                <w:rStyle w:val="Hyperlink"/>
                <w:noProof/>
                <w:sz w:val="20"/>
                <w:szCs w:val="20"/>
              </w:rPr>
              <w:t>2.2</w:t>
            </w:r>
            <w:r w:rsidRPr="00432EC8">
              <w:rPr>
                <w:noProof/>
                <w:kern w:val="2"/>
                <w:sz w:val="20"/>
                <w:szCs w:val="20"/>
                <w:lang/>
                <w14:ligatures w14:val="standardContextual"/>
              </w:rPr>
              <w:tab/>
            </w:r>
            <w:r w:rsidRPr="00432EC8">
              <w:rPr>
                <w:rStyle w:val="Hyperlink"/>
                <w:noProof/>
                <w:sz w:val="20"/>
                <w:szCs w:val="20"/>
              </w:rPr>
              <w:t>Multi-receiver construction</w:t>
            </w:r>
            <w:r w:rsidRPr="00432EC8">
              <w:rPr>
                <w:noProof/>
                <w:webHidden/>
                <w:sz w:val="20"/>
                <w:szCs w:val="20"/>
              </w:rPr>
              <w:tab/>
            </w:r>
            <w:r w:rsidRPr="00432EC8">
              <w:rPr>
                <w:noProof/>
                <w:webHidden/>
                <w:sz w:val="20"/>
                <w:szCs w:val="20"/>
              </w:rPr>
              <w:fldChar w:fldCharType="begin"/>
            </w:r>
            <w:r w:rsidRPr="00432EC8">
              <w:rPr>
                <w:noProof/>
                <w:webHidden/>
                <w:sz w:val="20"/>
                <w:szCs w:val="20"/>
              </w:rPr>
              <w:instrText xml:space="preserve"> PAGEREF _Toc233640836 \h </w:instrText>
            </w:r>
            <w:r w:rsidRPr="00432EC8">
              <w:rPr>
                <w:noProof/>
                <w:webHidden/>
                <w:sz w:val="20"/>
                <w:szCs w:val="20"/>
              </w:rPr>
            </w:r>
            <w:r w:rsidRPr="00432EC8">
              <w:rPr>
                <w:noProof/>
                <w:webHidden/>
                <w:sz w:val="20"/>
                <w:szCs w:val="20"/>
              </w:rPr>
              <w:fldChar w:fldCharType="separate"/>
            </w:r>
            <w:r>
              <w:rPr>
                <w:noProof/>
                <w:webHidden/>
                <w:sz w:val="20"/>
                <w:szCs w:val="20"/>
              </w:rPr>
              <w:t>10</w:t>
            </w:r>
            <w:r w:rsidRPr="00432EC8">
              <w:rPr>
                <w:noProof/>
                <w:webHidden/>
                <w:sz w:val="20"/>
                <w:szCs w:val="20"/>
              </w:rPr>
              <w:fldChar w:fldCharType="end"/>
            </w:r>
          </w:hyperlink>
        </w:p>
        <w:p w14:paraId="31996441" w14:textId="20D9716B" w:rsidR="00432EC8" w:rsidRPr="00432EC8" w:rsidRDefault="00432EC8">
          <w:pPr>
            <w:pStyle w:val="TOC3"/>
            <w:tabs>
              <w:tab w:val="left" w:pos="1200"/>
              <w:tab w:val="right" w:leader="dot" w:pos="9350"/>
            </w:tabs>
            <w:rPr>
              <w:noProof/>
              <w:kern w:val="2"/>
              <w:sz w:val="20"/>
              <w:szCs w:val="20"/>
              <w:lang/>
              <w14:ligatures w14:val="standardContextual"/>
            </w:rPr>
          </w:pPr>
          <w:hyperlink w:anchor="_Toc233640837" w:history="1">
            <w:r w:rsidRPr="00432EC8">
              <w:rPr>
                <w:rStyle w:val="Hyperlink"/>
                <w:noProof/>
                <w:sz w:val="20"/>
                <w:szCs w:val="20"/>
              </w:rPr>
              <w:t>2.3</w:t>
            </w:r>
            <w:r w:rsidRPr="00432EC8">
              <w:rPr>
                <w:noProof/>
                <w:kern w:val="2"/>
                <w:sz w:val="20"/>
                <w:szCs w:val="20"/>
                <w:lang/>
                <w14:ligatures w14:val="standardContextual"/>
              </w:rPr>
              <w:tab/>
            </w:r>
            <w:r w:rsidRPr="00432EC8">
              <w:rPr>
                <w:rStyle w:val="Hyperlink"/>
                <w:noProof/>
                <w:sz w:val="20"/>
                <w:szCs w:val="20"/>
              </w:rPr>
              <w:t>Tie-breaking timestamp-noise transformation</w:t>
            </w:r>
            <w:r w:rsidRPr="00432EC8">
              <w:rPr>
                <w:noProof/>
                <w:webHidden/>
                <w:sz w:val="20"/>
                <w:szCs w:val="20"/>
              </w:rPr>
              <w:tab/>
            </w:r>
            <w:r w:rsidRPr="00432EC8">
              <w:rPr>
                <w:noProof/>
                <w:webHidden/>
                <w:sz w:val="20"/>
                <w:szCs w:val="20"/>
              </w:rPr>
              <w:fldChar w:fldCharType="begin"/>
            </w:r>
            <w:r w:rsidRPr="00432EC8">
              <w:rPr>
                <w:noProof/>
                <w:webHidden/>
                <w:sz w:val="20"/>
                <w:szCs w:val="20"/>
              </w:rPr>
              <w:instrText xml:space="preserve"> PAGEREF _Toc233640837 \h </w:instrText>
            </w:r>
            <w:r w:rsidRPr="00432EC8">
              <w:rPr>
                <w:noProof/>
                <w:webHidden/>
                <w:sz w:val="20"/>
                <w:szCs w:val="20"/>
              </w:rPr>
            </w:r>
            <w:r w:rsidRPr="00432EC8">
              <w:rPr>
                <w:noProof/>
                <w:webHidden/>
                <w:sz w:val="20"/>
                <w:szCs w:val="20"/>
              </w:rPr>
              <w:fldChar w:fldCharType="separate"/>
            </w:r>
            <w:r>
              <w:rPr>
                <w:noProof/>
                <w:webHidden/>
                <w:sz w:val="20"/>
                <w:szCs w:val="20"/>
              </w:rPr>
              <w:t>11</w:t>
            </w:r>
            <w:r w:rsidRPr="00432EC8">
              <w:rPr>
                <w:noProof/>
                <w:webHidden/>
                <w:sz w:val="20"/>
                <w:szCs w:val="20"/>
              </w:rPr>
              <w:fldChar w:fldCharType="end"/>
            </w:r>
          </w:hyperlink>
        </w:p>
        <w:p w14:paraId="64A7ECF3" w14:textId="5A850DE8" w:rsidR="00432EC8" w:rsidRPr="00432EC8" w:rsidRDefault="00432EC8">
          <w:pPr>
            <w:pStyle w:val="TOC3"/>
            <w:tabs>
              <w:tab w:val="left" w:pos="1200"/>
              <w:tab w:val="right" w:leader="dot" w:pos="9350"/>
            </w:tabs>
            <w:rPr>
              <w:noProof/>
              <w:kern w:val="2"/>
              <w:sz w:val="20"/>
              <w:szCs w:val="20"/>
              <w:lang/>
              <w14:ligatures w14:val="standardContextual"/>
            </w:rPr>
          </w:pPr>
          <w:hyperlink w:anchor="_Toc233640838" w:history="1">
            <w:r w:rsidRPr="00432EC8">
              <w:rPr>
                <w:rStyle w:val="Hyperlink"/>
                <w:noProof/>
                <w:sz w:val="20"/>
                <w:szCs w:val="20"/>
              </w:rPr>
              <w:t>2.4</w:t>
            </w:r>
            <w:r w:rsidRPr="00432EC8">
              <w:rPr>
                <w:noProof/>
                <w:kern w:val="2"/>
                <w:sz w:val="20"/>
                <w:szCs w:val="20"/>
                <w:lang/>
                <w14:ligatures w14:val="standardContextual"/>
              </w:rPr>
              <w:tab/>
            </w:r>
            <w:r w:rsidRPr="00432EC8">
              <w:rPr>
                <w:rStyle w:val="Hyperlink"/>
                <w:noProof/>
                <w:sz w:val="20"/>
                <w:szCs w:val="20"/>
              </w:rPr>
              <w:t>Dyadic REM estimation</w:t>
            </w:r>
            <w:r w:rsidRPr="00432EC8">
              <w:rPr>
                <w:noProof/>
                <w:webHidden/>
                <w:sz w:val="20"/>
                <w:szCs w:val="20"/>
              </w:rPr>
              <w:tab/>
            </w:r>
            <w:r w:rsidRPr="00432EC8">
              <w:rPr>
                <w:noProof/>
                <w:webHidden/>
                <w:sz w:val="20"/>
                <w:szCs w:val="20"/>
              </w:rPr>
              <w:fldChar w:fldCharType="begin"/>
            </w:r>
            <w:r w:rsidRPr="00432EC8">
              <w:rPr>
                <w:noProof/>
                <w:webHidden/>
                <w:sz w:val="20"/>
                <w:szCs w:val="20"/>
              </w:rPr>
              <w:instrText xml:space="preserve"> PAGEREF _Toc233640838 \h </w:instrText>
            </w:r>
            <w:r w:rsidRPr="00432EC8">
              <w:rPr>
                <w:noProof/>
                <w:webHidden/>
                <w:sz w:val="20"/>
                <w:szCs w:val="20"/>
              </w:rPr>
            </w:r>
            <w:r w:rsidRPr="00432EC8">
              <w:rPr>
                <w:noProof/>
                <w:webHidden/>
                <w:sz w:val="20"/>
                <w:szCs w:val="20"/>
              </w:rPr>
              <w:fldChar w:fldCharType="separate"/>
            </w:r>
            <w:r>
              <w:rPr>
                <w:noProof/>
                <w:webHidden/>
                <w:sz w:val="20"/>
                <w:szCs w:val="20"/>
              </w:rPr>
              <w:t>12</w:t>
            </w:r>
            <w:r w:rsidRPr="00432EC8">
              <w:rPr>
                <w:noProof/>
                <w:webHidden/>
                <w:sz w:val="20"/>
                <w:szCs w:val="20"/>
              </w:rPr>
              <w:fldChar w:fldCharType="end"/>
            </w:r>
          </w:hyperlink>
        </w:p>
        <w:p w14:paraId="193A103B" w14:textId="112380EC" w:rsidR="00432EC8" w:rsidRPr="00432EC8" w:rsidRDefault="00432EC8">
          <w:pPr>
            <w:pStyle w:val="TOC3"/>
            <w:tabs>
              <w:tab w:val="left" w:pos="1200"/>
              <w:tab w:val="right" w:leader="dot" w:pos="9350"/>
            </w:tabs>
            <w:rPr>
              <w:noProof/>
              <w:kern w:val="2"/>
              <w:sz w:val="20"/>
              <w:szCs w:val="20"/>
              <w:lang/>
              <w14:ligatures w14:val="standardContextual"/>
            </w:rPr>
          </w:pPr>
          <w:hyperlink w:anchor="_Toc233640839" w:history="1">
            <w:r w:rsidRPr="00432EC8">
              <w:rPr>
                <w:rStyle w:val="Hyperlink"/>
                <w:noProof/>
                <w:sz w:val="20"/>
                <w:szCs w:val="20"/>
              </w:rPr>
              <w:t>2.5</w:t>
            </w:r>
            <w:r w:rsidRPr="00432EC8">
              <w:rPr>
                <w:noProof/>
                <w:kern w:val="2"/>
                <w:sz w:val="20"/>
                <w:szCs w:val="20"/>
                <w:lang/>
                <w14:ligatures w14:val="standardContextual"/>
              </w:rPr>
              <w:tab/>
            </w:r>
            <w:r w:rsidRPr="00432EC8">
              <w:rPr>
                <w:rStyle w:val="Hyperlink"/>
                <w:noProof/>
                <w:sz w:val="20"/>
                <w:szCs w:val="20"/>
              </w:rPr>
              <w:t>RHEM benchmark</w:t>
            </w:r>
            <w:r w:rsidRPr="00432EC8">
              <w:rPr>
                <w:noProof/>
                <w:webHidden/>
                <w:sz w:val="20"/>
                <w:szCs w:val="20"/>
              </w:rPr>
              <w:tab/>
            </w:r>
            <w:r w:rsidRPr="00432EC8">
              <w:rPr>
                <w:noProof/>
                <w:webHidden/>
                <w:sz w:val="20"/>
                <w:szCs w:val="20"/>
              </w:rPr>
              <w:fldChar w:fldCharType="begin"/>
            </w:r>
            <w:r w:rsidRPr="00432EC8">
              <w:rPr>
                <w:noProof/>
                <w:webHidden/>
                <w:sz w:val="20"/>
                <w:szCs w:val="20"/>
              </w:rPr>
              <w:instrText xml:space="preserve"> PAGEREF _Toc233640839 \h </w:instrText>
            </w:r>
            <w:r w:rsidRPr="00432EC8">
              <w:rPr>
                <w:noProof/>
                <w:webHidden/>
                <w:sz w:val="20"/>
                <w:szCs w:val="20"/>
              </w:rPr>
            </w:r>
            <w:r w:rsidRPr="00432EC8">
              <w:rPr>
                <w:noProof/>
                <w:webHidden/>
                <w:sz w:val="20"/>
                <w:szCs w:val="20"/>
              </w:rPr>
              <w:fldChar w:fldCharType="separate"/>
            </w:r>
            <w:r>
              <w:rPr>
                <w:noProof/>
                <w:webHidden/>
                <w:sz w:val="20"/>
                <w:szCs w:val="20"/>
              </w:rPr>
              <w:t>12</w:t>
            </w:r>
            <w:r w:rsidRPr="00432EC8">
              <w:rPr>
                <w:noProof/>
                <w:webHidden/>
                <w:sz w:val="20"/>
                <w:szCs w:val="20"/>
              </w:rPr>
              <w:fldChar w:fldCharType="end"/>
            </w:r>
          </w:hyperlink>
        </w:p>
        <w:p w14:paraId="638D54C3" w14:textId="4A05E40E" w:rsidR="00432EC8" w:rsidRPr="00432EC8" w:rsidRDefault="00432EC8">
          <w:pPr>
            <w:pStyle w:val="TOC3"/>
            <w:tabs>
              <w:tab w:val="left" w:pos="1200"/>
              <w:tab w:val="right" w:leader="dot" w:pos="9350"/>
            </w:tabs>
            <w:rPr>
              <w:noProof/>
              <w:kern w:val="2"/>
              <w:sz w:val="20"/>
              <w:szCs w:val="20"/>
              <w:lang/>
              <w14:ligatures w14:val="standardContextual"/>
            </w:rPr>
          </w:pPr>
          <w:hyperlink w:anchor="_Toc233640840" w:history="1">
            <w:r w:rsidRPr="00432EC8">
              <w:rPr>
                <w:rStyle w:val="Hyperlink"/>
                <w:noProof/>
                <w:sz w:val="20"/>
                <w:szCs w:val="20"/>
              </w:rPr>
              <w:t>2.6</w:t>
            </w:r>
            <w:r w:rsidRPr="00432EC8">
              <w:rPr>
                <w:noProof/>
                <w:kern w:val="2"/>
                <w:sz w:val="20"/>
                <w:szCs w:val="20"/>
                <w:lang/>
                <w14:ligatures w14:val="standardContextual"/>
              </w:rPr>
              <w:tab/>
            </w:r>
            <w:r w:rsidRPr="00432EC8">
              <w:rPr>
                <w:rStyle w:val="Hyperlink"/>
                <w:noProof/>
                <w:sz w:val="20"/>
                <w:szCs w:val="20"/>
              </w:rPr>
              <w:t>Cross-dataset replication</w:t>
            </w:r>
            <w:r w:rsidRPr="00432EC8">
              <w:rPr>
                <w:noProof/>
                <w:webHidden/>
                <w:sz w:val="20"/>
                <w:szCs w:val="20"/>
              </w:rPr>
              <w:tab/>
            </w:r>
            <w:r w:rsidRPr="00432EC8">
              <w:rPr>
                <w:noProof/>
                <w:webHidden/>
                <w:sz w:val="20"/>
                <w:szCs w:val="20"/>
              </w:rPr>
              <w:fldChar w:fldCharType="begin"/>
            </w:r>
            <w:r w:rsidRPr="00432EC8">
              <w:rPr>
                <w:noProof/>
                <w:webHidden/>
                <w:sz w:val="20"/>
                <w:szCs w:val="20"/>
              </w:rPr>
              <w:instrText xml:space="preserve"> PAGEREF _Toc233640840 \h </w:instrText>
            </w:r>
            <w:r w:rsidRPr="00432EC8">
              <w:rPr>
                <w:noProof/>
                <w:webHidden/>
                <w:sz w:val="20"/>
                <w:szCs w:val="20"/>
              </w:rPr>
            </w:r>
            <w:r w:rsidRPr="00432EC8">
              <w:rPr>
                <w:noProof/>
                <w:webHidden/>
                <w:sz w:val="20"/>
                <w:szCs w:val="20"/>
              </w:rPr>
              <w:fldChar w:fldCharType="separate"/>
            </w:r>
            <w:r>
              <w:rPr>
                <w:noProof/>
                <w:webHidden/>
                <w:sz w:val="20"/>
                <w:szCs w:val="20"/>
              </w:rPr>
              <w:t>13</w:t>
            </w:r>
            <w:r w:rsidRPr="00432EC8">
              <w:rPr>
                <w:noProof/>
                <w:webHidden/>
                <w:sz w:val="20"/>
                <w:szCs w:val="20"/>
              </w:rPr>
              <w:fldChar w:fldCharType="end"/>
            </w:r>
          </w:hyperlink>
        </w:p>
        <w:p w14:paraId="3FF9B8EC" w14:textId="3A956E3F" w:rsidR="00432EC8" w:rsidRPr="00432EC8" w:rsidRDefault="00432EC8">
          <w:pPr>
            <w:pStyle w:val="TOC3"/>
            <w:tabs>
              <w:tab w:val="left" w:pos="1200"/>
              <w:tab w:val="right" w:leader="dot" w:pos="9350"/>
            </w:tabs>
            <w:rPr>
              <w:noProof/>
              <w:kern w:val="2"/>
              <w:sz w:val="20"/>
              <w:szCs w:val="20"/>
              <w:lang/>
              <w14:ligatures w14:val="standardContextual"/>
            </w:rPr>
          </w:pPr>
          <w:hyperlink w:anchor="_Toc233640841" w:history="1">
            <w:r w:rsidRPr="00432EC8">
              <w:rPr>
                <w:rStyle w:val="Hyperlink"/>
                <w:noProof/>
                <w:sz w:val="20"/>
                <w:szCs w:val="20"/>
              </w:rPr>
              <w:t>2.7</w:t>
            </w:r>
            <w:r w:rsidRPr="00432EC8">
              <w:rPr>
                <w:noProof/>
                <w:kern w:val="2"/>
                <w:sz w:val="20"/>
                <w:szCs w:val="20"/>
                <w:lang/>
                <w14:ligatures w14:val="standardContextual"/>
              </w:rPr>
              <w:tab/>
            </w:r>
            <w:r w:rsidRPr="00432EC8">
              <w:rPr>
                <w:rStyle w:val="Hyperlink"/>
                <w:noProof/>
                <w:sz w:val="20"/>
                <w:szCs w:val="20"/>
              </w:rPr>
              <w:t>Acceptability rule and threshold determination</w:t>
            </w:r>
            <w:r w:rsidRPr="00432EC8">
              <w:rPr>
                <w:noProof/>
                <w:webHidden/>
                <w:sz w:val="20"/>
                <w:szCs w:val="20"/>
              </w:rPr>
              <w:tab/>
            </w:r>
            <w:r w:rsidRPr="00432EC8">
              <w:rPr>
                <w:noProof/>
                <w:webHidden/>
                <w:sz w:val="20"/>
                <w:szCs w:val="20"/>
              </w:rPr>
              <w:fldChar w:fldCharType="begin"/>
            </w:r>
            <w:r w:rsidRPr="00432EC8">
              <w:rPr>
                <w:noProof/>
                <w:webHidden/>
                <w:sz w:val="20"/>
                <w:szCs w:val="20"/>
              </w:rPr>
              <w:instrText xml:space="preserve"> PAGEREF _Toc233640841 \h </w:instrText>
            </w:r>
            <w:r w:rsidRPr="00432EC8">
              <w:rPr>
                <w:noProof/>
                <w:webHidden/>
                <w:sz w:val="20"/>
                <w:szCs w:val="20"/>
              </w:rPr>
            </w:r>
            <w:r w:rsidRPr="00432EC8">
              <w:rPr>
                <w:noProof/>
                <w:webHidden/>
                <w:sz w:val="20"/>
                <w:szCs w:val="20"/>
              </w:rPr>
              <w:fldChar w:fldCharType="separate"/>
            </w:r>
            <w:r>
              <w:rPr>
                <w:noProof/>
                <w:webHidden/>
                <w:sz w:val="20"/>
                <w:szCs w:val="20"/>
              </w:rPr>
              <w:t>13</w:t>
            </w:r>
            <w:r w:rsidRPr="00432EC8">
              <w:rPr>
                <w:noProof/>
                <w:webHidden/>
                <w:sz w:val="20"/>
                <w:szCs w:val="20"/>
              </w:rPr>
              <w:fldChar w:fldCharType="end"/>
            </w:r>
          </w:hyperlink>
        </w:p>
        <w:p w14:paraId="6A3807C7" w14:textId="22FDE5CF" w:rsidR="00432EC8" w:rsidRPr="00432EC8" w:rsidRDefault="00432EC8">
          <w:pPr>
            <w:pStyle w:val="TOC2"/>
            <w:tabs>
              <w:tab w:val="left" w:pos="720"/>
              <w:tab w:val="right" w:leader="dot" w:pos="9350"/>
            </w:tabs>
            <w:rPr>
              <w:noProof/>
              <w:kern w:val="2"/>
              <w:sz w:val="20"/>
              <w:szCs w:val="20"/>
              <w:lang/>
              <w14:ligatures w14:val="standardContextual"/>
            </w:rPr>
          </w:pPr>
          <w:hyperlink w:anchor="_Toc233640842" w:history="1">
            <w:r w:rsidRPr="00432EC8">
              <w:rPr>
                <w:rStyle w:val="Hyperlink"/>
                <w:noProof/>
                <w:sz w:val="20"/>
                <w:szCs w:val="20"/>
              </w:rPr>
              <w:t>3.</w:t>
            </w:r>
            <w:r w:rsidRPr="00432EC8">
              <w:rPr>
                <w:noProof/>
                <w:kern w:val="2"/>
                <w:sz w:val="20"/>
                <w:szCs w:val="20"/>
                <w:lang/>
                <w14:ligatures w14:val="standardContextual"/>
              </w:rPr>
              <w:tab/>
            </w:r>
            <w:r w:rsidRPr="00432EC8">
              <w:rPr>
                <w:rStyle w:val="Hyperlink"/>
                <w:noProof/>
                <w:sz w:val="20"/>
                <w:szCs w:val="20"/>
              </w:rPr>
              <w:t>Results and analysis</w:t>
            </w:r>
            <w:r w:rsidRPr="00432EC8">
              <w:rPr>
                <w:noProof/>
                <w:webHidden/>
                <w:sz w:val="20"/>
                <w:szCs w:val="20"/>
              </w:rPr>
              <w:tab/>
            </w:r>
            <w:r w:rsidRPr="00432EC8">
              <w:rPr>
                <w:noProof/>
                <w:webHidden/>
                <w:sz w:val="20"/>
                <w:szCs w:val="20"/>
              </w:rPr>
              <w:fldChar w:fldCharType="begin"/>
            </w:r>
            <w:r w:rsidRPr="00432EC8">
              <w:rPr>
                <w:noProof/>
                <w:webHidden/>
                <w:sz w:val="20"/>
                <w:szCs w:val="20"/>
              </w:rPr>
              <w:instrText xml:space="preserve"> PAGEREF _Toc233640842 \h </w:instrText>
            </w:r>
            <w:r w:rsidRPr="00432EC8">
              <w:rPr>
                <w:noProof/>
                <w:webHidden/>
                <w:sz w:val="20"/>
                <w:szCs w:val="20"/>
              </w:rPr>
            </w:r>
            <w:r w:rsidRPr="00432EC8">
              <w:rPr>
                <w:noProof/>
                <w:webHidden/>
                <w:sz w:val="20"/>
                <w:szCs w:val="20"/>
              </w:rPr>
              <w:fldChar w:fldCharType="separate"/>
            </w:r>
            <w:r>
              <w:rPr>
                <w:noProof/>
                <w:webHidden/>
                <w:sz w:val="20"/>
                <w:szCs w:val="20"/>
              </w:rPr>
              <w:t>15</w:t>
            </w:r>
            <w:r w:rsidRPr="00432EC8">
              <w:rPr>
                <w:noProof/>
                <w:webHidden/>
                <w:sz w:val="20"/>
                <w:szCs w:val="20"/>
              </w:rPr>
              <w:fldChar w:fldCharType="end"/>
            </w:r>
          </w:hyperlink>
        </w:p>
        <w:p w14:paraId="028F5987" w14:textId="3E26FEFE" w:rsidR="00432EC8" w:rsidRPr="00432EC8" w:rsidRDefault="00432EC8">
          <w:pPr>
            <w:pStyle w:val="TOC3"/>
            <w:tabs>
              <w:tab w:val="left" w:pos="1200"/>
              <w:tab w:val="right" w:leader="dot" w:pos="9350"/>
            </w:tabs>
            <w:rPr>
              <w:noProof/>
              <w:kern w:val="2"/>
              <w:sz w:val="20"/>
              <w:szCs w:val="20"/>
              <w:lang/>
              <w14:ligatures w14:val="standardContextual"/>
            </w:rPr>
          </w:pPr>
          <w:hyperlink w:anchor="_Toc233640843" w:history="1">
            <w:r w:rsidRPr="00432EC8">
              <w:rPr>
                <w:rStyle w:val="Hyperlink"/>
                <w:noProof/>
                <w:sz w:val="20"/>
                <w:szCs w:val="20"/>
              </w:rPr>
              <w:t>3.1</w:t>
            </w:r>
            <w:r w:rsidRPr="00432EC8">
              <w:rPr>
                <w:noProof/>
                <w:kern w:val="2"/>
                <w:sz w:val="20"/>
                <w:szCs w:val="20"/>
                <w:lang/>
                <w14:ligatures w14:val="standardContextual"/>
              </w:rPr>
              <w:tab/>
            </w:r>
            <w:r w:rsidRPr="00432EC8">
              <w:rPr>
                <w:rStyle w:val="Hyperlink"/>
                <w:noProof/>
                <w:sz w:val="20"/>
                <w:szCs w:val="20"/>
              </w:rPr>
              <w:t>Per-effect recovery-noise bands</w:t>
            </w:r>
            <w:r w:rsidRPr="00432EC8">
              <w:rPr>
                <w:noProof/>
                <w:webHidden/>
                <w:sz w:val="20"/>
                <w:szCs w:val="20"/>
              </w:rPr>
              <w:tab/>
            </w:r>
            <w:r w:rsidRPr="00432EC8">
              <w:rPr>
                <w:noProof/>
                <w:webHidden/>
                <w:sz w:val="20"/>
                <w:szCs w:val="20"/>
              </w:rPr>
              <w:fldChar w:fldCharType="begin"/>
            </w:r>
            <w:r w:rsidRPr="00432EC8">
              <w:rPr>
                <w:noProof/>
                <w:webHidden/>
                <w:sz w:val="20"/>
                <w:szCs w:val="20"/>
              </w:rPr>
              <w:instrText xml:space="preserve"> PAGEREF _Toc233640843 \h </w:instrText>
            </w:r>
            <w:r w:rsidRPr="00432EC8">
              <w:rPr>
                <w:noProof/>
                <w:webHidden/>
                <w:sz w:val="20"/>
                <w:szCs w:val="20"/>
              </w:rPr>
            </w:r>
            <w:r w:rsidRPr="00432EC8">
              <w:rPr>
                <w:noProof/>
                <w:webHidden/>
                <w:sz w:val="20"/>
                <w:szCs w:val="20"/>
              </w:rPr>
              <w:fldChar w:fldCharType="separate"/>
            </w:r>
            <w:r>
              <w:rPr>
                <w:noProof/>
                <w:webHidden/>
                <w:sz w:val="20"/>
                <w:szCs w:val="20"/>
              </w:rPr>
              <w:t>15</w:t>
            </w:r>
            <w:r w:rsidRPr="00432EC8">
              <w:rPr>
                <w:noProof/>
                <w:webHidden/>
                <w:sz w:val="20"/>
                <w:szCs w:val="20"/>
              </w:rPr>
              <w:fldChar w:fldCharType="end"/>
            </w:r>
          </w:hyperlink>
        </w:p>
        <w:p w14:paraId="506A49AA" w14:textId="24BFF68B" w:rsidR="00432EC8" w:rsidRPr="00432EC8" w:rsidRDefault="00432EC8">
          <w:pPr>
            <w:pStyle w:val="TOC3"/>
            <w:tabs>
              <w:tab w:val="left" w:pos="1200"/>
              <w:tab w:val="right" w:leader="dot" w:pos="9350"/>
            </w:tabs>
            <w:rPr>
              <w:noProof/>
              <w:kern w:val="2"/>
              <w:sz w:val="20"/>
              <w:szCs w:val="20"/>
              <w:lang/>
              <w14:ligatures w14:val="standardContextual"/>
            </w:rPr>
          </w:pPr>
          <w:hyperlink w:anchor="_Toc233640844" w:history="1">
            <w:r w:rsidRPr="00432EC8">
              <w:rPr>
                <w:rStyle w:val="Hyperlink"/>
                <w:noProof/>
                <w:sz w:val="20"/>
                <w:szCs w:val="20"/>
              </w:rPr>
              <w:t>3.2</w:t>
            </w:r>
            <w:r w:rsidRPr="00432EC8">
              <w:rPr>
                <w:noProof/>
                <w:kern w:val="2"/>
                <w:sz w:val="20"/>
                <w:szCs w:val="20"/>
                <w:lang/>
                <w14:ligatures w14:val="standardContextual"/>
              </w:rPr>
              <w:tab/>
            </w:r>
            <w:r w:rsidRPr="00432EC8">
              <w:rPr>
                <w:rStyle w:val="Hyperlink"/>
                <w:noProof/>
                <w:sz w:val="20"/>
                <w:szCs w:val="20"/>
              </w:rPr>
              <w:t>The headline threshold</w:t>
            </w:r>
            <w:r w:rsidRPr="00432EC8">
              <w:rPr>
                <w:noProof/>
                <w:webHidden/>
                <w:sz w:val="20"/>
                <w:szCs w:val="20"/>
              </w:rPr>
              <w:tab/>
            </w:r>
            <w:r w:rsidRPr="00432EC8">
              <w:rPr>
                <w:noProof/>
                <w:webHidden/>
                <w:sz w:val="20"/>
                <w:szCs w:val="20"/>
              </w:rPr>
              <w:fldChar w:fldCharType="begin"/>
            </w:r>
            <w:r w:rsidRPr="00432EC8">
              <w:rPr>
                <w:noProof/>
                <w:webHidden/>
                <w:sz w:val="20"/>
                <w:szCs w:val="20"/>
              </w:rPr>
              <w:instrText xml:space="preserve"> PAGEREF _Toc233640844 \h </w:instrText>
            </w:r>
            <w:r w:rsidRPr="00432EC8">
              <w:rPr>
                <w:noProof/>
                <w:webHidden/>
                <w:sz w:val="20"/>
                <w:szCs w:val="20"/>
              </w:rPr>
            </w:r>
            <w:r w:rsidRPr="00432EC8">
              <w:rPr>
                <w:noProof/>
                <w:webHidden/>
                <w:sz w:val="20"/>
                <w:szCs w:val="20"/>
              </w:rPr>
              <w:fldChar w:fldCharType="separate"/>
            </w:r>
            <w:r>
              <w:rPr>
                <w:noProof/>
                <w:webHidden/>
                <w:sz w:val="20"/>
                <w:szCs w:val="20"/>
              </w:rPr>
              <w:t>16</w:t>
            </w:r>
            <w:r w:rsidRPr="00432EC8">
              <w:rPr>
                <w:noProof/>
                <w:webHidden/>
                <w:sz w:val="20"/>
                <w:szCs w:val="20"/>
              </w:rPr>
              <w:fldChar w:fldCharType="end"/>
            </w:r>
          </w:hyperlink>
        </w:p>
        <w:p w14:paraId="1898CC63" w14:textId="0EF6C52A" w:rsidR="00432EC8" w:rsidRPr="00432EC8" w:rsidRDefault="00432EC8">
          <w:pPr>
            <w:pStyle w:val="TOC3"/>
            <w:tabs>
              <w:tab w:val="left" w:pos="1200"/>
              <w:tab w:val="right" w:leader="dot" w:pos="9350"/>
            </w:tabs>
            <w:rPr>
              <w:noProof/>
              <w:kern w:val="2"/>
              <w:sz w:val="20"/>
              <w:szCs w:val="20"/>
              <w:lang/>
              <w14:ligatures w14:val="standardContextual"/>
            </w:rPr>
          </w:pPr>
          <w:hyperlink w:anchor="_Toc233640845" w:history="1">
            <w:r w:rsidRPr="00432EC8">
              <w:rPr>
                <w:rStyle w:val="Hyperlink"/>
                <w:noProof/>
                <w:sz w:val="20"/>
                <w:szCs w:val="20"/>
              </w:rPr>
              <w:t>3.3</w:t>
            </w:r>
            <w:r w:rsidRPr="00432EC8">
              <w:rPr>
                <w:noProof/>
                <w:kern w:val="2"/>
                <w:sz w:val="20"/>
                <w:szCs w:val="20"/>
                <w:lang/>
                <w14:ligatures w14:val="standardContextual"/>
              </w:rPr>
              <w:tab/>
            </w:r>
            <w:r w:rsidRPr="00432EC8">
              <w:rPr>
                <w:rStyle w:val="Hyperlink"/>
                <w:noProof/>
                <w:sz w:val="20"/>
                <w:szCs w:val="20"/>
              </w:rPr>
              <w:t>Per-effect bias trajectories and the 12% boundary</w:t>
            </w:r>
            <w:r w:rsidRPr="00432EC8">
              <w:rPr>
                <w:noProof/>
                <w:webHidden/>
                <w:sz w:val="20"/>
                <w:szCs w:val="20"/>
              </w:rPr>
              <w:tab/>
            </w:r>
            <w:r w:rsidRPr="00432EC8">
              <w:rPr>
                <w:noProof/>
                <w:webHidden/>
                <w:sz w:val="20"/>
                <w:szCs w:val="20"/>
              </w:rPr>
              <w:fldChar w:fldCharType="begin"/>
            </w:r>
            <w:r w:rsidRPr="00432EC8">
              <w:rPr>
                <w:noProof/>
                <w:webHidden/>
                <w:sz w:val="20"/>
                <w:szCs w:val="20"/>
              </w:rPr>
              <w:instrText xml:space="preserve"> PAGEREF _Toc233640845 \h </w:instrText>
            </w:r>
            <w:r w:rsidRPr="00432EC8">
              <w:rPr>
                <w:noProof/>
                <w:webHidden/>
                <w:sz w:val="20"/>
                <w:szCs w:val="20"/>
              </w:rPr>
            </w:r>
            <w:r w:rsidRPr="00432EC8">
              <w:rPr>
                <w:noProof/>
                <w:webHidden/>
                <w:sz w:val="20"/>
                <w:szCs w:val="20"/>
              </w:rPr>
              <w:fldChar w:fldCharType="separate"/>
            </w:r>
            <w:r>
              <w:rPr>
                <w:noProof/>
                <w:webHidden/>
                <w:sz w:val="20"/>
                <w:szCs w:val="20"/>
              </w:rPr>
              <w:t>17</w:t>
            </w:r>
            <w:r w:rsidRPr="00432EC8">
              <w:rPr>
                <w:noProof/>
                <w:webHidden/>
                <w:sz w:val="20"/>
                <w:szCs w:val="20"/>
              </w:rPr>
              <w:fldChar w:fldCharType="end"/>
            </w:r>
          </w:hyperlink>
        </w:p>
        <w:p w14:paraId="38E5C356" w14:textId="2F33D71B" w:rsidR="00432EC8" w:rsidRPr="00432EC8" w:rsidRDefault="00432EC8">
          <w:pPr>
            <w:pStyle w:val="TOC3"/>
            <w:tabs>
              <w:tab w:val="left" w:pos="1200"/>
              <w:tab w:val="right" w:leader="dot" w:pos="9350"/>
            </w:tabs>
            <w:rPr>
              <w:noProof/>
              <w:kern w:val="2"/>
              <w:sz w:val="20"/>
              <w:szCs w:val="20"/>
              <w:lang/>
              <w14:ligatures w14:val="standardContextual"/>
            </w:rPr>
          </w:pPr>
          <w:hyperlink w:anchor="_Toc233640846" w:history="1">
            <w:r w:rsidRPr="00432EC8">
              <w:rPr>
                <w:rStyle w:val="Hyperlink"/>
                <w:noProof/>
                <w:sz w:val="20"/>
                <w:szCs w:val="20"/>
              </w:rPr>
              <w:t>3.4</w:t>
            </w:r>
            <w:r w:rsidRPr="00432EC8">
              <w:rPr>
                <w:noProof/>
                <w:kern w:val="2"/>
                <w:sz w:val="20"/>
                <w:szCs w:val="20"/>
                <w:lang/>
                <w14:ligatures w14:val="standardContextual"/>
              </w:rPr>
              <w:tab/>
            </w:r>
            <w:r w:rsidRPr="00432EC8">
              <w:rPr>
                <w:rStyle w:val="Hyperlink"/>
                <w:noProof/>
                <w:sz w:val="20"/>
                <w:szCs w:val="20"/>
              </w:rPr>
              <w:t>The RHEM contextual benchmark</w:t>
            </w:r>
            <w:r w:rsidRPr="00432EC8">
              <w:rPr>
                <w:noProof/>
                <w:webHidden/>
                <w:sz w:val="20"/>
                <w:szCs w:val="20"/>
              </w:rPr>
              <w:tab/>
            </w:r>
            <w:r w:rsidRPr="00432EC8">
              <w:rPr>
                <w:noProof/>
                <w:webHidden/>
                <w:sz w:val="20"/>
                <w:szCs w:val="20"/>
              </w:rPr>
              <w:fldChar w:fldCharType="begin"/>
            </w:r>
            <w:r w:rsidRPr="00432EC8">
              <w:rPr>
                <w:noProof/>
                <w:webHidden/>
                <w:sz w:val="20"/>
                <w:szCs w:val="20"/>
              </w:rPr>
              <w:instrText xml:space="preserve"> PAGEREF _Toc233640846 \h </w:instrText>
            </w:r>
            <w:r w:rsidRPr="00432EC8">
              <w:rPr>
                <w:noProof/>
                <w:webHidden/>
                <w:sz w:val="20"/>
                <w:szCs w:val="20"/>
              </w:rPr>
            </w:r>
            <w:r w:rsidRPr="00432EC8">
              <w:rPr>
                <w:noProof/>
                <w:webHidden/>
                <w:sz w:val="20"/>
                <w:szCs w:val="20"/>
              </w:rPr>
              <w:fldChar w:fldCharType="separate"/>
            </w:r>
            <w:r>
              <w:rPr>
                <w:noProof/>
                <w:webHidden/>
                <w:sz w:val="20"/>
                <w:szCs w:val="20"/>
              </w:rPr>
              <w:t>17</w:t>
            </w:r>
            <w:r w:rsidRPr="00432EC8">
              <w:rPr>
                <w:noProof/>
                <w:webHidden/>
                <w:sz w:val="20"/>
                <w:szCs w:val="20"/>
              </w:rPr>
              <w:fldChar w:fldCharType="end"/>
            </w:r>
          </w:hyperlink>
        </w:p>
        <w:p w14:paraId="61839E1F" w14:textId="2DDB92D4" w:rsidR="00432EC8" w:rsidRPr="00432EC8" w:rsidRDefault="00432EC8">
          <w:pPr>
            <w:pStyle w:val="TOC3"/>
            <w:tabs>
              <w:tab w:val="left" w:pos="1200"/>
              <w:tab w:val="right" w:leader="dot" w:pos="9350"/>
            </w:tabs>
            <w:rPr>
              <w:noProof/>
              <w:kern w:val="2"/>
              <w:sz w:val="20"/>
              <w:szCs w:val="20"/>
              <w:lang/>
              <w14:ligatures w14:val="standardContextual"/>
            </w:rPr>
          </w:pPr>
          <w:hyperlink w:anchor="_Toc233640847" w:history="1">
            <w:r w:rsidRPr="00432EC8">
              <w:rPr>
                <w:rStyle w:val="Hyperlink"/>
                <w:noProof/>
                <w:sz w:val="20"/>
                <w:szCs w:val="20"/>
              </w:rPr>
              <w:t>3.5</w:t>
            </w:r>
            <w:r w:rsidRPr="00432EC8">
              <w:rPr>
                <w:noProof/>
                <w:kern w:val="2"/>
                <w:sz w:val="20"/>
                <w:szCs w:val="20"/>
                <w:lang/>
                <w14:ligatures w14:val="standardContextual"/>
              </w:rPr>
              <w:tab/>
            </w:r>
            <w:r w:rsidRPr="00432EC8">
              <w:rPr>
                <w:rStyle w:val="Hyperlink"/>
                <w:noProof/>
                <w:sz w:val="20"/>
                <w:szCs w:val="20"/>
              </w:rPr>
              <w:t>The baseline rate</w:t>
            </w:r>
            <w:r w:rsidRPr="00432EC8">
              <w:rPr>
                <w:noProof/>
                <w:webHidden/>
                <w:sz w:val="20"/>
                <w:szCs w:val="20"/>
              </w:rPr>
              <w:tab/>
            </w:r>
            <w:r w:rsidRPr="00432EC8">
              <w:rPr>
                <w:noProof/>
                <w:webHidden/>
                <w:sz w:val="20"/>
                <w:szCs w:val="20"/>
              </w:rPr>
              <w:fldChar w:fldCharType="begin"/>
            </w:r>
            <w:r w:rsidRPr="00432EC8">
              <w:rPr>
                <w:noProof/>
                <w:webHidden/>
                <w:sz w:val="20"/>
                <w:szCs w:val="20"/>
              </w:rPr>
              <w:instrText xml:space="preserve"> PAGEREF _Toc233640847 \h </w:instrText>
            </w:r>
            <w:r w:rsidRPr="00432EC8">
              <w:rPr>
                <w:noProof/>
                <w:webHidden/>
                <w:sz w:val="20"/>
                <w:szCs w:val="20"/>
              </w:rPr>
            </w:r>
            <w:r w:rsidRPr="00432EC8">
              <w:rPr>
                <w:noProof/>
                <w:webHidden/>
                <w:sz w:val="20"/>
                <w:szCs w:val="20"/>
              </w:rPr>
              <w:fldChar w:fldCharType="separate"/>
            </w:r>
            <w:r>
              <w:rPr>
                <w:noProof/>
                <w:webHidden/>
                <w:sz w:val="20"/>
                <w:szCs w:val="20"/>
              </w:rPr>
              <w:t>18</w:t>
            </w:r>
            <w:r w:rsidRPr="00432EC8">
              <w:rPr>
                <w:noProof/>
                <w:webHidden/>
                <w:sz w:val="20"/>
                <w:szCs w:val="20"/>
              </w:rPr>
              <w:fldChar w:fldCharType="end"/>
            </w:r>
          </w:hyperlink>
        </w:p>
        <w:p w14:paraId="1155E9F9" w14:textId="1FD95B58" w:rsidR="00432EC8" w:rsidRPr="00432EC8" w:rsidRDefault="00432EC8">
          <w:pPr>
            <w:pStyle w:val="TOC3"/>
            <w:tabs>
              <w:tab w:val="left" w:pos="1200"/>
              <w:tab w:val="right" w:leader="dot" w:pos="9350"/>
            </w:tabs>
            <w:rPr>
              <w:noProof/>
              <w:kern w:val="2"/>
              <w:sz w:val="20"/>
              <w:szCs w:val="20"/>
              <w:lang/>
              <w14:ligatures w14:val="standardContextual"/>
            </w:rPr>
          </w:pPr>
          <w:hyperlink w:anchor="_Toc233640848" w:history="1">
            <w:r w:rsidRPr="00432EC8">
              <w:rPr>
                <w:rStyle w:val="Hyperlink"/>
                <w:noProof/>
                <w:sz w:val="20"/>
                <w:szCs w:val="20"/>
              </w:rPr>
              <w:t>3.6</w:t>
            </w:r>
            <w:r w:rsidRPr="00432EC8">
              <w:rPr>
                <w:noProof/>
                <w:kern w:val="2"/>
                <w:sz w:val="20"/>
                <w:szCs w:val="20"/>
                <w:lang/>
                <w14:ligatures w14:val="standardContextual"/>
              </w:rPr>
              <w:tab/>
            </w:r>
            <w:r w:rsidRPr="00432EC8">
              <w:rPr>
                <w:rStyle w:val="Hyperlink"/>
                <w:noProof/>
                <w:sz w:val="20"/>
                <w:szCs w:val="20"/>
              </w:rPr>
              <w:t>Sensitivity to the acceptability rule</w:t>
            </w:r>
            <w:r w:rsidRPr="00432EC8">
              <w:rPr>
                <w:noProof/>
                <w:webHidden/>
                <w:sz w:val="20"/>
                <w:szCs w:val="20"/>
              </w:rPr>
              <w:tab/>
            </w:r>
            <w:r w:rsidRPr="00432EC8">
              <w:rPr>
                <w:noProof/>
                <w:webHidden/>
                <w:sz w:val="20"/>
                <w:szCs w:val="20"/>
              </w:rPr>
              <w:fldChar w:fldCharType="begin"/>
            </w:r>
            <w:r w:rsidRPr="00432EC8">
              <w:rPr>
                <w:noProof/>
                <w:webHidden/>
                <w:sz w:val="20"/>
                <w:szCs w:val="20"/>
              </w:rPr>
              <w:instrText xml:space="preserve"> PAGEREF _Toc233640848 \h </w:instrText>
            </w:r>
            <w:r w:rsidRPr="00432EC8">
              <w:rPr>
                <w:noProof/>
                <w:webHidden/>
                <w:sz w:val="20"/>
                <w:szCs w:val="20"/>
              </w:rPr>
            </w:r>
            <w:r w:rsidRPr="00432EC8">
              <w:rPr>
                <w:noProof/>
                <w:webHidden/>
                <w:sz w:val="20"/>
                <w:szCs w:val="20"/>
              </w:rPr>
              <w:fldChar w:fldCharType="separate"/>
            </w:r>
            <w:r>
              <w:rPr>
                <w:noProof/>
                <w:webHidden/>
                <w:sz w:val="20"/>
                <w:szCs w:val="20"/>
              </w:rPr>
              <w:t>18</w:t>
            </w:r>
            <w:r w:rsidRPr="00432EC8">
              <w:rPr>
                <w:noProof/>
                <w:webHidden/>
                <w:sz w:val="20"/>
                <w:szCs w:val="20"/>
              </w:rPr>
              <w:fldChar w:fldCharType="end"/>
            </w:r>
          </w:hyperlink>
        </w:p>
        <w:p w14:paraId="27FDBFB6" w14:textId="29C41473" w:rsidR="00432EC8" w:rsidRPr="00432EC8" w:rsidRDefault="00432EC8">
          <w:pPr>
            <w:pStyle w:val="TOC2"/>
            <w:tabs>
              <w:tab w:val="left" w:pos="720"/>
              <w:tab w:val="right" w:leader="dot" w:pos="9350"/>
            </w:tabs>
            <w:rPr>
              <w:noProof/>
              <w:kern w:val="2"/>
              <w:sz w:val="20"/>
              <w:szCs w:val="20"/>
              <w:lang/>
              <w14:ligatures w14:val="standardContextual"/>
            </w:rPr>
          </w:pPr>
          <w:hyperlink w:anchor="_Toc233640849" w:history="1">
            <w:r w:rsidRPr="00432EC8">
              <w:rPr>
                <w:rStyle w:val="Hyperlink"/>
                <w:noProof/>
                <w:sz w:val="20"/>
                <w:szCs w:val="20"/>
              </w:rPr>
              <w:t>4.</w:t>
            </w:r>
            <w:r w:rsidRPr="00432EC8">
              <w:rPr>
                <w:noProof/>
                <w:kern w:val="2"/>
                <w:sz w:val="20"/>
                <w:szCs w:val="20"/>
                <w:lang/>
                <w14:ligatures w14:val="standardContextual"/>
              </w:rPr>
              <w:tab/>
            </w:r>
            <w:r w:rsidRPr="00432EC8">
              <w:rPr>
                <w:rStyle w:val="Hyperlink"/>
                <w:noProof/>
                <w:sz w:val="20"/>
                <w:szCs w:val="20"/>
              </w:rPr>
              <w:t>Conclusion and Discussion</w:t>
            </w:r>
            <w:r w:rsidRPr="00432EC8">
              <w:rPr>
                <w:noProof/>
                <w:webHidden/>
                <w:sz w:val="20"/>
                <w:szCs w:val="20"/>
              </w:rPr>
              <w:tab/>
            </w:r>
            <w:r w:rsidRPr="00432EC8">
              <w:rPr>
                <w:noProof/>
                <w:webHidden/>
                <w:sz w:val="20"/>
                <w:szCs w:val="20"/>
              </w:rPr>
              <w:fldChar w:fldCharType="begin"/>
            </w:r>
            <w:r w:rsidRPr="00432EC8">
              <w:rPr>
                <w:noProof/>
                <w:webHidden/>
                <w:sz w:val="20"/>
                <w:szCs w:val="20"/>
              </w:rPr>
              <w:instrText xml:space="preserve"> PAGEREF _Toc233640849 \h </w:instrText>
            </w:r>
            <w:r w:rsidRPr="00432EC8">
              <w:rPr>
                <w:noProof/>
                <w:webHidden/>
                <w:sz w:val="20"/>
                <w:szCs w:val="20"/>
              </w:rPr>
            </w:r>
            <w:r w:rsidRPr="00432EC8">
              <w:rPr>
                <w:noProof/>
                <w:webHidden/>
                <w:sz w:val="20"/>
                <w:szCs w:val="20"/>
              </w:rPr>
              <w:fldChar w:fldCharType="separate"/>
            </w:r>
            <w:r>
              <w:rPr>
                <w:noProof/>
                <w:webHidden/>
                <w:sz w:val="20"/>
                <w:szCs w:val="20"/>
              </w:rPr>
              <w:t>19</w:t>
            </w:r>
            <w:r w:rsidRPr="00432EC8">
              <w:rPr>
                <w:noProof/>
                <w:webHidden/>
                <w:sz w:val="20"/>
                <w:szCs w:val="20"/>
              </w:rPr>
              <w:fldChar w:fldCharType="end"/>
            </w:r>
          </w:hyperlink>
        </w:p>
        <w:p w14:paraId="4CB0832E" w14:textId="64A5E28E" w:rsidR="00432EC8" w:rsidRPr="00432EC8" w:rsidRDefault="00432EC8">
          <w:pPr>
            <w:pStyle w:val="TOC3"/>
            <w:tabs>
              <w:tab w:val="left" w:pos="1200"/>
              <w:tab w:val="right" w:leader="dot" w:pos="9350"/>
            </w:tabs>
            <w:rPr>
              <w:noProof/>
              <w:kern w:val="2"/>
              <w:sz w:val="20"/>
              <w:szCs w:val="20"/>
              <w:lang/>
              <w14:ligatures w14:val="standardContextual"/>
            </w:rPr>
          </w:pPr>
          <w:hyperlink w:anchor="_Toc233640850" w:history="1">
            <w:r w:rsidRPr="00432EC8">
              <w:rPr>
                <w:rStyle w:val="Hyperlink"/>
                <w:noProof/>
                <w:sz w:val="20"/>
                <w:szCs w:val="20"/>
              </w:rPr>
              <w:t>4.1</w:t>
            </w:r>
            <w:r w:rsidRPr="00432EC8">
              <w:rPr>
                <w:noProof/>
                <w:kern w:val="2"/>
                <w:sz w:val="20"/>
                <w:szCs w:val="20"/>
                <w:lang/>
                <w14:ligatures w14:val="standardContextual"/>
              </w:rPr>
              <w:tab/>
            </w:r>
            <w:r w:rsidRPr="00432EC8">
              <w:rPr>
                <w:rStyle w:val="Hyperlink"/>
                <w:noProof/>
                <w:sz w:val="20"/>
                <w:szCs w:val="20"/>
              </w:rPr>
              <w:t>The multi-receiver threshold for parameter recovery</w:t>
            </w:r>
            <w:r w:rsidRPr="00432EC8">
              <w:rPr>
                <w:noProof/>
                <w:webHidden/>
                <w:sz w:val="20"/>
                <w:szCs w:val="20"/>
              </w:rPr>
              <w:tab/>
            </w:r>
            <w:r w:rsidRPr="00432EC8">
              <w:rPr>
                <w:noProof/>
                <w:webHidden/>
                <w:sz w:val="20"/>
                <w:szCs w:val="20"/>
              </w:rPr>
              <w:fldChar w:fldCharType="begin"/>
            </w:r>
            <w:r w:rsidRPr="00432EC8">
              <w:rPr>
                <w:noProof/>
                <w:webHidden/>
                <w:sz w:val="20"/>
                <w:szCs w:val="20"/>
              </w:rPr>
              <w:instrText xml:space="preserve"> PAGEREF _Toc233640850 \h </w:instrText>
            </w:r>
            <w:r w:rsidRPr="00432EC8">
              <w:rPr>
                <w:noProof/>
                <w:webHidden/>
                <w:sz w:val="20"/>
                <w:szCs w:val="20"/>
              </w:rPr>
            </w:r>
            <w:r w:rsidRPr="00432EC8">
              <w:rPr>
                <w:noProof/>
                <w:webHidden/>
                <w:sz w:val="20"/>
                <w:szCs w:val="20"/>
              </w:rPr>
              <w:fldChar w:fldCharType="separate"/>
            </w:r>
            <w:r>
              <w:rPr>
                <w:noProof/>
                <w:webHidden/>
                <w:sz w:val="20"/>
                <w:szCs w:val="20"/>
              </w:rPr>
              <w:t>19</w:t>
            </w:r>
            <w:r w:rsidRPr="00432EC8">
              <w:rPr>
                <w:noProof/>
                <w:webHidden/>
                <w:sz w:val="20"/>
                <w:szCs w:val="20"/>
              </w:rPr>
              <w:fldChar w:fldCharType="end"/>
            </w:r>
          </w:hyperlink>
        </w:p>
        <w:p w14:paraId="2AA5624A" w14:textId="239E54FA" w:rsidR="00432EC8" w:rsidRPr="00432EC8" w:rsidRDefault="00432EC8">
          <w:pPr>
            <w:pStyle w:val="TOC3"/>
            <w:tabs>
              <w:tab w:val="left" w:pos="1200"/>
              <w:tab w:val="right" w:leader="dot" w:pos="9350"/>
            </w:tabs>
            <w:rPr>
              <w:noProof/>
              <w:kern w:val="2"/>
              <w:sz w:val="20"/>
              <w:szCs w:val="20"/>
              <w:lang/>
              <w14:ligatures w14:val="standardContextual"/>
            </w:rPr>
          </w:pPr>
          <w:hyperlink w:anchor="_Toc233640851" w:history="1">
            <w:r w:rsidRPr="00432EC8">
              <w:rPr>
                <w:rStyle w:val="Hyperlink"/>
                <w:noProof/>
                <w:sz w:val="20"/>
                <w:szCs w:val="20"/>
              </w:rPr>
              <w:t>4.2</w:t>
            </w:r>
            <w:r w:rsidRPr="00432EC8">
              <w:rPr>
                <w:noProof/>
                <w:kern w:val="2"/>
                <w:sz w:val="20"/>
                <w:szCs w:val="20"/>
                <w:lang/>
                <w14:ligatures w14:val="standardContextual"/>
              </w:rPr>
              <w:tab/>
            </w:r>
            <w:r w:rsidRPr="00432EC8">
              <w:rPr>
                <w:rStyle w:val="Hyperlink"/>
                <w:noProof/>
                <w:sz w:val="20"/>
                <w:szCs w:val="20"/>
              </w:rPr>
              <w:t>A three-zone operating range and the recommendation for applied work</w:t>
            </w:r>
            <w:r w:rsidRPr="00432EC8">
              <w:rPr>
                <w:noProof/>
                <w:webHidden/>
                <w:sz w:val="20"/>
                <w:szCs w:val="20"/>
              </w:rPr>
              <w:tab/>
            </w:r>
            <w:r w:rsidRPr="00432EC8">
              <w:rPr>
                <w:noProof/>
                <w:webHidden/>
                <w:sz w:val="20"/>
                <w:szCs w:val="20"/>
              </w:rPr>
              <w:fldChar w:fldCharType="begin"/>
            </w:r>
            <w:r w:rsidRPr="00432EC8">
              <w:rPr>
                <w:noProof/>
                <w:webHidden/>
                <w:sz w:val="20"/>
                <w:szCs w:val="20"/>
              </w:rPr>
              <w:instrText xml:space="preserve"> PAGEREF _Toc233640851 \h </w:instrText>
            </w:r>
            <w:r w:rsidRPr="00432EC8">
              <w:rPr>
                <w:noProof/>
                <w:webHidden/>
                <w:sz w:val="20"/>
                <w:szCs w:val="20"/>
              </w:rPr>
            </w:r>
            <w:r w:rsidRPr="00432EC8">
              <w:rPr>
                <w:noProof/>
                <w:webHidden/>
                <w:sz w:val="20"/>
                <w:szCs w:val="20"/>
              </w:rPr>
              <w:fldChar w:fldCharType="separate"/>
            </w:r>
            <w:r>
              <w:rPr>
                <w:noProof/>
                <w:webHidden/>
                <w:sz w:val="20"/>
                <w:szCs w:val="20"/>
              </w:rPr>
              <w:t>19</w:t>
            </w:r>
            <w:r w:rsidRPr="00432EC8">
              <w:rPr>
                <w:noProof/>
                <w:webHidden/>
                <w:sz w:val="20"/>
                <w:szCs w:val="20"/>
              </w:rPr>
              <w:fldChar w:fldCharType="end"/>
            </w:r>
          </w:hyperlink>
        </w:p>
        <w:p w14:paraId="25B87DE9" w14:textId="7B22AEC1" w:rsidR="00432EC8" w:rsidRPr="00432EC8" w:rsidRDefault="00432EC8">
          <w:pPr>
            <w:pStyle w:val="TOC3"/>
            <w:tabs>
              <w:tab w:val="left" w:pos="1200"/>
              <w:tab w:val="right" w:leader="dot" w:pos="9350"/>
            </w:tabs>
            <w:rPr>
              <w:noProof/>
              <w:kern w:val="2"/>
              <w:sz w:val="20"/>
              <w:szCs w:val="20"/>
              <w:lang/>
              <w14:ligatures w14:val="standardContextual"/>
            </w:rPr>
          </w:pPr>
          <w:hyperlink w:anchor="_Toc233640852" w:history="1">
            <w:r w:rsidRPr="00432EC8">
              <w:rPr>
                <w:rStyle w:val="Hyperlink"/>
                <w:noProof/>
                <w:sz w:val="20"/>
                <w:szCs w:val="20"/>
              </w:rPr>
              <w:t>4.3</w:t>
            </w:r>
            <w:r w:rsidRPr="00432EC8">
              <w:rPr>
                <w:noProof/>
                <w:kern w:val="2"/>
                <w:sz w:val="20"/>
                <w:szCs w:val="20"/>
                <w:lang/>
                <w14:ligatures w14:val="standardContextual"/>
              </w:rPr>
              <w:tab/>
            </w:r>
            <w:r w:rsidRPr="00432EC8">
              <w:rPr>
                <w:rStyle w:val="Hyperlink"/>
                <w:noProof/>
                <w:sz w:val="20"/>
                <w:szCs w:val="20"/>
              </w:rPr>
              <w:t>Implications for the applied domain</w:t>
            </w:r>
            <w:r w:rsidRPr="00432EC8">
              <w:rPr>
                <w:noProof/>
                <w:webHidden/>
                <w:sz w:val="20"/>
                <w:szCs w:val="20"/>
              </w:rPr>
              <w:tab/>
            </w:r>
            <w:r w:rsidRPr="00432EC8">
              <w:rPr>
                <w:noProof/>
                <w:webHidden/>
                <w:sz w:val="20"/>
                <w:szCs w:val="20"/>
              </w:rPr>
              <w:fldChar w:fldCharType="begin"/>
            </w:r>
            <w:r w:rsidRPr="00432EC8">
              <w:rPr>
                <w:noProof/>
                <w:webHidden/>
                <w:sz w:val="20"/>
                <w:szCs w:val="20"/>
              </w:rPr>
              <w:instrText xml:space="preserve"> PAGEREF _Toc233640852 \h </w:instrText>
            </w:r>
            <w:r w:rsidRPr="00432EC8">
              <w:rPr>
                <w:noProof/>
                <w:webHidden/>
                <w:sz w:val="20"/>
                <w:szCs w:val="20"/>
              </w:rPr>
            </w:r>
            <w:r w:rsidRPr="00432EC8">
              <w:rPr>
                <w:noProof/>
                <w:webHidden/>
                <w:sz w:val="20"/>
                <w:szCs w:val="20"/>
              </w:rPr>
              <w:fldChar w:fldCharType="separate"/>
            </w:r>
            <w:r>
              <w:rPr>
                <w:noProof/>
                <w:webHidden/>
                <w:sz w:val="20"/>
                <w:szCs w:val="20"/>
              </w:rPr>
              <w:t>20</w:t>
            </w:r>
            <w:r w:rsidRPr="00432EC8">
              <w:rPr>
                <w:noProof/>
                <w:webHidden/>
                <w:sz w:val="20"/>
                <w:szCs w:val="20"/>
              </w:rPr>
              <w:fldChar w:fldCharType="end"/>
            </w:r>
          </w:hyperlink>
        </w:p>
        <w:p w14:paraId="31C322FF" w14:textId="4B68A20E" w:rsidR="00432EC8" w:rsidRPr="00432EC8" w:rsidRDefault="00432EC8">
          <w:pPr>
            <w:pStyle w:val="TOC3"/>
            <w:tabs>
              <w:tab w:val="left" w:pos="1200"/>
              <w:tab w:val="right" w:leader="dot" w:pos="9350"/>
            </w:tabs>
            <w:rPr>
              <w:noProof/>
              <w:kern w:val="2"/>
              <w:sz w:val="20"/>
              <w:szCs w:val="20"/>
              <w:lang/>
              <w14:ligatures w14:val="standardContextual"/>
            </w:rPr>
          </w:pPr>
          <w:hyperlink w:anchor="_Toc233640853" w:history="1">
            <w:r w:rsidRPr="00432EC8">
              <w:rPr>
                <w:rStyle w:val="Hyperlink"/>
                <w:noProof/>
                <w:sz w:val="20"/>
                <w:szCs w:val="20"/>
              </w:rPr>
              <w:t>4.4</w:t>
            </w:r>
            <w:r w:rsidRPr="00432EC8">
              <w:rPr>
                <w:noProof/>
                <w:kern w:val="2"/>
                <w:sz w:val="20"/>
                <w:szCs w:val="20"/>
                <w:lang/>
                <w14:ligatures w14:val="standardContextual"/>
              </w:rPr>
              <w:tab/>
            </w:r>
            <w:r w:rsidRPr="00432EC8">
              <w:rPr>
                <w:rStyle w:val="Hyperlink"/>
                <w:noProof/>
                <w:sz w:val="20"/>
                <w:szCs w:val="20"/>
              </w:rPr>
              <w:t>Limitations</w:t>
            </w:r>
            <w:r w:rsidRPr="00432EC8">
              <w:rPr>
                <w:noProof/>
                <w:webHidden/>
                <w:sz w:val="20"/>
                <w:szCs w:val="20"/>
              </w:rPr>
              <w:tab/>
            </w:r>
            <w:r w:rsidRPr="00432EC8">
              <w:rPr>
                <w:noProof/>
                <w:webHidden/>
                <w:sz w:val="20"/>
                <w:szCs w:val="20"/>
              </w:rPr>
              <w:fldChar w:fldCharType="begin"/>
            </w:r>
            <w:r w:rsidRPr="00432EC8">
              <w:rPr>
                <w:noProof/>
                <w:webHidden/>
                <w:sz w:val="20"/>
                <w:szCs w:val="20"/>
              </w:rPr>
              <w:instrText xml:space="preserve"> PAGEREF _Toc233640853 \h </w:instrText>
            </w:r>
            <w:r w:rsidRPr="00432EC8">
              <w:rPr>
                <w:noProof/>
                <w:webHidden/>
                <w:sz w:val="20"/>
                <w:szCs w:val="20"/>
              </w:rPr>
            </w:r>
            <w:r w:rsidRPr="00432EC8">
              <w:rPr>
                <w:noProof/>
                <w:webHidden/>
                <w:sz w:val="20"/>
                <w:szCs w:val="20"/>
              </w:rPr>
              <w:fldChar w:fldCharType="separate"/>
            </w:r>
            <w:r>
              <w:rPr>
                <w:noProof/>
                <w:webHidden/>
                <w:sz w:val="20"/>
                <w:szCs w:val="20"/>
              </w:rPr>
              <w:t>21</w:t>
            </w:r>
            <w:r w:rsidRPr="00432EC8">
              <w:rPr>
                <w:noProof/>
                <w:webHidden/>
                <w:sz w:val="20"/>
                <w:szCs w:val="20"/>
              </w:rPr>
              <w:fldChar w:fldCharType="end"/>
            </w:r>
          </w:hyperlink>
        </w:p>
        <w:p w14:paraId="262251D4" w14:textId="7976BB56" w:rsidR="00432EC8" w:rsidRPr="00432EC8" w:rsidRDefault="00432EC8">
          <w:pPr>
            <w:pStyle w:val="TOC3"/>
            <w:tabs>
              <w:tab w:val="left" w:pos="1200"/>
              <w:tab w:val="right" w:leader="dot" w:pos="9350"/>
            </w:tabs>
            <w:rPr>
              <w:noProof/>
              <w:kern w:val="2"/>
              <w:sz w:val="20"/>
              <w:szCs w:val="20"/>
              <w:lang/>
              <w14:ligatures w14:val="standardContextual"/>
            </w:rPr>
          </w:pPr>
          <w:hyperlink w:anchor="_Toc233640854" w:history="1">
            <w:r w:rsidRPr="00432EC8">
              <w:rPr>
                <w:rStyle w:val="Hyperlink"/>
                <w:noProof/>
                <w:sz w:val="20"/>
                <w:szCs w:val="20"/>
              </w:rPr>
              <w:t>4.5</w:t>
            </w:r>
            <w:r w:rsidRPr="00432EC8">
              <w:rPr>
                <w:noProof/>
                <w:kern w:val="2"/>
                <w:sz w:val="20"/>
                <w:szCs w:val="20"/>
                <w:lang/>
                <w14:ligatures w14:val="standardContextual"/>
              </w:rPr>
              <w:tab/>
            </w:r>
            <w:r w:rsidRPr="00432EC8">
              <w:rPr>
                <w:rStyle w:val="Hyperlink"/>
                <w:noProof/>
                <w:sz w:val="20"/>
                <w:szCs w:val="20"/>
              </w:rPr>
              <w:t>Future work</w:t>
            </w:r>
            <w:r w:rsidRPr="00432EC8">
              <w:rPr>
                <w:noProof/>
                <w:webHidden/>
                <w:sz w:val="20"/>
                <w:szCs w:val="20"/>
              </w:rPr>
              <w:tab/>
            </w:r>
            <w:r w:rsidRPr="00432EC8">
              <w:rPr>
                <w:noProof/>
                <w:webHidden/>
                <w:sz w:val="20"/>
                <w:szCs w:val="20"/>
              </w:rPr>
              <w:fldChar w:fldCharType="begin"/>
            </w:r>
            <w:r w:rsidRPr="00432EC8">
              <w:rPr>
                <w:noProof/>
                <w:webHidden/>
                <w:sz w:val="20"/>
                <w:szCs w:val="20"/>
              </w:rPr>
              <w:instrText xml:space="preserve"> PAGEREF _Toc233640854 \h </w:instrText>
            </w:r>
            <w:r w:rsidRPr="00432EC8">
              <w:rPr>
                <w:noProof/>
                <w:webHidden/>
                <w:sz w:val="20"/>
                <w:szCs w:val="20"/>
              </w:rPr>
            </w:r>
            <w:r w:rsidRPr="00432EC8">
              <w:rPr>
                <w:noProof/>
                <w:webHidden/>
                <w:sz w:val="20"/>
                <w:szCs w:val="20"/>
              </w:rPr>
              <w:fldChar w:fldCharType="separate"/>
            </w:r>
            <w:r>
              <w:rPr>
                <w:noProof/>
                <w:webHidden/>
                <w:sz w:val="20"/>
                <w:szCs w:val="20"/>
              </w:rPr>
              <w:t>21</w:t>
            </w:r>
            <w:r w:rsidRPr="00432EC8">
              <w:rPr>
                <w:noProof/>
                <w:webHidden/>
                <w:sz w:val="20"/>
                <w:szCs w:val="20"/>
              </w:rPr>
              <w:fldChar w:fldCharType="end"/>
            </w:r>
          </w:hyperlink>
        </w:p>
        <w:p w14:paraId="0DA9E68B" w14:textId="5623354C" w:rsidR="00432EC8" w:rsidRPr="00432EC8" w:rsidRDefault="00432EC8">
          <w:pPr>
            <w:pStyle w:val="TOC3"/>
            <w:tabs>
              <w:tab w:val="left" w:pos="1200"/>
              <w:tab w:val="right" w:leader="dot" w:pos="9350"/>
            </w:tabs>
            <w:rPr>
              <w:noProof/>
              <w:kern w:val="2"/>
              <w:sz w:val="20"/>
              <w:szCs w:val="20"/>
              <w:lang/>
              <w14:ligatures w14:val="standardContextual"/>
            </w:rPr>
          </w:pPr>
          <w:hyperlink w:anchor="_Toc233640855" w:history="1">
            <w:r w:rsidRPr="00432EC8">
              <w:rPr>
                <w:rStyle w:val="Hyperlink"/>
                <w:noProof/>
                <w:sz w:val="20"/>
                <w:szCs w:val="20"/>
              </w:rPr>
              <w:t>4.6</w:t>
            </w:r>
            <w:r w:rsidRPr="00432EC8">
              <w:rPr>
                <w:noProof/>
                <w:kern w:val="2"/>
                <w:sz w:val="20"/>
                <w:szCs w:val="20"/>
                <w:lang/>
                <w14:ligatures w14:val="standardContextual"/>
              </w:rPr>
              <w:tab/>
            </w:r>
            <w:r w:rsidRPr="00432EC8">
              <w:rPr>
                <w:rStyle w:val="Hyperlink"/>
                <w:noProof/>
                <w:sz w:val="20"/>
                <w:szCs w:val="20"/>
              </w:rPr>
              <w:t>Ethical implications and considerations</w:t>
            </w:r>
            <w:r w:rsidRPr="00432EC8">
              <w:rPr>
                <w:noProof/>
                <w:webHidden/>
                <w:sz w:val="20"/>
                <w:szCs w:val="20"/>
              </w:rPr>
              <w:tab/>
            </w:r>
            <w:r w:rsidRPr="00432EC8">
              <w:rPr>
                <w:noProof/>
                <w:webHidden/>
                <w:sz w:val="20"/>
                <w:szCs w:val="20"/>
              </w:rPr>
              <w:fldChar w:fldCharType="begin"/>
            </w:r>
            <w:r w:rsidRPr="00432EC8">
              <w:rPr>
                <w:noProof/>
                <w:webHidden/>
                <w:sz w:val="20"/>
                <w:szCs w:val="20"/>
              </w:rPr>
              <w:instrText xml:space="preserve"> PAGEREF _Toc233640855 \h </w:instrText>
            </w:r>
            <w:r w:rsidRPr="00432EC8">
              <w:rPr>
                <w:noProof/>
                <w:webHidden/>
                <w:sz w:val="20"/>
                <w:szCs w:val="20"/>
              </w:rPr>
            </w:r>
            <w:r w:rsidRPr="00432EC8">
              <w:rPr>
                <w:noProof/>
                <w:webHidden/>
                <w:sz w:val="20"/>
                <w:szCs w:val="20"/>
              </w:rPr>
              <w:fldChar w:fldCharType="separate"/>
            </w:r>
            <w:r>
              <w:rPr>
                <w:noProof/>
                <w:webHidden/>
                <w:sz w:val="20"/>
                <w:szCs w:val="20"/>
              </w:rPr>
              <w:t>21</w:t>
            </w:r>
            <w:r w:rsidRPr="00432EC8">
              <w:rPr>
                <w:noProof/>
                <w:webHidden/>
                <w:sz w:val="20"/>
                <w:szCs w:val="20"/>
              </w:rPr>
              <w:fldChar w:fldCharType="end"/>
            </w:r>
          </w:hyperlink>
        </w:p>
        <w:p w14:paraId="49FE22A2" w14:textId="3A3DCB3B" w:rsidR="00432EC8" w:rsidRPr="00432EC8" w:rsidRDefault="00432EC8">
          <w:pPr>
            <w:pStyle w:val="TOC3"/>
            <w:tabs>
              <w:tab w:val="left" w:pos="1200"/>
              <w:tab w:val="right" w:leader="dot" w:pos="9350"/>
            </w:tabs>
            <w:rPr>
              <w:noProof/>
              <w:kern w:val="2"/>
              <w:sz w:val="20"/>
              <w:szCs w:val="20"/>
              <w:lang/>
              <w14:ligatures w14:val="standardContextual"/>
            </w:rPr>
          </w:pPr>
          <w:hyperlink w:anchor="_Toc233640856" w:history="1">
            <w:r w:rsidRPr="00432EC8">
              <w:rPr>
                <w:rStyle w:val="Hyperlink"/>
                <w:noProof/>
                <w:sz w:val="20"/>
                <w:szCs w:val="20"/>
              </w:rPr>
              <w:t>4.7</w:t>
            </w:r>
            <w:r w:rsidRPr="00432EC8">
              <w:rPr>
                <w:noProof/>
                <w:kern w:val="2"/>
                <w:sz w:val="20"/>
                <w:szCs w:val="20"/>
                <w:lang/>
                <w14:ligatures w14:val="standardContextual"/>
              </w:rPr>
              <w:tab/>
            </w:r>
            <w:r w:rsidRPr="00432EC8">
              <w:rPr>
                <w:rStyle w:val="Hyperlink"/>
                <w:noProof/>
                <w:sz w:val="20"/>
                <w:szCs w:val="20"/>
              </w:rPr>
              <w:t>Conclusion</w:t>
            </w:r>
            <w:r w:rsidRPr="00432EC8">
              <w:rPr>
                <w:noProof/>
                <w:webHidden/>
                <w:sz w:val="20"/>
                <w:szCs w:val="20"/>
              </w:rPr>
              <w:tab/>
            </w:r>
            <w:r w:rsidRPr="00432EC8">
              <w:rPr>
                <w:noProof/>
                <w:webHidden/>
                <w:sz w:val="20"/>
                <w:szCs w:val="20"/>
              </w:rPr>
              <w:fldChar w:fldCharType="begin"/>
            </w:r>
            <w:r w:rsidRPr="00432EC8">
              <w:rPr>
                <w:noProof/>
                <w:webHidden/>
                <w:sz w:val="20"/>
                <w:szCs w:val="20"/>
              </w:rPr>
              <w:instrText xml:space="preserve"> PAGEREF _Toc233640856 \h </w:instrText>
            </w:r>
            <w:r w:rsidRPr="00432EC8">
              <w:rPr>
                <w:noProof/>
                <w:webHidden/>
                <w:sz w:val="20"/>
                <w:szCs w:val="20"/>
              </w:rPr>
            </w:r>
            <w:r w:rsidRPr="00432EC8">
              <w:rPr>
                <w:noProof/>
                <w:webHidden/>
                <w:sz w:val="20"/>
                <w:szCs w:val="20"/>
              </w:rPr>
              <w:fldChar w:fldCharType="separate"/>
            </w:r>
            <w:r>
              <w:rPr>
                <w:noProof/>
                <w:webHidden/>
                <w:sz w:val="20"/>
                <w:szCs w:val="20"/>
              </w:rPr>
              <w:t>22</w:t>
            </w:r>
            <w:r w:rsidRPr="00432EC8">
              <w:rPr>
                <w:noProof/>
                <w:webHidden/>
                <w:sz w:val="20"/>
                <w:szCs w:val="20"/>
              </w:rPr>
              <w:fldChar w:fldCharType="end"/>
            </w:r>
          </w:hyperlink>
        </w:p>
        <w:p w14:paraId="35838D46" w14:textId="7637FAE7" w:rsidR="00432EC8" w:rsidRPr="00432EC8" w:rsidRDefault="00432EC8">
          <w:pPr>
            <w:pStyle w:val="TOC2"/>
            <w:tabs>
              <w:tab w:val="right" w:leader="dot" w:pos="9350"/>
            </w:tabs>
            <w:rPr>
              <w:noProof/>
              <w:kern w:val="2"/>
              <w:sz w:val="20"/>
              <w:szCs w:val="20"/>
              <w:lang/>
              <w14:ligatures w14:val="standardContextual"/>
            </w:rPr>
          </w:pPr>
          <w:hyperlink w:anchor="_Toc233640857" w:history="1">
            <w:r w:rsidRPr="00432EC8">
              <w:rPr>
                <w:rStyle w:val="Hyperlink"/>
                <w:noProof/>
                <w:sz w:val="20"/>
                <w:szCs w:val="20"/>
              </w:rPr>
              <w:t>References</w:t>
            </w:r>
            <w:r w:rsidRPr="00432EC8">
              <w:rPr>
                <w:noProof/>
                <w:webHidden/>
                <w:sz w:val="20"/>
                <w:szCs w:val="20"/>
              </w:rPr>
              <w:tab/>
            </w:r>
            <w:r w:rsidRPr="00432EC8">
              <w:rPr>
                <w:noProof/>
                <w:webHidden/>
                <w:sz w:val="20"/>
                <w:szCs w:val="20"/>
              </w:rPr>
              <w:fldChar w:fldCharType="begin"/>
            </w:r>
            <w:r w:rsidRPr="00432EC8">
              <w:rPr>
                <w:noProof/>
                <w:webHidden/>
                <w:sz w:val="20"/>
                <w:szCs w:val="20"/>
              </w:rPr>
              <w:instrText xml:space="preserve"> PAGEREF _Toc233640857 \h </w:instrText>
            </w:r>
            <w:r w:rsidRPr="00432EC8">
              <w:rPr>
                <w:noProof/>
                <w:webHidden/>
                <w:sz w:val="20"/>
                <w:szCs w:val="20"/>
              </w:rPr>
            </w:r>
            <w:r w:rsidRPr="00432EC8">
              <w:rPr>
                <w:noProof/>
                <w:webHidden/>
                <w:sz w:val="20"/>
                <w:szCs w:val="20"/>
              </w:rPr>
              <w:fldChar w:fldCharType="separate"/>
            </w:r>
            <w:r>
              <w:rPr>
                <w:noProof/>
                <w:webHidden/>
                <w:sz w:val="20"/>
                <w:szCs w:val="20"/>
              </w:rPr>
              <w:t>23</w:t>
            </w:r>
            <w:r w:rsidRPr="00432EC8">
              <w:rPr>
                <w:noProof/>
                <w:webHidden/>
                <w:sz w:val="20"/>
                <w:szCs w:val="20"/>
              </w:rPr>
              <w:fldChar w:fldCharType="end"/>
            </w:r>
          </w:hyperlink>
        </w:p>
        <w:p w14:paraId="12CF89E7" w14:textId="38D5A152" w:rsidR="00432EC8" w:rsidRPr="00432EC8" w:rsidRDefault="00432EC8">
          <w:pPr>
            <w:pStyle w:val="TOC2"/>
            <w:tabs>
              <w:tab w:val="right" w:leader="dot" w:pos="9350"/>
            </w:tabs>
            <w:rPr>
              <w:noProof/>
              <w:kern w:val="2"/>
              <w:sz w:val="20"/>
              <w:szCs w:val="20"/>
              <w:lang/>
              <w14:ligatures w14:val="standardContextual"/>
            </w:rPr>
          </w:pPr>
          <w:hyperlink w:anchor="_Toc233640858" w:history="1">
            <w:r w:rsidRPr="00432EC8">
              <w:rPr>
                <w:rStyle w:val="Hyperlink"/>
                <w:noProof/>
                <w:sz w:val="20"/>
                <w:szCs w:val="20"/>
              </w:rPr>
              <w:t>Appendix A. RHEM estimation configuration</w:t>
            </w:r>
            <w:r w:rsidRPr="00432EC8">
              <w:rPr>
                <w:noProof/>
                <w:webHidden/>
                <w:sz w:val="20"/>
                <w:szCs w:val="20"/>
              </w:rPr>
              <w:tab/>
            </w:r>
            <w:r w:rsidRPr="00432EC8">
              <w:rPr>
                <w:noProof/>
                <w:webHidden/>
                <w:sz w:val="20"/>
                <w:szCs w:val="20"/>
              </w:rPr>
              <w:fldChar w:fldCharType="begin"/>
            </w:r>
            <w:r w:rsidRPr="00432EC8">
              <w:rPr>
                <w:noProof/>
                <w:webHidden/>
                <w:sz w:val="20"/>
                <w:szCs w:val="20"/>
              </w:rPr>
              <w:instrText xml:space="preserve"> PAGEREF _Toc233640858 \h </w:instrText>
            </w:r>
            <w:r w:rsidRPr="00432EC8">
              <w:rPr>
                <w:noProof/>
                <w:webHidden/>
                <w:sz w:val="20"/>
                <w:szCs w:val="20"/>
              </w:rPr>
            </w:r>
            <w:r w:rsidRPr="00432EC8">
              <w:rPr>
                <w:noProof/>
                <w:webHidden/>
                <w:sz w:val="20"/>
                <w:szCs w:val="20"/>
              </w:rPr>
              <w:fldChar w:fldCharType="separate"/>
            </w:r>
            <w:r>
              <w:rPr>
                <w:noProof/>
                <w:webHidden/>
                <w:sz w:val="20"/>
                <w:szCs w:val="20"/>
              </w:rPr>
              <w:t>25</w:t>
            </w:r>
            <w:r w:rsidRPr="00432EC8">
              <w:rPr>
                <w:noProof/>
                <w:webHidden/>
                <w:sz w:val="20"/>
                <w:szCs w:val="20"/>
              </w:rPr>
              <w:fldChar w:fldCharType="end"/>
            </w:r>
          </w:hyperlink>
        </w:p>
        <w:p w14:paraId="3EEA23BB" w14:textId="21DDD705" w:rsidR="00432EC8" w:rsidRPr="00432EC8" w:rsidRDefault="00432EC8">
          <w:pPr>
            <w:pStyle w:val="TOC2"/>
            <w:tabs>
              <w:tab w:val="right" w:leader="dot" w:pos="9350"/>
            </w:tabs>
            <w:rPr>
              <w:noProof/>
              <w:kern w:val="2"/>
              <w:sz w:val="20"/>
              <w:szCs w:val="20"/>
              <w:lang/>
              <w14:ligatures w14:val="standardContextual"/>
            </w:rPr>
          </w:pPr>
          <w:hyperlink w:anchor="_Toc233640859" w:history="1">
            <w:r w:rsidRPr="00432EC8">
              <w:rPr>
                <w:rStyle w:val="Hyperlink"/>
                <w:noProof/>
                <w:sz w:val="20"/>
                <w:szCs w:val="20"/>
              </w:rPr>
              <w:t xml:space="preserve">Appendix B. Derivation of the </w:t>
            </w:r>
            <m:oMath>
              <m:r>
                <m:rPr>
                  <m:sty m:val="b"/>
                </m:rPr>
                <w:rPr>
                  <w:rStyle w:val="Hyperlink"/>
                  <w:rFonts w:ascii="Cambria Math" w:hAnsi="Cambria Math"/>
                  <w:noProof/>
                  <w:sz w:val="20"/>
                  <w:szCs w:val="20"/>
                </w:rPr>
                <m:t>log</m:t>
              </m:r>
              <m:r>
                <m:rPr>
                  <m:sty m:val="p"/>
                </m:rPr>
                <w:rPr>
                  <w:rStyle w:val="Hyperlink"/>
                  <w:rFonts w:ascii="Cambria Math" w:hAnsi="Cambria Math"/>
                  <w:noProof/>
                  <w:sz w:val="20"/>
                  <w:szCs w:val="20"/>
                </w:rPr>
                <m:t>(</m:t>
              </m:r>
              <m:r>
                <m:rPr>
                  <m:sty m:val="bi"/>
                </m:rPr>
                <w:rPr>
                  <w:rStyle w:val="Hyperlink"/>
                  <w:rFonts w:ascii="Cambria Math" w:hAnsi="Cambria Math"/>
                  <w:noProof/>
                  <w:sz w:val="20"/>
                  <w:szCs w:val="20"/>
                </w:rPr>
                <m:t>1</m:t>
              </m:r>
              <m:r>
                <m:rPr>
                  <m:sty m:val="p"/>
                </m:rPr>
                <w:rPr>
                  <w:rStyle w:val="Hyperlink"/>
                  <w:rFonts w:ascii="Cambria Math" w:hAnsi="Cambria Math"/>
                  <w:noProof/>
                  <w:sz w:val="20"/>
                  <w:szCs w:val="20"/>
                </w:rPr>
                <m:t>+</m:t>
              </m:r>
              <m:r>
                <m:rPr>
                  <m:sty m:val="bi"/>
                </m:rPr>
                <w:rPr>
                  <w:rStyle w:val="Hyperlink"/>
                  <w:rFonts w:ascii="Cambria Math" w:hAnsi="Cambria Math"/>
                  <w:noProof/>
                  <w:sz w:val="20"/>
                  <w:szCs w:val="20"/>
                </w:rPr>
                <m:t>p</m:t>
              </m:r>
              <m:r>
                <m:rPr>
                  <m:sty m:val="p"/>
                </m:rPr>
                <w:rPr>
                  <w:rStyle w:val="Hyperlink"/>
                  <w:rFonts w:ascii="Cambria Math" w:hAnsi="Cambria Math"/>
                  <w:noProof/>
                  <w:sz w:val="20"/>
                  <w:szCs w:val="20"/>
                </w:rPr>
                <m:t>)</m:t>
              </m:r>
            </m:oMath>
            <w:r w:rsidRPr="00432EC8">
              <w:rPr>
                <w:rStyle w:val="Hyperlink"/>
                <w:noProof/>
                <w:sz w:val="20"/>
                <w:szCs w:val="20"/>
              </w:rPr>
              <w:t xml:space="preserve"> shift in </w:t>
            </w:r>
            <m:oMath>
              <m:r>
                <m:rPr>
                  <m:sty m:val="bi"/>
                </m:rPr>
                <w:rPr>
                  <w:rStyle w:val="Hyperlink"/>
                  <w:rFonts w:ascii="Cambria Math" w:hAnsi="Cambria Math"/>
                  <w:noProof/>
                  <w:sz w:val="20"/>
                  <w:szCs w:val="20"/>
                </w:rPr>
                <m:t>β</m:t>
              </m:r>
              <m:r>
                <m:rPr>
                  <m:sty m:val="bi"/>
                </m:rPr>
                <w:rPr>
                  <w:rStyle w:val="Hyperlink"/>
                  <w:rFonts w:ascii="Cambria Math" w:hAnsi="Cambria Math"/>
                  <w:noProof/>
                  <w:sz w:val="20"/>
                  <w:szCs w:val="20"/>
                </w:rPr>
                <m:t>0</m:t>
              </m:r>
            </m:oMath>
            <w:r w:rsidRPr="00432EC8">
              <w:rPr>
                <w:noProof/>
                <w:webHidden/>
                <w:sz w:val="20"/>
                <w:szCs w:val="20"/>
              </w:rPr>
              <w:tab/>
            </w:r>
            <w:r w:rsidRPr="00432EC8">
              <w:rPr>
                <w:noProof/>
                <w:webHidden/>
                <w:sz w:val="20"/>
                <w:szCs w:val="20"/>
              </w:rPr>
              <w:fldChar w:fldCharType="begin"/>
            </w:r>
            <w:r w:rsidRPr="00432EC8">
              <w:rPr>
                <w:noProof/>
                <w:webHidden/>
                <w:sz w:val="20"/>
                <w:szCs w:val="20"/>
              </w:rPr>
              <w:instrText xml:space="preserve"> PAGEREF _Toc233640859 \h </w:instrText>
            </w:r>
            <w:r w:rsidRPr="00432EC8">
              <w:rPr>
                <w:noProof/>
                <w:webHidden/>
                <w:sz w:val="20"/>
                <w:szCs w:val="20"/>
              </w:rPr>
            </w:r>
            <w:r w:rsidRPr="00432EC8">
              <w:rPr>
                <w:noProof/>
                <w:webHidden/>
                <w:sz w:val="20"/>
                <w:szCs w:val="20"/>
              </w:rPr>
              <w:fldChar w:fldCharType="separate"/>
            </w:r>
            <w:r>
              <w:rPr>
                <w:noProof/>
                <w:webHidden/>
                <w:sz w:val="20"/>
                <w:szCs w:val="20"/>
              </w:rPr>
              <w:t>25</w:t>
            </w:r>
            <w:r w:rsidRPr="00432EC8">
              <w:rPr>
                <w:noProof/>
                <w:webHidden/>
                <w:sz w:val="20"/>
                <w:szCs w:val="20"/>
              </w:rPr>
              <w:fldChar w:fldCharType="end"/>
            </w:r>
          </w:hyperlink>
        </w:p>
        <w:p w14:paraId="37699B58" w14:textId="3970BCD4" w:rsidR="00432EC8" w:rsidRPr="00432EC8" w:rsidRDefault="00432EC8">
          <w:pPr>
            <w:pStyle w:val="TOC2"/>
            <w:tabs>
              <w:tab w:val="right" w:leader="dot" w:pos="9350"/>
            </w:tabs>
            <w:rPr>
              <w:noProof/>
              <w:kern w:val="2"/>
              <w:sz w:val="20"/>
              <w:szCs w:val="20"/>
              <w:lang/>
              <w14:ligatures w14:val="standardContextual"/>
            </w:rPr>
          </w:pPr>
          <w:hyperlink w:anchor="_Toc233640860" w:history="1">
            <w:r w:rsidRPr="00432EC8">
              <w:rPr>
                <w:rStyle w:val="Hyperlink"/>
                <w:noProof/>
                <w:sz w:val="20"/>
                <w:szCs w:val="20"/>
              </w:rPr>
              <w:t>Appendix C. Code and data availability</w:t>
            </w:r>
            <w:r w:rsidRPr="00432EC8">
              <w:rPr>
                <w:noProof/>
                <w:webHidden/>
                <w:sz w:val="20"/>
                <w:szCs w:val="20"/>
              </w:rPr>
              <w:tab/>
            </w:r>
            <w:r w:rsidRPr="00432EC8">
              <w:rPr>
                <w:noProof/>
                <w:webHidden/>
                <w:sz w:val="20"/>
                <w:szCs w:val="20"/>
              </w:rPr>
              <w:fldChar w:fldCharType="begin"/>
            </w:r>
            <w:r w:rsidRPr="00432EC8">
              <w:rPr>
                <w:noProof/>
                <w:webHidden/>
                <w:sz w:val="20"/>
                <w:szCs w:val="20"/>
              </w:rPr>
              <w:instrText xml:space="preserve"> PAGEREF _Toc233640860 \h </w:instrText>
            </w:r>
            <w:r w:rsidRPr="00432EC8">
              <w:rPr>
                <w:noProof/>
                <w:webHidden/>
                <w:sz w:val="20"/>
                <w:szCs w:val="20"/>
              </w:rPr>
            </w:r>
            <w:r w:rsidRPr="00432EC8">
              <w:rPr>
                <w:noProof/>
                <w:webHidden/>
                <w:sz w:val="20"/>
                <w:szCs w:val="20"/>
              </w:rPr>
              <w:fldChar w:fldCharType="separate"/>
            </w:r>
            <w:r>
              <w:rPr>
                <w:noProof/>
                <w:webHidden/>
                <w:sz w:val="20"/>
                <w:szCs w:val="20"/>
              </w:rPr>
              <w:t>26</w:t>
            </w:r>
            <w:r w:rsidRPr="00432EC8">
              <w:rPr>
                <w:noProof/>
                <w:webHidden/>
                <w:sz w:val="20"/>
                <w:szCs w:val="20"/>
              </w:rPr>
              <w:fldChar w:fldCharType="end"/>
            </w:r>
          </w:hyperlink>
        </w:p>
        <w:p w14:paraId="697953B6" w14:textId="305AB9ED" w:rsidR="00432EC8" w:rsidRPr="00432EC8" w:rsidRDefault="00432EC8">
          <w:pPr>
            <w:pStyle w:val="TOC2"/>
            <w:tabs>
              <w:tab w:val="right" w:leader="dot" w:pos="9350"/>
            </w:tabs>
            <w:rPr>
              <w:noProof/>
              <w:kern w:val="2"/>
              <w:sz w:val="20"/>
              <w:szCs w:val="20"/>
              <w:lang/>
              <w14:ligatures w14:val="standardContextual"/>
            </w:rPr>
          </w:pPr>
          <w:hyperlink w:anchor="_Toc233640861" w:history="1">
            <w:r w:rsidRPr="00432EC8">
              <w:rPr>
                <w:rStyle w:val="Hyperlink"/>
                <w:noProof/>
                <w:sz w:val="20"/>
                <w:szCs w:val="20"/>
              </w:rPr>
              <w:t>Appendix D. AI-Statement</w:t>
            </w:r>
            <w:r w:rsidRPr="00432EC8">
              <w:rPr>
                <w:noProof/>
                <w:webHidden/>
                <w:sz w:val="20"/>
                <w:szCs w:val="20"/>
              </w:rPr>
              <w:tab/>
            </w:r>
            <w:r w:rsidRPr="00432EC8">
              <w:rPr>
                <w:noProof/>
                <w:webHidden/>
                <w:sz w:val="20"/>
                <w:szCs w:val="20"/>
              </w:rPr>
              <w:fldChar w:fldCharType="begin"/>
            </w:r>
            <w:r w:rsidRPr="00432EC8">
              <w:rPr>
                <w:noProof/>
                <w:webHidden/>
                <w:sz w:val="20"/>
                <w:szCs w:val="20"/>
              </w:rPr>
              <w:instrText xml:space="preserve"> PAGEREF _Toc233640861 \h </w:instrText>
            </w:r>
            <w:r w:rsidRPr="00432EC8">
              <w:rPr>
                <w:noProof/>
                <w:webHidden/>
                <w:sz w:val="20"/>
                <w:szCs w:val="20"/>
              </w:rPr>
            </w:r>
            <w:r w:rsidRPr="00432EC8">
              <w:rPr>
                <w:noProof/>
                <w:webHidden/>
                <w:sz w:val="20"/>
                <w:szCs w:val="20"/>
              </w:rPr>
              <w:fldChar w:fldCharType="separate"/>
            </w:r>
            <w:r>
              <w:rPr>
                <w:noProof/>
                <w:webHidden/>
                <w:sz w:val="20"/>
                <w:szCs w:val="20"/>
              </w:rPr>
              <w:t>27</w:t>
            </w:r>
            <w:r w:rsidRPr="00432EC8">
              <w:rPr>
                <w:noProof/>
                <w:webHidden/>
                <w:sz w:val="20"/>
                <w:szCs w:val="20"/>
              </w:rPr>
              <w:fldChar w:fldCharType="end"/>
            </w:r>
          </w:hyperlink>
        </w:p>
        <w:p w14:paraId="5555EB34" w14:textId="01EB2A52" w:rsidR="0026249A" w:rsidRPr="00890670" w:rsidRDefault="0026249A" w:rsidP="00FF3141">
          <w:r w:rsidRPr="00E426E5">
            <w:rPr>
              <w:sz w:val="4"/>
              <w:szCs w:val="4"/>
            </w:rPr>
            <w:fldChar w:fldCharType="end"/>
          </w:r>
        </w:p>
      </w:sdtContent>
    </w:sdt>
    <w:p w14:paraId="06EAA3C5" w14:textId="3ED0E02C" w:rsidR="000406DD" w:rsidRDefault="000406DD" w:rsidP="00E426E5">
      <w:pPr>
        <w:pStyle w:val="Heading2"/>
      </w:pPr>
      <w:bookmarkStart w:id="5" w:name="current-research"/>
      <w:bookmarkStart w:id="6" w:name="_Toc233640828"/>
      <w:bookmarkEnd w:id="0"/>
      <w:r w:rsidRPr="00E426E5">
        <w:t>Introduction</w:t>
      </w:r>
      <w:bookmarkEnd w:id="6"/>
    </w:p>
    <w:p w14:paraId="7299750F" w14:textId="77777777" w:rsidR="000406DD" w:rsidRDefault="000406DD" w:rsidP="000406DD">
      <w:pPr>
        <w:pStyle w:val="FirstParagraph"/>
      </w:pPr>
      <w:r>
        <w:t>Social interactions between actors are a foundational object of study in the social and behavioural sciences. The patterns by which actors initiate, return, and chain interactions over time are widely understood to encode the relational structures through which information, influence, and coordination move (</w:t>
      </w:r>
      <w:hyperlink w:anchor="ref_Butts_2008" w:history="1">
        <w:r>
          <w:t>Butts, 2008</w:t>
        </w:r>
      </w:hyperlink>
      <w:r>
        <w:t xml:space="preserve">; </w:t>
      </w:r>
      <w:hyperlink w:anchor="ref_Newman_2018" w:history="1">
        <w:r>
          <w:t>Newman, 2018</w:t>
        </w:r>
      </w:hyperlink>
      <w:r>
        <w:t>). Among the kinds of data that capture such interactions, relational event history (REH) data is distinctive in that each interaction is recorded as a discrete time-stamped event, preserving both the order and the precise timing of what happens (</w:t>
      </w:r>
      <w:hyperlink w:anchor="ref_Butts_2008" w:history="1">
        <w:r>
          <w:t>Butts, 2008</w:t>
        </w:r>
      </w:hyperlink>
      <w:r>
        <w:t xml:space="preserve">; </w:t>
      </w:r>
      <w:hyperlink w:anchor="ref_Butts_2017" w:history="1">
        <w:r>
          <w:t>Butts &amp; Marcum, 2017</w:t>
        </w:r>
      </w:hyperlink>
      <w:r>
        <w:t>). The increasing availability of REH data, driven by email systems, instant messaging, sensor-based contact recording, and large-scale automated data collection, has made it possible to study social processes at fine temporal resolution (</w:t>
      </w:r>
      <w:hyperlink w:anchor="ref_Lazer_2009" w:history="1">
        <w:r>
          <w:t>Lazer et al., 2009</w:t>
        </w:r>
      </w:hyperlink>
      <w:r>
        <w:t xml:space="preserve">; </w:t>
      </w:r>
      <w:hyperlink w:anchor="ref_Lerner_2020" w:history="1">
        <w:r>
          <w:t>Lerner &amp; Lomi, 2020</w:t>
        </w:r>
      </w:hyperlink>
      <w:r>
        <w:t>).</w:t>
      </w:r>
    </w:p>
    <w:p w14:paraId="042CBF02" w14:textId="77777777" w:rsidR="000406DD" w:rsidRDefault="000406DD" w:rsidP="000406DD">
      <w:pPr>
        <w:pStyle w:val="BodyText"/>
      </w:pPr>
      <w:r>
        <w:t>The Relational Event Model (REM) is the standard statistical framework for analysing REH data (</w:t>
      </w:r>
      <w:hyperlink w:anchor="ref_Butts_2008" w:history="1">
        <w:r>
          <w:t>Butts, 2008</w:t>
        </w:r>
      </w:hyperlink>
      <w:r>
        <w:t xml:space="preserve">). It models the rate at which each potential interaction occurs as a log-linear function of statistics computed from the </w:t>
      </w:r>
      <w:proofErr w:type="gramStart"/>
      <w:r>
        <w:t>past history</w:t>
      </w:r>
      <w:proofErr w:type="gramEnd"/>
      <w:r>
        <w:t xml:space="preserve"> of events (endogenous statistics) and from actor or dyad attributes (exogenous statistics). The framework is dyadic by construction: every event is assumed to involve exactly one sender (the actor that initiates the interaction) and exactly one receiver (the actor the interaction is directed at), a pair referred to as a dyad (</w:t>
      </w:r>
      <w:hyperlink w:anchor="ref_Butts_2008" w:history="1">
        <w:r>
          <w:t>Butts, 2008</w:t>
        </w:r>
      </w:hyperlink>
      <w:r>
        <w:t>). This assumption simplifies the model considerably, but it does not match the structure of many real interaction systems. Email and group meetings, for example, routinely involve a single sender addressing multiple receivers in one event. When such data is transformed into a dyadic format (typically by replicating each multi-receiver event as several single-receiver events), information about the multi-receiver structure of the original event is lost (</w:t>
      </w:r>
      <w:hyperlink w:anchor="ref_Mulder_2024" w:history="1">
        <w:r>
          <w:t>Mulder &amp; Hoff, 2024</w:t>
        </w:r>
      </w:hyperlink>
      <w:r>
        <w:t>).</w:t>
      </w:r>
    </w:p>
    <w:p w14:paraId="43A85B43" w14:textId="77777777" w:rsidR="000406DD" w:rsidRDefault="000406DD" w:rsidP="000406DD">
      <w:pPr>
        <w:pStyle w:val="BodyText"/>
      </w:pPr>
      <w:r>
        <w:t>A native model for multi-receiver events is the Relational Hyperevent Model (RHEM), which extends REM to events involving any number of receivers (</w:t>
      </w:r>
      <w:hyperlink w:anchor="ref_Lerner_2023" w:history="1">
        <w:r>
          <w:t>Lerner &amp; Lomi, 2023</w:t>
        </w:r>
      </w:hyperlink>
      <w:r>
        <w:t>). Despite this advance, dyadic transformation remains a common practical step, often applied without explicit justification (</w:t>
      </w:r>
      <w:hyperlink w:anchor="ref_Mulder_2024" w:history="1">
        <w:r>
          <w:t>Mulder &amp; Hoff, 2024</w:t>
        </w:r>
      </w:hyperlink>
      <w:r>
        <w:t xml:space="preserve">). </w:t>
      </w:r>
      <w:hyperlink w:anchor="ref_Lerner_2023" w:history="1">
        <w:r>
          <w:t>Lerner and Lomi (2023)</w:t>
        </w:r>
      </w:hyperlink>
      <w:r>
        <w:t xml:space="preserve"> report a better fit for RHEM than for a REM fitted to the dyadically transformed version of the same data. What has not been established is the size of the multi-receiver share up to which dyadic transformation still recovers the underlying REM parameters reliably. This is a clear gap: although the qualitative cost of dyadic transformation is documented, there is no controlled measurement of how much multi-receiver content the transformation can absorb before its estimates can no longer be trusted. Using a controlled simulation experiment with known dyadic generating parameters, this thesis estimates that share: the proportion of multi-receiver events up to which the dyadic transformation can still be relied upon for REM parameter recovery, and beyond which it cannot.</w:t>
      </w:r>
    </w:p>
    <w:p w14:paraId="2CC1E146" w14:textId="475784FB" w:rsidR="000406DD" w:rsidRPr="00051344" w:rsidRDefault="000406DD" w:rsidP="00E426E5">
      <w:pPr>
        <w:pStyle w:val="Heading3"/>
      </w:pPr>
      <w:bookmarkStart w:id="7" w:name="X842e24002b9edf666c3e01219695761036f973c"/>
      <w:bookmarkStart w:id="8" w:name="_Toc233640829"/>
      <w:r w:rsidRPr="00E426E5">
        <w:t>Social</w:t>
      </w:r>
      <w:r w:rsidRPr="00051344">
        <w:t xml:space="preserve"> networks and relational event history data</w:t>
      </w:r>
      <w:bookmarkEnd w:id="8"/>
    </w:p>
    <w:p w14:paraId="24EBFC4B" w14:textId="77777777" w:rsidR="000406DD" w:rsidRDefault="000406DD" w:rsidP="000406DD">
      <w:pPr>
        <w:pStyle w:val="FirstParagraph"/>
      </w:pPr>
      <w:r>
        <w:t>A social network is a collection of social actors connected by some relation, where the actors can be individuals, groups, or organisations and the relation can be friendship, kinship, communication, or any other form of social tie (</w:t>
      </w:r>
      <w:hyperlink w:anchor="ref_Wasserman_1994" w:history="1">
        <w:r>
          <w:t>Wasserman &amp; Faust, 1994</w:t>
        </w:r>
      </w:hyperlink>
      <w:r>
        <w:t xml:space="preserve">; </w:t>
      </w:r>
      <w:hyperlink w:anchor="ref_Newman_2018" w:history="1">
        <w:r>
          <w:t>Newman, 2018</w:t>
        </w:r>
      </w:hyperlink>
      <w:r>
        <w:t>). Social network analysis studies the patterns and structures of these relations, asking why ties form, how they persist, and how they change over time. A wide range of theoretical perspectives sit within this framework, from static structural analyses of fixed ties to fully dynamic accounts of evolving social processes (</w:t>
      </w:r>
      <w:hyperlink w:anchor="ref_Snijders_2001" w:history="1">
        <w:r>
          <w:t>Snijders, 2001</w:t>
        </w:r>
      </w:hyperlink>
      <w:r>
        <w:t xml:space="preserve">; </w:t>
      </w:r>
      <w:hyperlink w:anchor="ref_Carrington_2005" w:history="1">
        <w:r>
          <w:t>Carrington et al., 2005</w:t>
        </w:r>
      </w:hyperlink>
      <w:r>
        <w:t>).</w:t>
      </w:r>
    </w:p>
    <w:p w14:paraId="0C3A9620" w14:textId="77777777" w:rsidR="000406DD" w:rsidRDefault="000406DD" w:rsidP="000406DD">
      <w:pPr>
        <w:pStyle w:val="BodyText"/>
      </w:pPr>
      <w:r>
        <w:t>REH data is one of the dynamic forms of social network data. It records a time-ordered sequence of directed interaction events between actors. Each event consists at minimum of three components: a sender, a receiver, and a time stamp at which the interaction took place (</w:t>
      </w:r>
      <w:hyperlink w:anchor="ref_Butts_2017" w:history="1">
        <w:r>
          <w:t>Butts &amp; Marcum, 2017</w:t>
        </w:r>
      </w:hyperlink>
      <w:r>
        <w:t xml:space="preserve">; </w:t>
      </w:r>
      <w:hyperlink w:anchor="ref_Marcum_2015" w:history="1">
        <w:r>
          <w:t>Marcum &amp; Butts, 2015</w:t>
        </w:r>
      </w:hyperlink>
      <w:r>
        <w:t>). Senders and receivers can in principle be of any kind, and the action represented by an event can be any brief interaction. Multiple events ordered by time form a relational event history. Table 1 illustrates the structure on the first five rows of a synthetic example.</w:t>
      </w:r>
    </w:p>
    <w:p w14:paraId="7ECB72EF" w14:textId="0D028618" w:rsidR="008E3453" w:rsidRPr="008E3453" w:rsidRDefault="008E3453" w:rsidP="008E3453">
      <w:pPr>
        <w:pStyle w:val="Caption"/>
        <w:keepNext/>
        <w:rPr>
          <w:b/>
          <w:bCs/>
          <w:i w:val="0"/>
          <w:iCs/>
        </w:rPr>
      </w:pPr>
      <w:r w:rsidRPr="008E3453">
        <w:rPr>
          <w:b/>
          <w:bCs/>
          <w:i w:val="0"/>
          <w:iCs/>
        </w:rPr>
        <w:t xml:space="preserve">Table </w:t>
      </w:r>
      <w:r w:rsidRPr="008E3453">
        <w:rPr>
          <w:b/>
          <w:bCs/>
          <w:i w:val="0"/>
          <w:iCs/>
        </w:rPr>
        <w:fldChar w:fldCharType="begin"/>
      </w:r>
      <w:r w:rsidRPr="008E3453">
        <w:rPr>
          <w:b/>
          <w:bCs/>
          <w:i w:val="0"/>
          <w:iCs/>
        </w:rPr>
        <w:instrText xml:space="preserve"> SEQ Table \* ARABIC </w:instrText>
      </w:r>
      <w:r w:rsidRPr="008E3453">
        <w:rPr>
          <w:b/>
          <w:bCs/>
          <w:i w:val="0"/>
          <w:iCs/>
        </w:rPr>
        <w:fldChar w:fldCharType="separate"/>
      </w:r>
      <w:r>
        <w:rPr>
          <w:b/>
          <w:bCs/>
          <w:i w:val="0"/>
          <w:iCs/>
          <w:noProof/>
        </w:rPr>
        <w:t>1</w:t>
      </w:r>
      <w:r w:rsidRPr="008E3453">
        <w:rPr>
          <w:b/>
          <w:bCs/>
          <w:i w:val="0"/>
          <w:iCs/>
        </w:rPr>
        <w:fldChar w:fldCharType="end"/>
      </w:r>
    </w:p>
    <w:p w14:paraId="1CA0732A" w14:textId="3EB3B848" w:rsidR="008E3453" w:rsidRDefault="008E3453" w:rsidP="008E3453">
      <w:pPr>
        <w:pStyle w:val="BodyText"/>
      </w:pPr>
      <w:r>
        <w:rPr>
          <w:i/>
          <w:iCs/>
        </w:rPr>
        <w:t>Illustrative Example of Relational Event History (REH) Data</w:t>
      </w:r>
    </w:p>
    <w:tbl>
      <w:tblPr>
        <w:tblStyle w:val="GridTable1Light"/>
        <w:tblW w:w="0" w:type="auto"/>
        <w:jc w:val="center"/>
        <w:tblLook w:val="0020" w:firstRow="1" w:lastRow="0" w:firstColumn="0" w:lastColumn="0" w:noHBand="0" w:noVBand="0"/>
      </w:tblPr>
      <w:tblGrid>
        <w:gridCol w:w="749"/>
        <w:gridCol w:w="995"/>
        <w:gridCol w:w="1172"/>
      </w:tblGrid>
      <w:tr w:rsidR="000406DD" w14:paraId="1776FAAD" w14:textId="77777777" w:rsidTr="00956F70">
        <w:trPr>
          <w:cnfStyle w:val="100000000000" w:firstRow="1" w:lastRow="0" w:firstColumn="0" w:lastColumn="0" w:oddVBand="0" w:evenVBand="0" w:oddHBand="0" w:evenHBand="0" w:firstRowFirstColumn="0" w:firstRowLastColumn="0" w:lastRowFirstColumn="0" w:lastRowLastColumn="0"/>
          <w:jc w:val="center"/>
        </w:trPr>
        <w:tc>
          <w:tcPr>
            <w:tcW w:w="0" w:type="auto"/>
          </w:tcPr>
          <w:p w14:paraId="1B4B67F4" w14:textId="77777777" w:rsidR="000406DD" w:rsidRDefault="000406DD" w:rsidP="00587953">
            <w:pPr>
              <w:pStyle w:val="Compact"/>
              <w:jc w:val="right"/>
            </w:pPr>
            <w:r>
              <w:t>Time</w:t>
            </w:r>
          </w:p>
        </w:tc>
        <w:tc>
          <w:tcPr>
            <w:tcW w:w="0" w:type="auto"/>
          </w:tcPr>
          <w:p w14:paraId="36DFC2D3" w14:textId="77777777" w:rsidR="000406DD" w:rsidRDefault="000406DD" w:rsidP="00587953">
            <w:pPr>
              <w:pStyle w:val="Compact"/>
              <w:jc w:val="center"/>
            </w:pPr>
            <w:r>
              <w:t>Sender</w:t>
            </w:r>
          </w:p>
        </w:tc>
        <w:tc>
          <w:tcPr>
            <w:tcW w:w="0" w:type="auto"/>
          </w:tcPr>
          <w:p w14:paraId="4141E18F" w14:textId="77777777" w:rsidR="000406DD" w:rsidRDefault="000406DD" w:rsidP="00587953">
            <w:pPr>
              <w:pStyle w:val="Compact"/>
              <w:jc w:val="center"/>
            </w:pPr>
            <w:r>
              <w:t>Receiver</w:t>
            </w:r>
          </w:p>
        </w:tc>
      </w:tr>
      <w:tr w:rsidR="000406DD" w14:paraId="1ADAEAE0" w14:textId="77777777" w:rsidTr="00956F70">
        <w:trPr>
          <w:jc w:val="center"/>
        </w:trPr>
        <w:tc>
          <w:tcPr>
            <w:tcW w:w="0" w:type="auto"/>
          </w:tcPr>
          <w:p w14:paraId="4A7B7C83" w14:textId="77777777" w:rsidR="000406DD" w:rsidRDefault="000406DD" w:rsidP="00587953">
            <w:pPr>
              <w:pStyle w:val="Compact"/>
              <w:jc w:val="right"/>
            </w:pPr>
            <w:r>
              <w:t>10.0</w:t>
            </w:r>
          </w:p>
        </w:tc>
        <w:tc>
          <w:tcPr>
            <w:tcW w:w="0" w:type="auto"/>
          </w:tcPr>
          <w:p w14:paraId="7E649A3B" w14:textId="77777777" w:rsidR="000406DD" w:rsidRDefault="000406DD" w:rsidP="00587953">
            <w:pPr>
              <w:pStyle w:val="Compact"/>
              <w:jc w:val="center"/>
            </w:pPr>
            <w:r>
              <w:t>1</w:t>
            </w:r>
          </w:p>
        </w:tc>
        <w:tc>
          <w:tcPr>
            <w:tcW w:w="0" w:type="auto"/>
          </w:tcPr>
          <w:p w14:paraId="747DD82B" w14:textId="77777777" w:rsidR="000406DD" w:rsidRDefault="000406DD" w:rsidP="00587953">
            <w:pPr>
              <w:pStyle w:val="Compact"/>
              <w:jc w:val="center"/>
            </w:pPr>
            <w:r>
              <w:t>2</w:t>
            </w:r>
          </w:p>
        </w:tc>
      </w:tr>
      <w:tr w:rsidR="000406DD" w14:paraId="6D193053" w14:textId="77777777" w:rsidTr="00956F70">
        <w:trPr>
          <w:jc w:val="center"/>
        </w:trPr>
        <w:tc>
          <w:tcPr>
            <w:tcW w:w="0" w:type="auto"/>
          </w:tcPr>
          <w:p w14:paraId="5B715396" w14:textId="77777777" w:rsidR="000406DD" w:rsidRDefault="000406DD" w:rsidP="00587953">
            <w:pPr>
              <w:pStyle w:val="Compact"/>
              <w:jc w:val="right"/>
            </w:pPr>
            <w:r>
              <w:t>12.5</w:t>
            </w:r>
          </w:p>
        </w:tc>
        <w:tc>
          <w:tcPr>
            <w:tcW w:w="0" w:type="auto"/>
          </w:tcPr>
          <w:p w14:paraId="25A094E2" w14:textId="77777777" w:rsidR="000406DD" w:rsidRDefault="000406DD" w:rsidP="00587953">
            <w:pPr>
              <w:pStyle w:val="Compact"/>
              <w:jc w:val="center"/>
            </w:pPr>
            <w:r>
              <w:t>2</w:t>
            </w:r>
          </w:p>
        </w:tc>
        <w:tc>
          <w:tcPr>
            <w:tcW w:w="0" w:type="auto"/>
          </w:tcPr>
          <w:p w14:paraId="1C7C7174" w14:textId="77777777" w:rsidR="000406DD" w:rsidRDefault="000406DD" w:rsidP="00587953">
            <w:pPr>
              <w:pStyle w:val="Compact"/>
              <w:jc w:val="center"/>
            </w:pPr>
            <w:r>
              <w:t>1</w:t>
            </w:r>
          </w:p>
        </w:tc>
      </w:tr>
      <w:tr w:rsidR="000406DD" w14:paraId="6CCA61FA" w14:textId="77777777" w:rsidTr="00956F70">
        <w:trPr>
          <w:jc w:val="center"/>
        </w:trPr>
        <w:tc>
          <w:tcPr>
            <w:tcW w:w="0" w:type="auto"/>
          </w:tcPr>
          <w:p w14:paraId="7A5FE167" w14:textId="77777777" w:rsidR="000406DD" w:rsidRDefault="000406DD" w:rsidP="00587953">
            <w:pPr>
              <w:pStyle w:val="Compact"/>
              <w:jc w:val="right"/>
            </w:pPr>
            <w:r>
              <w:t>18.7</w:t>
            </w:r>
          </w:p>
        </w:tc>
        <w:tc>
          <w:tcPr>
            <w:tcW w:w="0" w:type="auto"/>
          </w:tcPr>
          <w:p w14:paraId="4B5712FF" w14:textId="77777777" w:rsidR="000406DD" w:rsidRDefault="000406DD" w:rsidP="00587953">
            <w:pPr>
              <w:pStyle w:val="Compact"/>
              <w:jc w:val="center"/>
            </w:pPr>
            <w:r>
              <w:t>1</w:t>
            </w:r>
          </w:p>
        </w:tc>
        <w:tc>
          <w:tcPr>
            <w:tcW w:w="0" w:type="auto"/>
          </w:tcPr>
          <w:p w14:paraId="66808DBC" w14:textId="77777777" w:rsidR="000406DD" w:rsidRDefault="000406DD" w:rsidP="00587953">
            <w:pPr>
              <w:pStyle w:val="Compact"/>
              <w:jc w:val="center"/>
            </w:pPr>
            <w:r>
              <w:t>3</w:t>
            </w:r>
          </w:p>
        </w:tc>
      </w:tr>
      <w:tr w:rsidR="000406DD" w14:paraId="07268BC0" w14:textId="77777777" w:rsidTr="00956F70">
        <w:trPr>
          <w:jc w:val="center"/>
        </w:trPr>
        <w:tc>
          <w:tcPr>
            <w:tcW w:w="0" w:type="auto"/>
          </w:tcPr>
          <w:p w14:paraId="2B1D9740" w14:textId="77777777" w:rsidR="000406DD" w:rsidRDefault="000406DD" w:rsidP="00587953">
            <w:pPr>
              <w:pStyle w:val="Compact"/>
              <w:jc w:val="right"/>
            </w:pPr>
            <w:r>
              <w:t>22.3</w:t>
            </w:r>
          </w:p>
        </w:tc>
        <w:tc>
          <w:tcPr>
            <w:tcW w:w="0" w:type="auto"/>
          </w:tcPr>
          <w:p w14:paraId="29404D97" w14:textId="77777777" w:rsidR="000406DD" w:rsidRDefault="000406DD" w:rsidP="00587953">
            <w:pPr>
              <w:pStyle w:val="Compact"/>
              <w:jc w:val="center"/>
            </w:pPr>
            <w:r>
              <w:t>3</w:t>
            </w:r>
          </w:p>
        </w:tc>
        <w:tc>
          <w:tcPr>
            <w:tcW w:w="0" w:type="auto"/>
          </w:tcPr>
          <w:p w14:paraId="22ED5D71" w14:textId="77777777" w:rsidR="000406DD" w:rsidRDefault="000406DD" w:rsidP="00587953">
            <w:pPr>
              <w:pStyle w:val="Compact"/>
              <w:jc w:val="center"/>
            </w:pPr>
            <w:r>
              <w:t>1</w:t>
            </w:r>
          </w:p>
        </w:tc>
      </w:tr>
      <w:tr w:rsidR="000406DD" w14:paraId="6A820973" w14:textId="77777777" w:rsidTr="00956F70">
        <w:trPr>
          <w:jc w:val="center"/>
        </w:trPr>
        <w:tc>
          <w:tcPr>
            <w:tcW w:w="0" w:type="auto"/>
          </w:tcPr>
          <w:p w14:paraId="6CCBF41A" w14:textId="77777777" w:rsidR="000406DD" w:rsidRDefault="000406DD" w:rsidP="00587953">
            <w:pPr>
              <w:pStyle w:val="Compact"/>
              <w:jc w:val="right"/>
            </w:pPr>
            <w:r>
              <w:t>27.1</w:t>
            </w:r>
          </w:p>
        </w:tc>
        <w:tc>
          <w:tcPr>
            <w:tcW w:w="0" w:type="auto"/>
          </w:tcPr>
          <w:p w14:paraId="676081DA" w14:textId="77777777" w:rsidR="000406DD" w:rsidRDefault="000406DD" w:rsidP="00587953">
            <w:pPr>
              <w:pStyle w:val="Compact"/>
              <w:jc w:val="center"/>
            </w:pPr>
            <w:r>
              <w:t>2</w:t>
            </w:r>
          </w:p>
        </w:tc>
        <w:tc>
          <w:tcPr>
            <w:tcW w:w="0" w:type="auto"/>
          </w:tcPr>
          <w:p w14:paraId="7C62847F" w14:textId="77777777" w:rsidR="000406DD" w:rsidRDefault="000406DD" w:rsidP="00587953">
            <w:pPr>
              <w:pStyle w:val="Compact"/>
              <w:jc w:val="center"/>
            </w:pPr>
            <w:r>
              <w:t>3</w:t>
            </w:r>
          </w:p>
        </w:tc>
      </w:tr>
    </w:tbl>
    <w:p w14:paraId="19B170CC" w14:textId="77777777" w:rsidR="000406DD" w:rsidRDefault="000406DD" w:rsidP="000406DD">
      <w:pPr>
        <w:pStyle w:val="BodyText"/>
      </w:pPr>
      <w:r>
        <w:rPr>
          <w:i/>
          <w:iCs/>
        </w:rPr>
        <w:t>Note.</w:t>
      </w:r>
      <w:r>
        <w:t xml:space="preserve"> The first five rows of a synthetic REH dataset. Time is given in arbitrary continuous units. Sender and Receiver columns identify actors by integer code.</w:t>
      </w:r>
    </w:p>
    <w:p w14:paraId="47410ACA" w14:textId="77777777" w:rsidR="000406DD" w:rsidRDefault="000406DD" w:rsidP="000406DD">
      <w:pPr>
        <w:pStyle w:val="BodyText"/>
      </w:pPr>
      <w:r>
        <w:t>REH data differs from snapshot or panel network data in two important ways. First, the unit of observation is a single discrete interaction rather than a state or an aggregate count. Second, exact timing is preserved, which allows process-oriented questions about what drives the next event in a sequence to be addressed directly (</w:t>
      </w:r>
      <w:hyperlink w:anchor="ref_Butts_2008" w:history="1">
        <w:r>
          <w:t>Butts, 2008</w:t>
        </w:r>
      </w:hyperlink>
      <w:r>
        <w:t xml:space="preserve">; </w:t>
      </w:r>
      <w:hyperlink w:anchor="ref_Lakdawala_2025" w:history="1">
        <w:r>
          <w:t>Lakdawala et al., 2025</w:t>
        </w:r>
      </w:hyperlink>
      <w:r>
        <w:t>). These properties make REH data well-suited to studying mechanisms such as inertia, reciprocity, and turn-taking effects in conversation (</w:t>
      </w:r>
      <w:hyperlink w:anchor="ref_Butts_2008" w:history="1">
        <w:r>
          <w:t>Butts, 2008</w:t>
        </w:r>
      </w:hyperlink>
      <w:r>
        <w:t xml:space="preserve">; </w:t>
      </w:r>
      <w:hyperlink w:anchor="ref_Gibson_2003" w:history="1">
        <w:r>
          <w:t>Gibson, 2003</w:t>
        </w:r>
      </w:hyperlink>
      <w:r>
        <w:t>). They also make REH data hard to analyse with conventional regression methods, which do not naturally accommodate the temporal sequencing and inter-event dependence of relational events (</w:t>
      </w:r>
      <w:hyperlink w:anchor="ref_Butts_2008" w:history="1">
        <w:r>
          <w:t>Butts, 2008</w:t>
        </w:r>
      </w:hyperlink>
      <w:r>
        <w:t xml:space="preserve">; </w:t>
      </w:r>
      <w:hyperlink w:anchor="ref_Butts_2017" w:history="1">
        <w:r>
          <w:t>Butts &amp; Marcum, 2017</w:t>
        </w:r>
      </w:hyperlink>
      <w:r>
        <w:t>).</w:t>
      </w:r>
    </w:p>
    <w:p w14:paraId="2547C891" w14:textId="67B03329" w:rsidR="000406DD" w:rsidRDefault="000406DD" w:rsidP="00E426E5">
      <w:pPr>
        <w:pStyle w:val="Heading3"/>
      </w:pPr>
      <w:bookmarkStart w:id="9" w:name="the-relational-event-model"/>
      <w:bookmarkStart w:id="10" w:name="_Toc233640830"/>
      <w:bookmarkEnd w:id="7"/>
      <w:r>
        <w:t>The relational event model</w:t>
      </w:r>
      <w:bookmarkEnd w:id="10"/>
    </w:p>
    <w:p w14:paraId="4DE62CB4" w14:textId="4968AF45" w:rsidR="000406DD" w:rsidRDefault="000406DD" w:rsidP="000406DD">
      <w:pPr>
        <w:pStyle w:val="FirstParagraph"/>
      </w:pPr>
      <w:r>
        <w:t xml:space="preserve">REM, introduced by </w:t>
      </w:r>
      <w:hyperlink w:anchor="ref_Butts_2008" w:history="1">
        <w:r>
          <w:t>Butts (2008)</w:t>
        </w:r>
      </w:hyperlink>
      <w:r>
        <w:t xml:space="preserve">, is the most widely used framework for analysing REH data; for a recent comprehensive survey, see </w:t>
      </w:r>
      <w:hyperlink w:anchor="ref_Bianchi_2024" w:history="1">
        <w:r>
          <w:t>Bianchi et al. (2024)</w:t>
        </w:r>
      </w:hyperlink>
      <w:r>
        <w:t xml:space="preserve">. REM treats each potential directed dyad as competing to fire next: at any moment in continuous time, every dyad has an instantaneous rate (a hazard) of producing the next event, and these competing rates are what the model parameterises. The rate for each dyad is a log-linear function of statistics computed from past events and from actor or dyad covariates; the formal hazard expression, together with the baseline pacing constant </w:t>
      </w:r>
      <m:oMath>
        <m:sSub>
          <m:sSubPr>
            <m:ctrlPr>
              <w:rPr>
                <w:rFonts w:ascii="Cambria Math" w:hAnsi="Cambria Math"/>
              </w:rPr>
            </m:ctrlPr>
          </m:sSubPr>
          <m:e>
            <m:r>
              <w:rPr>
                <w:rFonts w:ascii="Cambria Math" w:hAnsi="Cambria Math"/>
              </w:rPr>
              <m:t>β</m:t>
            </m:r>
          </m:e>
          <m:sub>
            <m:r>
              <w:rPr>
                <w:rFonts w:ascii="Cambria Math" w:hAnsi="Cambria Math"/>
              </w:rPr>
              <m:t>0</m:t>
            </m:r>
          </m:sub>
        </m:sSub>
      </m:oMath>
      <w:r>
        <w:t>, is given with the data-generating process in Section</w:t>
      </w:r>
      <w:r w:rsidR="00E426E5">
        <w:t xml:space="preserve"> </w:t>
      </w:r>
      <w:r w:rsidR="0040093F">
        <w:fldChar w:fldCharType="begin"/>
      </w:r>
      <w:r w:rsidR="0040093F">
        <w:instrText xml:space="preserve"> REF _Ref232773975 \r \h </w:instrText>
      </w:r>
      <w:r w:rsidR="0040093F">
        <w:fldChar w:fldCharType="separate"/>
      </w:r>
      <w:r w:rsidR="0040093F">
        <w:t>2.1</w:t>
      </w:r>
      <w:r w:rsidR="0040093F">
        <w:fldChar w:fldCharType="end"/>
      </w:r>
      <w:r>
        <w:t xml:space="preserve">. The log-linear form is a standard hazard-model choice: the exponential keeps the rate strictly positive for any combination of statistic values, and each statistic contributes multiplicatively to the rate, so its parameter has a direct effect-size reading. The risk set at time </w:t>
      </w:r>
      <m:oMath>
        <m:r>
          <w:rPr>
            <w:rFonts w:ascii="Cambria Math" w:hAnsi="Cambria Math"/>
          </w:rPr>
          <m:t>t</m:t>
        </m:r>
      </m:oMath>
      <w:r>
        <w:t xml:space="preserve"> is the collection of all dyads that could fire at that moment; for a closed network of </w:t>
      </w:r>
      <m:oMath>
        <m:r>
          <w:rPr>
            <w:rFonts w:ascii="Cambria Math" w:hAnsi="Cambria Math"/>
          </w:rPr>
          <m:t>N</m:t>
        </m:r>
      </m:oMath>
      <w:r>
        <w:t xml:space="preserve"> actors, it contains </w:t>
      </w:r>
      <m:oMath>
        <m:r>
          <w:rPr>
            <w:rFonts w:ascii="Cambria Math" w:hAnsi="Cambria Math"/>
          </w:rPr>
          <m:t>N</m:t>
        </m:r>
        <m:r>
          <m:rPr>
            <m:sty m:val="p"/>
          </m:rPr>
          <w:rPr>
            <w:rFonts w:ascii="Cambria Math" w:hAnsi="Cambria Math"/>
          </w:rPr>
          <m:t>(</m:t>
        </m:r>
        <m:r>
          <w:rPr>
            <w:rFonts w:ascii="Cambria Math" w:hAnsi="Cambria Math"/>
          </w:rPr>
          <m:t>N</m:t>
        </m:r>
        <m:r>
          <m:rPr>
            <m:sty m:val="p"/>
          </m:rPr>
          <w:rPr>
            <w:rFonts w:ascii="Cambria Math" w:hAnsi="Cambria Math"/>
          </w:rPr>
          <m:t>-</m:t>
        </m:r>
        <m:r>
          <w:rPr>
            <w:rFonts w:ascii="Cambria Math" w:hAnsi="Cambria Math"/>
          </w:rPr>
          <m:t>1</m:t>
        </m:r>
        <m:r>
          <m:rPr>
            <m:sty m:val="p"/>
          </m:rPr>
          <w:rPr>
            <w:rFonts w:ascii="Cambria Math" w:hAnsi="Cambria Math"/>
          </w:rPr>
          <m:t>)</m:t>
        </m:r>
      </m:oMath>
      <w:r>
        <w:t xml:space="preserve"> directed dyads. Between events the rates stay fixed; when an event fires, the statistics are updated to reflect the new history and the rates are recomputed.</w:t>
      </w:r>
    </w:p>
    <w:p w14:paraId="124DE0EA" w14:textId="77777777" w:rsidR="000406DD" w:rsidRDefault="000406DD" w:rsidP="000406DD">
      <w:pPr>
        <w:pStyle w:val="BodyText"/>
      </w:pPr>
      <w:r>
        <w:t xml:space="preserve">The statistics in the rate function fall into two classes. Endogenous statistics are computed from the history of past events. Examples include inertia, the standardised count of past events from </w:t>
      </w:r>
      <m:oMath>
        <m:r>
          <w:rPr>
            <w:rFonts w:ascii="Cambria Math" w:hAnsi="Cambria Math"/>
          </w:rPr>
          <m:t>i</m:t>
        </m:r>
      </m:oMath>
      <w:r>
        <w:t xml:space="preserve"> to </w:t>
      </w:r>
      <m:oMath>
        <m:r>
          <w:rPr>
            <w:rFonts w:ascii="Cambria Math" w:hAnsi="Cambria Math"/>
          </w:rPr>
          <m:t>j</m:t>
        </m:r>
      </m:oMath>
      <w:r>
        <w:t xml:space="preserve">, which captures the tendency to repeat past interactions; reciprocity, the count of past events from </w:t>
      </w:r>
      <m:oMath>
        <m:r>
          <w:rPr>
            <w:rFonts w:ascii="Cambria Math" w:hAnsi="Cambria Math"/>
          </w:rPr>
          <m:t>j</m:t>
        </m:r>
      </m:oMath>
      <w:r>
        <w:t xml:space="preserve"> to </w:t>
      </w:r>
      <m:oMath>
        <m:r>
          <w:rPr>
            <w:rFonts w:ascii="Cambria Math" w:hAnsi="Cambria Math"/>
          </w:rPr>
          <m:t>i</m:t>
        </m:r>
      </m:oMath>
      <w:r>
        <w:t>, which captures the tendency to return them; and triadic closure effects such as outgoing two-paths or transitive closure (</w:t>
      </w:r>
      <w:hyperlink w:anchor="ref_Butts_2008" w:history="1">
        <w:r>
          <w:t>Butts, 2008</w:t>
        </w:r>
      </w:hyperlink>
      <w:r>
        <w:t>). Exogenous statistics encode actor or dyad attributes that do not change with the event history, such as gender, role, department, or pairwise homophily on a categorical variable.</w:t>
      </w:r>
    </w:p>
    <w:p w14:paraId="50BA3D95" w14:textId="02DFC8E3" w:rsidR="000406DD" w:rsidRDefault="000406DD" w:rsidP="000406DD">
      <w:pPr>
        <w:pStyle w:val="BodyText"/>
      </w:pPr>
      <w:r>
        <w:t>Two likelihood forms are standard (</w:t>
      </w:r>
      <w:hyperlink w:anchor="ref_Butts_2008" w:history="1">
        <w:r>
          <w:t>Butts, 2008</w:t>
        </w:r>
      </w:hyperlink>
      <w:r>
        <w:t xml:space="preserve">): the full likelihood, which uses inter-event durations explicitly and identifies the absolute rate scale (and therefore </w:t>
      </w:r>
      <m:oMath>
        <m:sSub>
          <m:sSubPr>
            <m:ctrlPr>
              <w:rPr>
                <w:rFonts w:ascii="Cambria Math" w:hAnsi="Cambria Math"/>
              </w:rPr>
            </m:ctrlPr>
          </m:sSubPr>
          <m:e>
            <m:r>
              <w:rPr>
                <w:rFonts w:ascii="Cambria Math" w:hAnsi="Cambria Math"/>
              </w:rPr>
              <m:t>β</m:t>
            </m:r>
          </m:e>
          <m:sub>
            <m:r>
              <w:rPr>
                <w:rFonts w:ascii="Cambria Math" w:hAnsi="Cambria Math"/>
              </w:rPr>
              <m:t>0</m:t>
            </m:r>
          </m:sub>
        </m:sSub>
      </m:oMath>
      <w:r>
        <w:t>), and the ordinal likelihood, which conditions only on event order and discards the timing information that is available when exact timestamps are known (</w:t>
      </w:r>
      <w:hyperlink w:anchor="ref_MeijerinkBosman_2022_Back" w:history="1">
        <w:r>
          <w:t>Meijerink-Bosman, Back, et al., 2022</w:t>
        </w:r>
      </w:hyperlink>
      <w:r>
        <w:t xml:space="preserve">). This thesis uses the full likelihood throughout. Because the full likelihood reads information from the exact time elapsed between consecutive events, it requires that no two events share a timestamp; the multi-receiver transformation introduced in this thesis is designed so that this requirement continues to hold (Section </w:t>
      </w:r>
      <w:r w:rsidR="0040093F">
        <w:fldChar w:fldCharType="begin"/>
      </w:r>
      <w:r w:rsidR="0040093F">
        <w:instrText xml:space="preserve"> REF _Ref232774500 \r \h </w:instrText>
      </w:r>
      <w:r w:rsidR="0040093F">
        <w:fldChar w:fldCharType="separate"/>
      </w:r>
      <w:r w:rsidR="0040093F">
        <w:t>2.3</w:t>
      </w:r>
      <w:r w:rsidR="0040093F">
        <w:fldChar w:fldCharType="end"/>
      </w:r>
      <w:r>
        <w:t>).</w:t>
      </w:r>
    </w:p>
    <w:p w14:paraId="13D96F66" w14:textId="251BA244" w:rsidR="000406DD" w:rsidRDefault="000406DD" w:rsidP="00E426E5">
      <w:pPr>
        <w:pStyle w:val="Heading3"/>
      </w:pPr>
      <w:bookmarkStart w:id="11" w:name="X0bb47a851f2f05886a451ca564bb808ff9705e5"/>
      <w:bookmarkStart w:id="12" w:name="_Toc233640831"/>
      <w:bookmarkEnd w:id="9"/>
      <w:r>
        <w:t>The multi-receiver challenge and the Relational Hyperevent Model</w:t>
      </w:r>
      <w:bookmarkEnd w:id="12"/>
    </w:p>
    <w:p w14:paraId="17934F9C" w14:textId="77777777" w:rsidR="000406DD" w:rsidRDefault="000406DD" w:rsidP="000406DD">
      <w:pPr>
        <w:pStyle w:val="FirstParagraph"/>
      </w:pPr>
      <w:r>
        <w:t xml:space="preserve">REM is defined entirely on dyads: the risk set, the rate function, and the entire family of endogenous statistics are all defined on directed pairs </w:t>
      </w:r>
      <m:oMath>
        <m:r>
          <m:rPr>
            <m:sty m:val="p"/>
          </m:rPr>
          <w:rPr>
            <w:rFonts w:ascii="Cambria Math" w:hAnsi="Cambria Math"/>
          </w:rPr>
          <m:t>(</m:t>
        </m:r>
        <m:r>
          <w:rPr>
            <w:rFonts w:ascii="Cambria Math" w:hAnsi="Cambria Math"/>
          </w:rPr>
          <m:t>i</m:t>
        </m:r>
        <m:r>
          <m:rPr>
            <m:sty m:val="p"/>
          </m:rPr>
          <w:rPr>
            <w:rFonts w:ascii="Cambria Math" w:hAnsi="Cambria Math"/>
          </w:rPr>
          <m:t>,</m:t>
        </m:r>
        <m:r>
          <w:rPr>
            <w:rFonts w:ascii="Cambria Math" w:hAnsi="Cambria Math"/>
          </w:rPr>
          <m:t>j</m:t>
        </m:r>
        <m:r>
          <m:rPr>
            <m:sty m:val="p"/>
          </m:rPr>
          <w:rPr>
            <w:rFonts w:ascii="Cambria Math" w:hAnsi="Cambria Math"/>
          </w:rPr>
          <m:t>)</m:t>
        </m:r>
      </m:oMath>
      <w:r>
        <w:t xml:space="preserve"> (</w:t>
      </w:r>
      <w:hyperlink w:anchor="ref_Butts_2008" w:history="1">
        <w:r>
          <w:t>Butts, 2008</w:t>
        </w:r>
      </w:hyperlink>
      <w:r>
        <w:t xml:space="preserve">). Many real interaction systems do not satisfy this assumption. </w:t>
      </w:r>
      <w:hyperlink w:anchor="ref_Lerner_2023" w:history="1">
        <w:r>
          <w:t>Lerner and Lomi (2023)</w:t>
        </w:r>
      </w:hyperlink>
      <w:r>
        <w:t xml:space="preserve"> refer to interaction processes that involve more than two actors per event as polyadic, and document them across a wide range of social-science settings, from scientific citation networks to legal precedent chains and group-mediated disease transmission. </w:t>
      </w:r>
      <w:hyperlink w:anchor="ref_Mulder_2024" w:history="1">
        <w:r>
          <w:t>Mulder and Hoff (2024)</w:t>
        </w:r>
      </w:hyperlink>
      <w:r>
        <w:t xml:space="preserve"> report that 31% of all messages in the Enron email dataset are multicast (a single sender addressing multiple receivers) with </w:t>
      </w:r>
      <m:oMath>
        <m:r>
          <w:rPr>
            <w:rFonts w:ascii="Cambria Math" w:hAnsi="Cambria Math"/>
          </w:rPr>
          <m:t>M</m:t>
        </m:r>
        <m:r>
          <m:rPr>
            <m:sty m:val="p"/>
          </m:rPr>
          <w:rPr>
            <w:rFonts w:ascii="Cambria Math" w:hAnsi="Cambria Math"/>
          </w:rPr>
          <m:t>=</m:t>
        </m:r>
        <m:r>
          <w:rPr>
            <w:rFonts w:ascii="Cambria Math" w:hAnsi="Cambria Math"/>
          </w:rPr>
          <m:t>21</m:t>
        </m:r>
        <m:r>
          <m:rPr>
            <m:sty m:val="p"/>
          </m:rPr>
          <w:rPr>
            <w:rFonts w:ascii="Cambria Math" w:hAnsi="Cambria Math"/>
          </w:rPr>
          <m:t>,</m:t>
        </m:r>
        <m:r>
          <w:rPr>
            <w:rFonts w:ascii="Cambria Math" w:hAnsi="Cambria Math"/>
          </w:rPr>
          <m:t>635</m:t>
        </m:r>
      </m:oMath>
      <w:r>
        <w:t xml:space="preserve"> messages sent among </w:t>
      </w:r>
      <m:oMath>
        <m:r>
          <w:rPr>
            <w:rFonts w:ascii="Cambria Math" w:hAnsi="Cambria Math"/>
          </w:rPr>
          <m:t>N</m:t>
        </m:r>
        <m:r>
          <m:rPr>
            <m:sty m:val="p"/>
          </m:rPr>
          <w:rPr>
            <w:rFonts w:ascii="Cambria Math" w:hAnsi="Cambria Math"/>
          </w:rPr>
          <m:t>=</m:t>
        </m:r>
        <m:r>
          <w:rPr>
            <w:rFonts w:ascii="Cambria Math" w:hAnsi="Cambria Math"/>
          </w:rPr>
          <m:t>156</m:t>
        </m:r>
      </m:oMath>
      <w:r>
        <w:t xml:space="preserve"> </w:t>
      </w:r>
      <w:proofErr w:type="gramStart"/>
      <w:r>
        <w:t>actors, and</w:t>
      </w:r>
      <w:proofErr w:type="gramEnd"/>
      <w:r>
        <w:t xml:space="preserve"> explicitly characterise this 31% as a relatively low multicast share for organisational email, lower than in many comparable communication datasets. Multicast is therefore common enough in real communication data that how it is handled is a routine and consequential modelling decision for applied REM analysis.</w:t>
      </w:r>
    </w:p>
    <w:p w14:paraId="0961C5F4" w14:textId="77777777" w:rsidR="000406DD" w:rsidRDefault="000406DD" w:rsidP="000406DD">
      <w:pPr>
        <w:pStyle w:val="BodyText"/>
      </w:pPr>
      <w:r>
        <w:t xml:space="preserve">When such data is fitted with a dyadic REM, each multi-receiver event is first replicated as several dyadic events, one per receiver; </w:t>
      </w:r>
      <w:hyperlink w:anchor="ref_Mulder_2024" w:history="1">
        <w:r>
          <w:t>Mulder and Hoff (2024)</w:t>
        </w:r>
      </w:hyperlink>
      <w:r>
        <w:t xml:space="preserve"> document this replication as the standard workaround in applied work and identify it as the proximate source of the information losses critiqued in their paper. The replication duplicates the receiver-set composition into an unordered collection of pairs, and because the duplicated dyads share the original event time, it creates simultaneous events that violate the exact-timing likelihood. The most common practice keeps these tied timestamps and works with event order alone; the variant adopted in this thesis instead adds small random perturbations so that the events fire sequentially, which preserves identifiability of the pacing constant required by the full likelihood of </w:t>
      </w:r>
      <w:hyperlink w:anchor="ref_Butts_2008" w:history="1">
        <w:r>
          <w:t>Butts (2008)</w:t>
        </w:r>
      </w:hyperlink>
      <w:r>
        <w:t xml:space="preserve"> at the cost of introducing an arbitrary ordering among the co-receivers of each multi-receiver event. Table 2 illustrates this transformation on a single event.</w:t>
      </w:r>
    </w:p>
    <w:p w14:paraId="7CB1FC60" w14:textId="737DCAFB" w:rsidR="008E3453" w:rsidRPr="008E3453" w:rsidRDefault="008E3453" w:rsidP="008E3453">
      <w:pPr>
        <w:pStyle w:val="Caption"/>
        <w:keepNext/>
        <w:rPr>
          <w:b/>
          <w:bCs/>
          <w:i w:val="0"/>
          <w:iCs/>
        </w:rPr>
      </w:pPr>
      <w:r w:rsidRPr="008E3453">
        <w:rPr>
          <w:b/>
          <w:bCs/>
          <w:i w:val="0"/>
          <w:iCs/>
        </w:rPr>
        <w:t xml:space="preserve">Table </w:t>
      </w:r>
      <w:r w:rsidRPr="008E3453">
        <w:rPr>
          <w:b/>
          <w:bCs/>
          <w:i w:val="0"/>
          <w:iCs/>
        </w:rPr>
        <w:fldChar w:fldCharType="begin"/>
      </w:r>
      <w:r w:rsidRPr="008E3453">
        <w:rPr>
          <w:b/>
          <w:bCs/>
          <w:i w:val="0"/>
          <w:iCs/>
        </w:rPr>
        <w:instrText xml:space="preserve"> SEQ Table \* ARABIC </w:instrText>
      </w:r>
      <w:r w:rsidRPr="008E3453">
        <w:rPr>
          <w:b/>
          <w:bCs/>
          <w:i w:val="0"/>
          <w:iCs/>
        </w:rPr>
        <w:fldChar w:fldCharType="separate"/>
      </w:r>
      <w:r>
        <w:rPr>
          <w:b/>
          <w:bCs/>
          <w:i w:val="0"/>
          <w:iCs/>
          <w:noProof/>
        </w:rPr>
        <w:t>2</w:t>
      </w:r>
      <w:r w:rsidRPr="008E3453">
        <w:rPr>
          <w:b/>
          <w:bCs/>
          <w:i w:val="0"/>
          <w:iCs/>
        </w:rPr>
        <w:fldChar w:fldCharType="end"/>
      </w:r>
    </w:p>
    <w:p w14:paraId="7172D190" w14:textId="179066E9" w:rsidR="008E3453" w:rsidRDefault="008E3453" w:rsidP="008E3453">
      <w:pPr>
        <w:pStyle w:val="BodyText"/>
      </w:pPr>
      <w:r>
        <w:rPr>
          <w:i/>
          <w:iCs/>
        </w:rPr>
        <w:t>Illustrative Multi-Receiver Event and Its Dyadic Transformation</w:t>
      </w:r>
    </w:p>
    <w:tbl>
      <w:tblPr>
        <w:tblStyle w:val="GridTable1Light"/>
        <w:tblW w:w="0" w:type="auto"/>
        <w:jc w:val="center"/>
        <w:tblLook w:val="0020" w:firstRow="1" w:lastRow="0" w:firstColumn="0" w:lastColumn="0" w:noHBand="0" w:noVBand="0"/>
      </w:tblPr>
      <w:tblGrid>
        <w:gridCol w:w="3328"/>
        <w:gridCol w:w="1054"/>
        <w:gridCol w:w="995"/>
        <w:gridCol w:w="1437"/>
      </w:tblGrid>
      <w:tr w:rsidR="000406DD" w14:paraId="436F6EC1" w14:textId="77777777" w:rsidTr="00956F70">
        <w:trPr>
          <w:cnfStyle w:val="100000000000" w:firstRow="1" w:lastRow="0" w:firstColumn="0" w:lastColumn="0" w:oddVBand="0" w:evenVBand="0" w:oddHBand="0" w:evenHBand="0" w:firstRowFirstColumn="0" w:firstRowLastColumn="0" w:lastRowFirstColumn="0" w:lastRowLastColumn="0"/>
          <w:jc w:val="center"/>
        </w:trPr>
        <w:tc>
          <w:tcPr>
            <w:tcW w:w="0" w:type="auto"/>
          </w:tcPr>
          <w:p w14:paraId="2038CC1A" w14:textId="77777777" w:rsidR="000406DD" w:rsidRDefault="000406DD" w:rsidP="00587953">
            <w:pPr>
              <w:pStyle w:val="Compact"/>
            </w:pPr>
            <w:r>
              <w:t>Stage</w:t>
            </w:r>
          </w:p>
        </w:tc>
        <w:tc>
          <w:tcPr>
            <w:tcW w:w="0" w:type="auto"/>
          </w:tcPr>
          <w:p w14:paraId="3DFAB8D1" w14:textId="77777777" w:rsidR="000406DD" w:rsidRDefault="000406DD" w:rsidP="00587953">
            <w:pPr>
              <w:pStyle w:val="Compact"/>
              <w:jc w:val="right"/>
            </w:pPr>
            <w:r>
              <w:t>Time</w:t>
            </w:r>
          </w:p>
        </w:tc>
        <w:tc>
          <w:tcPr>
            <w:tcW w:w="0" w:type="auto"/>
          </w:tcPr>
          <w:p w14:paraId="56910CAE" w14:textId="77777777" w:rsidR="000406DD" w:rsidRDefault="000406DD" w:rsidP="00587953">
            <w:pPr>
              <w:pStyle w:val="Compact"/>
              <w:jc w:val="center"/>
            </w:pPr>
            <w:r>
              <w:t>Sender</w:t>
            </w:r>
          </w:p>
        </w:tc>
        <w:tc>
          <w:tcPr>
            <w:tcW w:w="0" w:type="auto"/>
          </w:tcPr>
          <w:p w14:paraId="15A0587D" w14:textId="77777777" w:rsidR="000406DD" w:rsidRDefault="000406DD" w:rsidP="00587953">
            <w:pPr>
              <w:pStyle w:val="Compact"/>
              <w:jc w:val="center"/>
            </w:pPr>
            <w:r>
              <w:t>Receiver(s)</w:t>
            </w:r>
          </w:p>
        </w:tc>
      </w:tr>
      <w:tr w:rsidR="000406DD" w14:paraId="5E4B3A47" w14:textId="77777777" w:rsidTr="00956F70">
        <w:trPr>
          <w:jc w:val="center"/>
        </w:trPr>
        <w:tc>
          <w:tcPr>
            <w:tcW w:w="0" w:type="auto"/>
          </w:tcPr>
          <w:p w14:paraId="24F8B68F" w14:textId="77777777" w:rsidR="000406DD" w:rsidRDefault="000406DD" w:rsidP="00587953">
            <w:pPr>
              <w:pStyle w:val="Compact"/>
            </w:pPr>
            <w:r>
              <w:t>Original multi-receiver event</w:t>
            </w:r>
          </w:p>
        </w:tc>
        <w:tc>
          <w:tcPr>
            <w:tcW w:w="0" w:type="auto"/>
          </w:tcPr>
          <w:p w14:paraId="74805A9F" w14:textId="77777777" w:rsidR="000406DD" w:rsidRDefault="000406DD" w:rsidP="00587953">
            <w:pPr>
              <w:pStyle w:val="Compact"/>
              <w:jc w:val="right"/>
            </w:pPr>
            <w:r>
              <w:t>18.7</w:t>
            </w:r>
          </w:p>
        </w:tc>
        <w:tc>
          <w:tcPr>
            <w:tcW w:w="0" w:type="auto"/>
          </w:tcPr>
          <w:p w14:paraId="7B217B52" w14:textId="77777777" w:rsidR="000406DD" w:rsidRDefault="000406DD" w:rsidP="00587953">
            <w:pPr>
              <w:pStyle w:val="Compact"/>
              <w:jc w:val="center"/>
            </w:pPr>
            <w:r>
              <w:t>1</w:t>
            </w:r>
          </w:p>
        </w:tc>
        <w:tc>
          <w:tcPr>
            <w:tcW w:w="0" w:type="auto"/>
          </w:tcPr>
          <w:p w14:paraId="4E84F8D7" w14:textId="77777777" w:rsidR="000406DD" w:rsidRDefault="000406DD" w:rsidP="00587953">
            <w:pPr>
              <w:pStyle w:val="Compact"/>
              <w:jc w:val="center"/>
            </w:pPr>
            <w:r>
              <w:t>2, 3</w:t>
            </w:r>
          </w:p>
        </w:tc>
      </w:tr>
      <w:tr w:rsidR="000406DD" w14:paraId="77507BA5" w14:textId="77777777" w:rsidTr="00956F70">
        <w:trPr>
          <w:jc w:val="center"/>
        </w:trPr>
        <w:tc>
          <w:tcPr>
            <w:tcW w:w="0" w:type="auto"/>
          </w:tcPr>
          <w:p w14:paraId="07079E66" w14:textId="77777777" w:rsidR="000406DD" w:rsidRDefault="000406DD" w:rsidP="00587953">
            <w:pPr>
              <w:pStyle w:val="Compact"/>
            </w:pPr>
            <w:r>
              <w:t>Dyadic transform, first row</w:t>
            </w:r>
          </w:p>
        </w:tc>
        <w:tc>
          <w:tcPr>
            <w:tcW w:w="0" w:type="auto"/>
          </w:tcPr>
          <w:p w14:paraId="4A54520C" w14:textId="77777777" w:rsidR="000406DD" w:rsidRDefault="000406DD" w:rsidP="00587953">
            <w:pPr>
              <w:pStyle w:val="Compact"/>
              <w:jc w:val="right"/>
            </w:pPr>
            <w:r>
              <w:t>18.7000</w:t>
            </w:r>
          </w:p>
        </w:tc>
        <w:tc>
          <w:tcPr>
            <w:tcW w:w="0" w:type="auto"/>
          </w:tcPr>
          <w:p w14:paraId="1FDC6988" w14:textId="77777777" w:rsidR="000406DD" w:rsidRDefault="000406DD" w:rsidP="00587953">
            <w:pPr>
              <w:pStyle w:val="Compact"/>
              <w:jc w:val="center"/>
            </w:pPr>
            <w:r>
              <w:t>1</w:t>
            </w:r>
          </w:p>
        </w:tc>
        <w:tc>
          <w:tcPr>
            <w:tcW w:w="0" w:type="auto"/>
          </w:tcPr>
          <w:p w14:paraId="65C951B5" w14:textId="77777777" w:rsidR="000406DD" w:rsidRDefault="000406DD" w:rsidP="00587953">
            <w:pPr>
              <w:pStyle w:val="Compact"/>
              <w:jc w:val="center"/>
            </w:pPr>
            <w:r>
              <w:t>2</w:t>
            </w:r>
          </w:p>
        </w:tc>
      </w:tr>
      <w:tr w:rsidR="000406DD" w14:paraId="2D041061" w14:textId="77777777" w:rsidTr="00956F70">
        <w:trPr>
          <w:jc w:val="center"/>
        </w:trPr>
        <w:tc>
          <w:tcPr>
            <w:tcW w:w="0" w:type="auto"/>
          </w:tcPr>
          <w:p w14:paraId="65A4628C" w14:textId="77777777" w:rsidR="000406DD" w:rsidRDefault="000406DD" w:rsidP="00587953">
            <w:pPr>
              <w:pStyle w:val="Compact"/>
            </w:pPr>
            <w:r>
              <w:t>Dyadic transform, second row</w:t>
            </w:r>
          </w:p>
        </w:tc>
        <w:tc>
          <w:tcPr>
            <w:tcW w:w="0" w:type="auto"/>
          </w:tcPr>
          <w:p w14:paraId="6E658D91" w14:textId="77777777" w:rsidR="000406DD" w:rsidRDefault="000406DD" w:rsidP="00587953">
            <w:pPr>
              <w:pStyle w:val="Compact"/>
              <w:jc w:val="right"/>
            </w:pPr>
            <w:r>
              <w:t>18.7004</w:t>
            </w:r>
          </w:p>
        </w:tc>
        <w:tc>
          <w:tcPr>
            <w:tcW w:w="0" w:type="auto"/>
          </w:tcPr>
          <w:p w14:paraId="48F4E56B" w14:textId="77777777" w:rsidR="000406DD" w:rsidRDefault="000406DD" w:rsidP="00587953">
            <w:pPr>
              <w:pStyle w:val="Compact"/>
              <w:jc w:val="center"/>
            </w:pPr>
            <w:r>
              <w:t>1</w:t>
            </w:r>
          </w:p>
        </w:tc>
        <w:tc>
          <w:tcPr>
            <w:tcW w:w="0" w:type="auto"/>
          </w:tcPr>
          <w:p w14:paraId="76120984" w14:textId="77777777" w:rsidR="000406DD" w:rsidRDefault="000406DD" w:rsidP="00587953">
            <w:pPr>
              <w:pStyle w:val="Compact"/>
              <w:jc w:val="center"/>
            </w:pPr>
            <w:r>
              <w:t>3</w:t>
            </w:r>
          </w:p>
        </w:tc>
      </w:tr>
    </w:tbl>
    <w:p w14:paraId="0FF523CC" w14:textId="3195B95B" w:rsidR="000406DD" w:rsidRDefault="000406DD" w:rsidP="000406DD">
      <w:pPr>
        <w:pStyle w:val="BodyText"/>
      </w:pPr>
      <w:r>
        <w:rPr>
          <w:i/>
          <w:iCs/>
        </w:rPr>
        <w:t>Note.</w:t>
      </w:r>
      <w:r>
        <w:t xml:space="preserve"> A single event in which actor 1 addresses actors 2 and 3 at time 18.7 (top row) is replicated into two single-receiver events. A small tie-breaking timestamp noise (here 0.0004) separates the duplicated timestamps so that the two events fire sequentially, which the full-likelihood REM requires (Section </w:t>
      </w:r>
      <w:r w:rsidR="0040093F">
        <w:fldChar w:fldCharType="begin"/>
      </w:r>
      <w:r w:rsidR="0040093F">
        <w:instrText xml:space="preserve"> REF _Ref232774511 \r \h </w:instrText>
      </w:r>
      <w:r w:rsidR="0040093F">
        <w:fldChar w:fldCharType="separate"/>
      </w:r>
      <w:r w:rsidR="0040093F">
        <w:t>2.3</w:t>
      </w:r>
      <w:r w:rsidR="0040093F">
        <w:fldChar w:fldCharType="end"/>
      </w:r>
      <w:r>
        <w:t xml:space="preserve">). After the transformation the original receiver set </w:t>
      </w:r>
      <m:oMath>
        <m:r>
          <m:rPr>
            <m:sty m:val="p"/>
          </m:rPr>
          <w:rPr>
            <w:rFonts w:ascii="Cambria Math" w:hAnsi="Cambria Math"/>
          </w:rPr>
          <m:t>{</m:t>
        </m:r>
        <m:r>
          <w:rPr>
            <w:rFonts w:ascii="Cambria Math" w:hAnsi="Cambria Math"/>
          </w:rPr>
          <m:t>2</m:t>
        </m:r>
        <m:r>
          <m:rPr>
            <m:sty m:val="p"/>
          </m:rPr>
          <w:rPr>
            <w:rFonts w:ascii="Cambria Math" w:hAnsi="Cambria Math"/>
          </w:rPr>
          <m:t>,</m:t>
        </m:r>
        <m:r>
          <w:rPr>
            <w:rFonts w:ascii="Cambria Math" w:hAnsi="Cambria Math"/>
          </w:rPr>
          <m:t>3</m:t>
        </m:r>
        <m:r>
          <m:rPr>
            <m:sty m:val="p"/>
          </m:rPr>
          <w:rPr>
            <w:rFonts w:ascii="Cambria Math" w:hAnsi="Cambria Math"/>
          </w:rPr>
          <m:t>}</m:t>
        </m:r>
      </m:oMath>
      <w:r>
        <w:t xml:space="preserve"> appears only as two separate dyads, so the fact that actors 2 and 3 were addressed together in one message is no longer recoverable.</w:t>
      </w:r>
    </w:p>
    <w:p w14:paraId="4A6AF252" w14:textId="77777777" w:rsidR="000406DD" w:rsidRDefault="000406DD" w:rsidP="000406DD">
      <w:pPr>
        <w:pStyle w:val="BodyText"/>
      </w:pPr>
      <w:hyperlink w:anchor="ref_Mulder_2024" w:history="1">
        <w:r>
          <w:t>Mulder and Hoff (2024)</w:t>
        </w:r>
      </w:hyperlink>
      <w:r>
        <w:t xml:space="preserve"> identify three concrete information losses from this replication. First, the receiver-set composition is replaced by an unordered collection of dyads, so it is no longer possible to tell which receivers were addressed together in the same message, and any distinction in how each receiver figured in that message is lost. Second, receiver-set cardinality is removed, even though the number of receivers per event is itself an informative feature of any multicast process. Third, the apparent sample size is inflated, which can lead to overconfident inferences with under-estimated standard errors.</w:t>
      </w:r>
    </w:p>
    <w:p w14:paraId="03DF09E3" w14:textId="77777777" w:rsidR="000406DD" w:rsidRDefault="000406DD" w:rsidP="000406DD">
      <w:pPr>
        <w:pStyle w:val="BodyText"/>
      </w:pPr>
      <w:r>
        <w:t xml:space="preserve">The natural alternative within the same hazard framework is the Relational Hyperevent Model (RHEM) of </w:t>
      </w:r>
      <w:hyperlink w:anchor="ref_Lerner_2023" w:history="1">
        <w:r>
          <w:t>Lerner and Lomi (2023)</w:t>
        </w:r>
      </w:hyperlink>
      <w:r>
        <w:t xml:space="preserve">, which generalises REM to directed hyperedges: events that connect a sender to a receiver set of arbitrary size. The event rate is then a function of covariates defined on the entire receiver set, not on a sum over dyads. Crucially, this allows RHEM to express patterns that have no dyadic analogue, the clearest being group-level co-participation history, the extent to which a particular subgroup of receivers has previously been addressed jointly by the same sender. The </w:t>
      </w:r>
      <w:proofErr w:type="gramStart"/>
      <w:r>
        <w:t>open-source</w:t>
      </w:r>
      <w:proofErr w:type="gramEnd"/>
      <w:r>
        <w:t xml:space="preserve"> </w:t>
      </w:r>
      <w:r>
        <w:rPr>
          <w:rStyle w:val="VerbatimChar"/>
        </w:rPr>
        <w:t>eventnet</w:t>
      </w:r>
      <w:r>
        <w:t xml:space="preserve"> software is the standard implementation (</w:t>
      </w:r>
      <w:hyperlink w:anchor="ref_Lerner_2023" w:history="1">
        <w:r>
          <w:t>Lerner &amp; Lomi, 2023</w:t>
        </w:r>
      </w:hyperlink>
      <w:r>
        <w:t>).</w:t>
      </w:r>
    </w:p>
    <w:p w14:paraId="1E8AF1A1" w14:textId="77777777" w:rsidR="000406DD" w:rsidRDefault="000406DD" w:rsidP="000406DD">
      <w:pPr>
        <w:pStyle w:val="BodyText"/>
      </w:pPr>
      <w:r>
        <w:t>RHEM serves as a contextual benchmark in this thesis: we fit it to the same multi-receiver synthetic data as the transformed REM and report its estimates alongside. The threshold itself is decided against the known dyadic generating parameters, not against the RHEM estimates.</w:t>
      </w:r>
    </w:p>
    <w:p w14:paraId="53646EC0" w14:textId="39D5A359" w:rsidR="000406DD" w:rsidRDefault="000406DD" w:rsidP="00E426E5">
      <w:pPr>
        <w:pStyle w:val="Heading3"/>
      </w:pPr>
      <w:bookmarkStart w:id="13" w:name="_Ref232774783"/>
      <w:bookmarkStart w:id="14" w:name="methodological-grounding"/>
      <w:bookmarkStart w:id="15" w:name="_Toc233640832"/>
      <w:bookmarkEnd w:id="11"/>
      <w:r>
        <w:t>Methodological grounding</w:t>
      </w:r>
      <w:bookmarkEnd w:id="13"/>
      <w:bookmarkEnd w:id="15"/>
    </w:p>
    <w:p w14:paraId="4EF99D9B" w14:textId="77777777" w:rsidR="000406DD" w:rsidRDefault="000406DD" w:rsidP="000406DD">
      <w:pPr>
        <w:pStyle w:val="FirstParagraph"/>
      </w:pPr>
      <w:r>
        <w:t>Three further bodies of work, although not specific to multi-receiver REM, ground the methodological decisions made in this thesis.</w:t>
      </w:r>
    </w:p>
    <w:p w14:paraId="592025B0" w14:textId="77777777" w:rsidR="000406DD" w:rsidRDefault="000406DD" w:rsidP="000406DD">
      <w:pPr>
        <w:pStyle w:val="BodyText"/>
      </w:pPr>
      <w:r>
        <w:t xml:space="preserve">The first is statistic comparability across REM and RHEM. A precondition for a meaningful comparison between transformed REM estimates and a RHEM benchmark is that the statistics are defined as closely as possible in both models; </w:t>
      </w:r>
      <w:proofErr w:type="gramStart"/>
      <w:r>
        <w:t>otherwise</w:t>
      </w:r>
      <w:proofErr w:type="gramEnd"/>
      <w:r>
        <w:t xml:space="preserve"> observed differences cannot be attributed to the transformation alone. A cross-mapping between the dyadic </w:t>
      </w:r>
      <w:r>
        <w:rPr>
          <w:rStyle w:val="VerbatimChar"/>
        </w:rPr>
        <w:t>remstats</w:t>
      </w:r>
      <w:r>
        <w:t xml:space="preserve"> catalogue (</w:t>
      </w:r>
      <w:hyperlink w:anchor="ref_MeijerinkBosman_2023" w:history="1">
        <w:r>
          <w:t>Meijerink-Bosman et al., 2023</w:t>
        </w:r>
      </w:hyperlink>
      <w:r>
        <w:t xml:space="preserve">) and the corresponding RHEM effects documented in the </w:t>
      </w:r>
      <w:r>
        <w:rPr>
          <w:rStyle w:val="VerbatimChar"/>
        </w:rPr>
        <w:t>eventnet</w:t>
      </w:r>
      <w:r>
        <w:t xml:space="preserve"> reference guide (</w:t>
      </w:r>
      <w:hyperlink w:anchor="ref_Lerner_2023" w:history="1">
        <w:r>
          <w:t>Lerner &amp; Lomi, 2023</w:t>
        </w:r>
      </w:hyperlink>
      <w:r>
        <w:t>) shows that inertia, reciprocity, dyadic attribute difference, and same-group homophily map closely between the two frameworks, although they are not in every case strictly identical; transitive closure via outgoing two-paths corresponds only up to a counting-convention offset. These five effects serve as the primary endpoints in this thesis.</w:t>
      </w:r>
    </w:p>
    <w:p w14:paraId="4152BDBC" w14:textId="77777777" w:rsidR="000406DD" w:rsidRDefault="000406DD" w:rsidP="000406DD">
      <w:pPr>
        <w:pStyle w:val="BodyText"/>
      </w:pPr>
      <w:r>
        <w:t>The second is simulation-based validation. Across the REM literature, the standard methodological approach is to generate synthetic event histories from known parameters, fit the model to the synthetic data, and evaluate parameter recovery under controlled conditions (</w:t>
      </w:r>
      <w:hyperlink w:anchor="ref_MeijerinkBosman_2022_Leenders" w:history="1">
        <w:r>
          <w:t>Meijerink-Bosman, Leenders, et al., 2022</w:t>
        </w:r>
      </w:hyperlink>
      <w:r>
        <w:t xml:space="preserve">; </w:t>
      </w:r>
      <w:hyperlink w:anchor="ref_Mulder_2019" w:history="1">
        <w:r>
          <w:t>Mulder &amp; Leenders, 2019</w:t>
        </w:r>
      </w:hyperlink>
      <w:r>
        <w:t xml:space="preserve">). </w:t>
      </w:r>
      <w:hyperlink w:anchor="ref_Lakdawala_2025" w:history="1">
        <w:r>
          <w:t>Lakdawala et al. (2025)</w:t>
        </w:r>
      </w:hyperlink>
      <w:r>
        <w:t xml:space="preserve"> give an explicit methodological treatment of REH simulation, and their accompanying R package </w:t>
      </w:r>
      <w:r>
        <w:rPr>
          <w:rStyle w:val="VerbatimChar"/>
        </w:rPr>
        <w:t>remulate</w:t>
      </w:r>
      <w:r>
        <w:t xml:space="preserve"> is the simulation engine used in this thesis.</w:t>
      </w:r>
    </w:p>
    <w:p w14:paraId="1E45A53F" w14:textId="77777777" w:rsidR="000406DD" w:rsidRDefault="000406DD" w:rsidP="000406DD">
      <w:pPr>
        <w:pStyle w:val="BodyText"/>
      </w:pPr>
      <w:r>
        <w:t>The third is principled perturbation of temporal-network data. Recent work in temporal networks (</w:t>
      </w:r>
      <w:hyperlink w:anchor="ref_Gauvin_2018" w:history="1">
        <w:r>
          <w:t>Gauvin et al., 2018</w:t>
        </w:r>
      </w:hyperlink>
      <w:r>
        <w:t xml:space="preserve">; </w:t>
      </w:r>
      <w:hyperlink w:anchor="ref_Longa_2024" w:history="1">
        <w:r>
          <w:t>Longa et al., 2024</w:t>
        </w:r>
      </w:hyperlink>
      <w:r>
        <w:t xml:space="preserve">) recommends a simple rule when modifying event-stream data: state up front which features of the data should be kept </w:t>
      </w:r>
      <w:proofErr w:type="gramStart"/>
      <w:r>
        <w:t>fixed, and</w:t>
      </w:r>
      <w:proofErr w:type="gramEnd"/>
      <w:r>
        <w:t xml:space="preserve"> randomise only the rest.</w:t>
      </w:r>
    </w:p>
    <w:p w14:paraId="70E13474" w14:textId="113766BA" w:rsidR="000406DD" w:rsidRDefault="000406DD" w:rsidP="00E426E5">
      <w:pPr>
        <w:pStyle w:val="Heading3"/>
      </w:pPr>
      <w:bookmarkStart w:id="16" w:name="_Ref232774725"/>
      <w:bookmarkStart w:id="17" w:name="_Toc233640833"/>
      <w:bookmarkEnd w:id="14"/>
      <w:r>
        <w:t>Current research</w:t>
      </w:r>
      <w:bookmarkEnd w:id="16"/>
      <w:bookmarkEnd w:id="17"/>
    </w:p>
    <w:p w14:paraId="0AA64CCA" w14:textId="77777777" w:rsidR="000406DD" w:rsidRDefault="000406DD" w:rsidP="000406DD">
      <w:pPr>
        <w:pStyle w:val="FirstParagraph"/>
      </w:pPr>
      <w:r>
        <w:t>REM is a well-established framework for dyadic interaction sequences, with mature applied workflows and dynamic extensions that allow for time-varying parameters. Its dyadic assumption, however, is incompatible with the many communication settings in which a single sender addresses several receivers in one event. RHEM (</w:t>
      </w:r>
      <w:hyperlink w:anchor="ref_Lerner_2023" w:history="1">
        <w:r>
          <w:t>Lerner &amp; Lomi, 2023</w:t>
        </w:r>
      </w:hyperlink>
      <w:r>
        <w:t xml:space="preserve">) provides a native polyadic alternative within the hazard framework, and </w:t>
      </w:r>
      <w:hyperlink w:anchor="ref_Mulder_2024" w:history="1">
        <w:r>
          <w:t>Mulder and Hoff (2024)</w:t>
        </w:r>
      </w:hyperlink>
      <w:r>
        <w:t xml:space="preserve"> set out the information losses that dyadic separation incurs. Even so, the dyadic REM remains the default in applied work: it has mature and well-documented software (</w:t>
      </w:r>
      <w:hyperlink w:anchor="ref_MeijerinkBosman_2023" w:history="1">
        <w:r>
          <w:t>Meijerink-Bosman et al., 2023</w:t>
        </w:r>
      </w:hyperlink>
      <w:r>
        <w:t xml:space="preserve">; </w:t>
      </w:r>
      <w:hyperlink w:anchor="ref_Arena_2023" w:history="1">
        <w:r>
          <w:t>Arena et al., 2023</w:t>
        </w:r>
      </w:hyperlink>
      <w:r>
        <w:t xml:space="preserve">, </w:t>
      </w:r>
      <w:hyperlink w:anchor="ref_Arena_2024" w:history="1">
        <w:r>
          <w:t>2024</w:t>
        </w:r>
      </w:hyperlink>
      <w:r>
        <w:t>), a large body of methodological guidance (</w:t>
      </w:r>
      <w:hyperlink w:anchor="ref_Butts_2008" w:history="1">
        <w:r>
          <w:t>Butts, 2008</w:t>
        </w:r>
      </w:hyperlink>
      <w:r>
        <w:t xml:space="preserve">; </w:t>
      </w:r>
      <w:hyperlink w:anchor="ref_MeijerinkBosman_2022_Back" w:history="1">
        <w:r>
          <w:t>Meijerink-Bosman, Back, et al., 2022</w:t>
        </w:r>
      </w:hyperlink>
      <w:r>
        <w:t xml:space="preserve">; </w:t>
      </w:r>
      <w:hyperlink w:anchor="ref_Bianchi_2024" w:history="1">
        <w:r>
          <w:t>Bianchi et al., 2024</w:t>
        </w:r>
      </w:hyperlink>
      <w:r>
        <w:t>), and a familiar interpretation, and the dyadic transformation lets applied researchers reuse that entire toolchain on multi-receiver data without committing to a less established model. What the field still lacks is a controlled, quantitative answer to the question this convenience raises: the proportion of multi-receiver events up to which dyadic transformation can still be relied upon for REM parameter recovery, and beyond which it cannot.</w:t>
      </w:r>
    </w:p>
    <w:p w14:paraId="28DCA498" w14:textId="77777777" w:rsidR="000406DD" w:rsidRDefault="000406DD" w:rsidP="000406DD">
      <w:pPr>
        <w:pStyle w:val="BodyText"/>
      </w:pPr>
      <w:r>
        <w:t>This thesis aims to provide an answer. The primary research question is:</w:t>
      </w:r>
    </w:p>
    <w:p w14:paraId="33A33270" w14:textId="77777777" w:rsidR="000406DD" w:rsidRDefault="000406DD" w:rsidP="000406DD">
      <w:pPr>
        <w:pStyle w:val="BlockText"/>
      </w:pPr>
      <w:r>
        <w:t>Up to what proportion of multi-receiver events does separating each multi-receiver event into dyadic events with a small tie-breaking timestamp noise preserve REM parameter estimates that remain close to the known dyadic generating parameters?</w:t>
      </w:r>
    </w:p>
    <w:p w14:paraId="16D2B6A6" w14:textId="71A9661F" w:rsidR="000406DD" w:rsidRDefault="000406DD" w:rsidP="000406DD">
      <w:pPr>
        <w:pStyle w:val="FirstParagraph"/>
      </w:pPr>
      <w:r>
        <w:t xml:space="preserve">The study uses a simulation-first design with known data-generating parameters (the generating model and its parameter values are given in Section </w:t>
      </w:r>
      <w:r w:rsidR="0040093F">
        <w:fldChar w:fldCharType="begin"/>
      </w:r>
      <w:r w:rsidR="0040093F">
        <w:instrText xml:space="preserve"> REF _Ref232773975 \r \h </w:instrText>
      </w:r>
      <w:r w:rsidR="0040093F">
        <w:fldChar w:fldCharType="separate"/>
      </w:r>
      <w:r w:rsidR="0040093F">
        <w:t>2.1</w:t>
      </w:r>
      <w:r w:rsidR="0040093F">
        <w:fldChar w:fldCharType="end"/>
      </w:r>
      <w:proofErr w:type="gramStart"/>
      <w:r>
        <w:t>), and</w:t>
      </w:r>
      <w:proofErr w:type="gramEnd"/>
      <w:r>
        <w:t xml:space="preserve"> evaluates the recovered REM estimates against those parameters across a controlled range of multi-receiver proportions. The threshold rule, the per-effect band against which it is applied, and the cross-dataset averaging that smooths the estimate across independent baseline generations are specified in the Methodology chapter.</w:t>
      </w:r>
    </w:p>
    <w:p w14:paraId="2CB5CE7B" w14:textId="77777777" w:rsidR="000406DD" w:rsidRDefault="000406DD" w:rsidP="000406DD">
      <w:pPr>
        <w:pStyle w:val="BodyText"/>
      </w:pPr>
      <w:r>
        <w:t>The threshold is the contribution this thesis offers to researchers and analysts working with communication data that includes multi-receiver events: the multi-receiver proportion below which dyadic REM with a tie-breaking timestamp noise still recovers parameters close to the truth, and above which it can no longer be relied upon. The simulation is designed to identify where the dyadic transformation fails; what to do once that point is passed is outside the scope of the experiment and is taken up in the Discussion.</w:t>
      </w:r>
    </w:p>
    <w:p w14:paraId="78952151" w14:textId="67F24B6F" w:rsidR="00966584" w:rsidRPr="00890670" w:rsidRDefault="000406DD" w:rsidP="000406DD">
      <w:pPr>
        <w:pStyle w:val="BodyText"/>
      </w:pPr>
      <w:r>
        <w:t>The remainder of the thesis develops the study as follows. The Methodology chapter describes the synthetic-generation procedure, the multi-receiver construction, the REM and RHEM estimation pipelines, and the acceptability rule under which the threshold is determined. The Results chapter reports the threshold finding and its sensitivity to the baseline generation. Finally, the Conclusion and Discussion chapter considers what this finding implies for applied research with communication data, the limitations under which the recommendation holds, and the ethical considerations attached to applying it.</w:t>
      </w:r>
    </w:p>
    <w:p w14:paraId="5507C582" w14:textId="335148B3" w:rsidR="000406DD" w:rsidRPr="000406DD" w:rsidRDefault="000406DD" w:rsidP="00E426E5">
      <w:pPr>
        <w:pStyle w:val="Heading2"/>
      </w:pPr>
      <w:bookmarkStart w:id="18" w:name="_Ref232774773"/>
      <w:bookmarkStart w:id="19" w:name="results-and-analysis"/>
      <w:bookmarkStart w:id="20" w:name="_Toc233640834"/>
      <w:r>
        <w:t>Methodology</w:t>
      </w:r>
      <w:bookmarkEnd w:id="18"/>
      <w:bookmarkEnd w:id="20"/>
    </w:p>
    <w:p w14:paraId="2630E0E6" w14:textId="77777777" w:rsidR="000406DD" w:rsidRDefault="000406DD" w:rsidP="000406DD">
      <w:pPr>
        <w:pStyle w:val="FirstParagraph"/>
      </w:pPr>
      <w:r>
        <w:t>This chapter describes the synthetic data used in the thesis and the methods applied to it: the baseline data-generating process, the multi-receiver construction, the tie-breaking transformation back to dyadic form, the dyadic REM and RHEM estimation pipelines, the cross-dataset replication, and the acceptability rule under which the threshold is determined.</w:t>
      </w:r>
    </w:p>
    <w:p w14:paraId="3C3094C6" w14:textId="26FCF192" w:rsidR="000406DD" w:rsidRDefault="000406DD" w:rsidP="00E426E5">
      <w:pPr>
        <w:pStyle w:val="Heading3"/>
      </w:pPr>
      <w:bookmarkStart w:id="21" w:name="_Ref232773975"/>
      <w:bookmarkStart w:id="22" w:name="_Ref232773982"/>
      <w:bookmarkStart w:id="23" w:name="_Ref232773985"/>
      <w:bookmarkStart w:id="24" w:name="_Ref232774004"/>
      <w:bookmarkStart w:id="25" w:name="X1cfe71ebbba0d487465ebd65418b93ffaea6582"/>
      <w:bookmarkStart w:id="26" w:name="_Toc233640835"/>
      <w:r>
        <w:t>Data source and baseline data-generating process</w:t>
      </w:r>
      <w:bookmarkEnd w:id="21"/>
      <w:bookmarkEnd w:id="22"/>
      <w:bookmarkEnd w:id="23"/>
      <w:bookmarkEnd w:id="24"/>
      <w:bookmarkEnd w:id="26"/>
    </w:p>
    <w:p w14:paraId="2EC832C4" w14:textId="4D1EAA34" w:rsidR="000406DD" w:rsidRDefault="000406DD" w:rsidP="000406DD">
      <w:pPr>
        <w:pStyle w:val="FirstParagraph"/>
      </w:pPr>
      <w:r>
        <w:t xml:space="preserve">This thesis uses synthetic relational event history (REH) data exclusively; no empirical dataset is analysed. The unit of analysis is a baseline dataset: a single dyadic REH, that is, one event sequence in which every event has exactly one receiver, that serves as the unaltered starting point before any multi-receiver events are added. The study generates many such baseline datasets, one per independent simulation seed (Section </w:t>
      </w:r>
      <w:r w:rsidR="0040093F">
        <w:fldChar w:fldCharType="begin"/>
      </w:r>
      <w:r w:rsidR="0040093F">
        <w:instrText xml:space="preserve"> REF _Ref232774533 \r \h </w:instrText>
      </w:r>
      <w:r w:rsidR="0040093F">
        <w:fldChar w:fldCharType="separate"/>
      </w:r>
      <w:r w:rsidR="0040093F">
        <w:t>2.6</w:t>
      </w:r>
      <w:r w:rsidR="0040093F">
        <w:fldChar w:fldCharType="end"/>
      </w:r>
      <w:r>
        <w:t xml:space="preserve">). Each is simulated with the </w:t>
      </w:r>
      <w:r>
        <w:rPr>
          <w:rStyle w:val="VerbatimChar"/>
        </w:rPr>
        <w:t>remulate</w:t>
      </w:r>
      <w:r>
        <w:t xml:space="preserve"> R package (</w:t>
      </w:r>
      <w:hyperlink w:anchor="ref_Lakdawala_2025" w:history="1">
        <w:r>
          <w:t>Lakdawala et al., 2025</w:t>
        </w:r>
      </w:hyperlink>
      <w:r>
        <w:t xml:space="preserve">), which implements the dyadic-REM simulation framework of </w:t>
      </w:r>
      <w:hyperlink w:anchor="ref_Butts_2008" w:history="1">
        <w:r>
          <w:t>Butts (2008)</w:t>
        </w:r>
      </w:hyperlink>
      <w:r>
        <w:t>, generating events sequentially under the REM hazard model with each new event conditioned on the cumulative history of past events.</w:t>
      </w:r>
    </w:p>
    <w:p w14:paraId="515063F1" w14:textId="77777777" w:rsidR="000406DD" w:rsidRDefault="000406DD" w:rsidP="000406DD">
      <w:pPr>
        <w:pStyle w:val="BodyText"/>
      </w:pPr>
      <w:r>
        <w:t xml:space="preserve">Under this model, every directed dyad competes to produce the next event, and the instantaneous rate at which sender </w:t>
      </w:r>
      <m:oMath>
        <m:r>
          <w:rPr>
            <w:rFonts w:ascii="Cambria Math" w:hAnsi="Cambria Math"/>
          </w:rPr>
          <m:t>i</m:t>
        </m:r>
      </m:oMath>
      <w:r>
        <w:t xml:space="preserve"> addresses receiver </w:t>
      </w:r>
      <m:oMath>
        <m:r>
          <w:rPr>
            <w:rFonts w:ascii="Cambria Math" w:hAnsi="Cambria Math"/>
          </w:rPr>
          <m:t>j</m:t>
        </m:r>
      </m:oMath>
      <w:r>
        <w:t xml:space="preserve"> at time </w:t>
      </w:r>
      <m:oMath>
        <m:r>
          <w:rPr>
            <w:rFonts w:ascii="Cambria Math" w:hAnsi="Cambria Math"/>
          </w:rPr>
          <m:t>t</m:t>
        </m:r>
      </m:oMath>
      <w:r>
        <w:t xml:space="preserve"> is a log-linear function of the model statistics,</w:t>
      </w:r>
    </w:p>
    <w:p w14:paraId="1416ED1E" w14:textId="77777777" w:rsidR="000406DD" w:rsidRDefault="000406DD" w:rsidP="000406DD">
      <w:pPr>
        <w:pStyle w:val="BodyText"/>
      </w:pPr>
      <m:oMathPara>
        <m:oMathParaPr>
          <m:jc m:val="center"/>
        </m:oMathParaPr>
        <m:oMath>
          <m:r>
            <w:rPr>
              <w:rFonts w:ascii="Cambria Math" w:hAnsi="Cambria Math"/>
            </w:rPr>
            <m:t>λ</m:t>
          </m:r>
          <m:r>
            <m:rPr>
              <m:sty m:val="p"/>
            </m:rPr>
            <w:rPr>
              <w:rFonts w:ascii="Cambria Math" w:hAnsi="Cambria Math"/>
            </w:rPr>
            <m:t>(</m:t>
          </m:r>
          <m:r>
            <w:rPr>
              <w:rFonts w:ascii="Cambria Math" w:hAnsi="Cambria Math"/>
            </w:rPr>
            <m:t>i</m:t>
          </m:r>
          <m:r>
            <m:rPr>
              <m:sty m:val="p"/>
            </m:rPr>
            <w:rPr>
              <w:rFonts w:ascii="Cambria Math" w:hAnsi="Cambria Math"/>
            </w:rPr>
            <m:t>,</m:t>
          </m:r>
          <m:r>
            <w:rPr>
              <w:rFonts w:ascii="Cambria Math" w:hAnsi="Cambria Math"/>
            </w:rPr>
            <m:t>j</m:t>
          </m:r>
          <m:r>
            <m:rPr>
              <m:sty m:val="p"/>
            </m:rPr>
            <w:rPr>
              <w:rFonts w:ascii="Cambria Math" w:hAnsi="Cambria Math"/>
            </w:rPr>
            <m:t>,</m:t>
          </m:r>
          <m:r>
            <w:rPr>
              <w:rFonts w:ascii="Cambria Math" w:hAnsi="Cambria Math"/>
            </w:rPr>
            <m:t>t</m:t>
          </m:r>
          <m:r>
            <m:rPr>
              <m:sty m:val="p"/>
            </m:rPr>
            <w:rPr>
              <w:rFonts w:ascii="Cambria Math" w:hAnsi="Cambria Math"/>
            </w:rPr>
            <m:t>)=exp</m:t>
          </m:r>
          <m:d>
            <m:dPr>
              <m:ctrlPr>
                <w:rPr>
                  <w:rFonts w:ascii="Cambria Math" w:hAnsi="Cambria Math"/>
                </w:rPr>
              </m:ctrlPr>
            </m:dPr>
            <m:e>
              <m:sSub>
                <m:sSubPr>
                  <m:ctrlPr>
                    <w:rPr>
                      <w:rFonts w:ascii="Cambria Math" w:hAnsi="Cambria Math"/>
                    </w:rPr>
                  </m:ctrlPr>
                </m:sSubPr>
                <m:e>
                  <m:r>
                    <w:rPr>
                      <w:rFonts w:ascii="Cambria Math" w:hAnsi="Cambria Math"/>
                    </w:rPr>
                    <m:t>β</m:t>
                  </m:r>
                </m:e>
                <m:sub>
                  <m:r>
                    <w:rPr>
                      <w:rFonts w:ascii="Cambria Math" w:hAnsi="Cambria Math"/>
                    </w:rPr>
                    <m:t>0</m:t>
                  </m:r>
                </m:sub>
              </m:sSub>
              <m:r>
                <m:rPr>
                  <m:sty m:val="p"/>
                </m:rPr>
                <w:rPr>
                  <w:rFonts w:ascii="Cambria Math" w:hAnsi="Cambria Math"/>
                </w:rPr>
                <m:t>+</m:t>
              </m:r>
              <m:nary>
                <m:naryPr>
                  <m:chr m:val="∑"/>
                  <m:limLoc m:val="undOvr"/>
                  <m:ctrlPr>
                    <w:rPr>
                      <w:rFonts w:ascii="Cambria Math" w:hAnsi="Cambria Math"/>
                    </w:rPr>
                  </m:ctrlPr>
                </m:naryPr>
                <m:sub>
                  <m:r>
                    <w:rPr>
                      <w:rFonts w:ascii="Cambria Math" w:hAnsi="Cambria Math"/>
                    </w:rPr>
                    <m:t>q</m:t>
                  </m:r>
                  <m:r>
                    <m:rPr>
                      <m:sty m:val="p"/>
                    </m:rPr>
                    <w:rPr>
                      <w:rFonts w:ascii="Cambria Math" w:hAnsi="Cambria Math"/>
                    </w:rPr>
                    <m:t>=</m:t>
                  </m:r>
                  <m:r>
                    <w:rPr>
                      <w:rFonts w:ascii="Cambria Math" w:hAnsi="Cambria Math"/>
                    </w:rPr>
                    <m:t>1</m:t>
                  </m:r>
                </m:sub>
                <m:sup>
                  <m:r>
                    <w:rPr>
                      <w:rFonts w:ascii="Cambria Math" w:hAnsi="Cambria Math"/>
                    </w:rPr>
                    <m:t>Q</m:t>
                  </m:r>
                </m:sup>
                <m:e>
                  <m:sSub>
                    <m:sSubPr>
                      <m:ctrlPr>
                        <w:rPr>
                          <w:rFonts w:ascii="Cambria Math" w:hAnsi="Cambria Math"/>
                        </w:rPr>
                      </m:ctrlPr>
                    </m:sSubPr>
                    <m:e>
                      <m:r>
                        <w:rPr>
                          <w:rFonts w:ascii="Cambria Math" w:hAnsi="Cambria Math"/>
                        </w:rPr>
                        <m:t>β</m:t>
                      </m:r>
                    </m:e>
                    <m:sub>
                      <m:r>
                        <w:rPr>
                          <w:rFonts w:ascii="Cambria Math" w:hAnsi="Cambria Math"/>
                        </w:rPr>
                        <m:t>q</m:t>
                      </m:r>
                    </m:sub>
                  </m:sSub>
                </m:e>
              </m:nary>
              <m:sSub>
                <m:sSubPr>
                  <m:ctrlPr>
                    <w:rPr>
                      <w:rFonts w:ascii="Cambria Math" w:hAnsi="Cambria Math"/>
                    </w:rPr>
                  </m:ctrlPr>
                </m:sSubPr>
                <m:e>
                  <m:r>
                    <w:rPr>
                      <w:rFonts w:ascii="Cambria Math" w:hAnsi="Cambria Math"/>
                    </w:rPr>
                    <m:t>X</m:t>
                  </m:r>
                </m:e>
                <m:sub>
                  <m:r>
                    <w:rPr>
                      <w:rFonts w:ascii="Cambria Math" w:hAnsi="Cambria Math"/>
                    </w:rPr>
                    <m:t>q</m:t>
                  </m:r>
                </m:sub>
              </m:sSub>
              <m:r>
                <m:rPr>
                  <m:sty m:val="p"/>
                </m:rPr>
                <w:rPr>
                  <w:rFonts w:ascii="Cambria Math" w:hAnsi="Cambria Math"/>
                </w:rPr>
                <m:t>(</m:t>
              </m:r>
              <m:r>
                <w:rPr>
                  <w:rFonts w:ascii="Cambria Math" w:hAnsi="Cambria Math"/>
                </w:rPr>
                <m:t>i</m:t>
              </m:r>
              <m:r>
                <m:rPr>
                  <m:sty m:val="p"/>
                </m:rPr>
                <w:rPr>
                  <w:rFonts w:ascii="Cambria Math" w:hAnsi="Cambria Math"/>
                </w:rPr>
                <m:t>,</m:t>
              </m:r>
              <m:r>
                <w:rPr>
                  <w:rFonts w:ascii="Cambria Math" w:hAnsi="Cambria Math"/>
                </w:rPr>
                <m:t>j</m:t>
              </m:r>
              <m:r>
                <m:rPr>
                  <m:sty m:val="p"/>
                </m:rPr>
                <w:rPr>
                  <w:rFonts w:ascii="Cambria Math" w:hAnsi="Cambria Math"/>
                </w:rPr>
                <m:t>,</m:t>
              </m:r>
              <m:r>
                <w:rPr>
                  <w:rFonts w:ascii="Cambria Math" w:hAnsi="Cambria Math"/>
                </w:rPr>
                <m:t>t</m:t>
              </m:r>
              <m:r>
                <m:rPr>
                  <m:sty m:val="p"/>
                </m:rPr>
                <w:rPr>
                  <w:rFonts w:ascii="Cambria Math" w:hAnsi="Cambria Math"/>
                </w:rPr>
                <m:t>)</m:t>
              </m:r>
            </m:e>
          </m:d>
          <m:r>
            <m:rPr>
              <m:sty m:val="p"/>
            </m:rPr>
            <w:rPr>
              <w:rFonts w:ascii="Cambria Math" w:hAnsi="Cambria Math"/>
            </w:rPr>
            <m:t>,</m:t>
          </m:r>
        </m:oMath>
      </m:oMathPara>
    </w:p>
    <w:p w14:paraId="4E936633" w14:textId="77777777" w:rsidR="000406DD" w:rsidRDefault="000406DD" w:rsidP="000406DD">
      <w:pPr>
        <w:pStyle w:val="FirstParagraph"/>
      </w:pPr>
      <w:r>
        <w:t xml:space="preserve">where the index </w:t>
      </w:r>
      <m:oMath>
        <m:r>
          <w:rPr>
            <w:rFonts w:ascii="Cambria Math" w:hAnsi="Cambria Math"/>
          </w:rPr>
          <m:t>q</m:t>
        </m:r>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Q</m:t>
        </m:r>
      </m:oMath>
      <w:r>
        <w:t xml:space="preserve"> runs over the statistics included in the model, </w:t>
      </w:r>
      <m:oMath>
        <m:sSub>
          <m:sSubPr>
            <m:ctrlPr>
              <w:rPr>
                <w:rFonts w:ascii="Cambria Math" w:hAnsi="Cambria Math"/>
              </w:rPr>
            </m:ctrlPr>
          </m:sSubPr>
          <m:e>
            <m:r>
              <w:rPr>
                <w:rFonts w:ascii="Cambria Math" w:hAnsi="Cambria Math"/>
              </w:rPr>
              <m:t>X</m:t>
            </m:r>
          </m:e>
          <m:sub>
            <m:r>
              <w:rPr>
                <w:rFonts w:ascii="Cambria Math" w:hAnsi="Cambria Math"/>
              </w:rPr>
              <m:t>q</m:t>
            </m:r>
          </m:sub>
        </m:sSub>
        <m:r>
          <m:rPr>
            <m:sty m:val="p"/>
          </m:rPr>
          <w:rPr>
            <w:rFonts w:ascii="Cambria Math" w:hAnsi="Cambria Math"/>
          </w:rPr>
          <m:t>(</m:t>
        </m:r>
        <m:r>
          <w:rPr>
            <w:rFonts w:ascii="Cambria Math" w:hAnsi="Cambria Math"/>
          </w:rPr>
          <m:t>i</m:t>
        </m:r>
        <m:r>
          <m:rPr>
            <m:sty m:val="p"/>
          </m:rPr>
          <w:rPr>
            <w:rFonts w:ascii="Cambria Math" w:hAnsi="Cambria Math"/>
          </w:rPr>
          <m:t>,</m:t>
        </m:r>
        <m:r>
          <w:rPr>
            <w:rFonts w:ascii="Cambria Math" w:hAnsi="Cambria Math"/>
          </w:rPr>
          <m:t>j</m:t>
        </m:r>
        <m:r>
          <m:rPr>
            <m:sty m:val="p"/>
          </m:rPr>
          <w:rPr>
            <w:rFonts w:ascii="Cambria Math" w:hAnsi="Cambria Math"/>
          </w:rPr>
          <m:t>,</m:t>
        </m:r>
        <m:r>
          <w:rPr>
            <w:rFonts w:ascii="Cambria Math" w:hAnsi="Cambria Math"/>
          </w:rPr>
          <m:t>t</m:t>
        </m:r>
        <m:r>
          <m:rPr>
            <m:sty m:val="p"/>
          </m:rPr>
          <w:rPr>
            <w:rFonts w:ascii="Cambria Math" w:hAnsi="Cambria Math"/>
          </w:rPr>
          <m:t>)</m:t>
        </m:r>
      </m:oMath>
      <w:r>
        <w:t xml:space="preserve"> is the value of the </w:t>
      </w:r>
      <m:oMath>
        <m:r>
          <w:rPr>
            <w:rFonts w:ascii="Cambria Math" w:hAnsi="Cambria Math"/>
          </w:rPr>
          <m:t>q</m:t>
        </m:r>
      </m:oMath>
      <w:r>
        <w:t xml:space="preserve">-th statistic for the dyad </w:t>
      </w:r>
      <m:oMath>
        <m:r>
          <m:rPr>
            <m:sty m:val="p"/>
          </m:rPr>
          <w:rPr>
            <w:rFonts w:ascii="Cambria Math" w:hAnsi="Cambria Math"/>
          </w:rPr>
          <m:t>(</m:t>
        </m:r>
        <m:r>
          <w:rPr>
            <w:rFonts w:ascii="Cambria Math" w:hAnsi="Cambria Math"/>
          </w:rPr>
          <m:t>i</m:t>
        </m:r>
        <m:r>
          <m:rPr>
            <m:sty m:val="p"/>
          </m:rPr>
          <w:rPr>
            <w:rFonts w:ascii="Cambria Math" w:hAnsi="Cambria Math"/>
          </w:rPr>
          <m:t>,</m:t>
        </m:r>
        <m:r>
          <w:rPr>
            <w:rFonts w:ascii="Cambria Math" w:hAnsi="Cambria Math"/>
          </w:rPr>
          <m:t>j</m:t>
        </m:r>
        <m:r>
          <m:rPr>
            <m:sty m:val="p"/>
          </m:rPr>
          <w:rPr>
            <w:rFonts w:ascii="Cambria Math" w:hAnsi="Cambria Math"/>
          </w:rPr>
          <m:t>)</m:t>
        </m:r>
      </m:oMath>
      <w:r>
        <w:t xml:space="preserve"> at time </w:t>
      </w:r>
      <m:oMath>
        <m:r>
          <w:rPr>
            <w:rFonts w:ascii="Cambria Math" w:hAnsi="Cambria Math"/>
          </w:rPr>
          <m:t>t</m:t>
        </m:r>
      </m:oMath>
      <w:r>
        <w:t xml:space="preserve">, </w:t>
      </w:r>
      <m:oMath>
        <m:sSub>
          <m:sSubPr>
            <m:ctrlPr>
              <w:rPr>
                <w:rFonts w:ascii="Cambria Math" w:hAnsi="Cambria Math"/>
              </w:rPr>
            </m:ctrlPr>
          </m:sSubPr>
          <m:e>
            <m:r>
              <w:rPr>
                <w:rFonts w:ascii="Cambria Math" w:hAnsi="Cambria Math"/>
              </w:rPr>
              <m:t>β</m:t>
            </m:r>
          </m:e>
          <m:sub>
            <m:r>
              <w:rPr>
                <w:rFonts w:ascii="Cambria Math" w:hAnsi="Cambria Math"/>
              </w:rPr>
              <m:t>q</m:t>
            </m:r>
          </m:sub>
        </m:sSub>
      </m:oMath>
      <w:r>
        <w:t xml:space="preserve"> is its corresponding parameter, and </w:t>
      </w:r>
      <m:oMath>
        <m:sSub>
          <m:sSubPr>
            <m:ctrlPr>
              <w:rPr>
                <w:rFonts w:ascii="Cambria Math" w:hAnsi="Cambria Math"/>
              </w:rPr>
            </m:ctrlPr>
          </m:sSubPr>
          <m:e>
            <m:r>
              <w:rPr>
                <w:rFonts w:ascii="Cambria Math" w:hAnsi="Cambria Math"/>
              </w:rPr>
              <m:t>β</m:t>
            </m:r>
          </m:e>
          <m:sub>
            <m:r>
              <w:rPr>
                <w:rFonts w:ascii="Cambria Math" w:hAnsi="Cambria Math"/>
              </w:rPr>
              <m:t>0</m:t>
            </m:r>
          </m:sub>
        </m:sSub>
      </m:oMath>
      <w:r>
        <w:t xml:space="preserve"> is the baseline pacing constant (</w:t>
      </w:r>
      <w:hyperlink w:anchor="ref_Butts_2008" w:history="1">
        <w:r>
          <w:t>Butts, 2008</w:t>
        </w:r>
      </w:hyperlink>
      <w:r>
        <w:t>). Between events the rates stay fixed; when an event fires, the statistics are updated to reflect the new history and the rates are recomputed.</w:t>
      </w:r>
    </w:p>
    <w:p w14:paraId="2EC8DD11" w14:textId="0F538D60" w:rsidR="000406DD" w:rsidRDefault="000406DD" w:rsidP="000406DD">
      <w:pPr>
        <w:pStyle w:val="BodyText"/>
      </w:pPr>
      <w:r>
        <w:t xml:space="preserve">The configuration used throughout the thesis fixes the actor pool at </w:t>
      </w:r>
      <m:oMath>
        <m:r>
          <w:rPr>
            <w:rFonts w:ascii="Cambria Math" w:hAnsi="Cambria Math"/>
          </w:rPr>
          <m:t>N</m:t>
        </m:r>
        <m:r>
          <m:rPr>
            <m:sty m:val="p"/>
          </m:rPr>
          <w:rPr>
            <w:rFonts w:ascii="Cambria Math" w:hAnsi="Cambria Math"/>
          </w:rPr>
          <m:t>=</m:t>
        </m:r>
        <m:r>
          <w:rPr>
            <w:rFonts w:ascii="Cambria Math" w:hAnsi="Cambria Math"/>
          </w:rPr>
          <m:t>20</m:t>
        </m:r>
      </m:oMath>
      <w:r>
        <w:t xml:space="preserve"> and the event count at </w:t>
      </w:r>
      <m:oMath>
        <m:r>
          <w:rPr>
            <w:rFonts w:ascii="Cambria Math" w:hAnsi="Cambria Math"/>
          </w:rPr>
          <m:t>M</m:t>
        </m:r>
        <m:r>
          <m:rPr>
            <m:sty m:val="p"/>
          </m:rPr>
          <w:rPr>
            <w:rFonts w:ascii="Cambria Math" w:hAnsi="Cambria Math"/>
          </w:rPr>
          <m:t>=</m:t>
        </m:r>
        <m:r>
          <w:rPr>
            <w:rFonts w:ascii="Cambria Math" w:hAnsi="Cambria Math"/>
          </w:rPr>
          <m:t>2</m:t>
        </m:r>
        <m:r>
          <m:rPr>
            <m:sty m:val="p"/>
          </m:rPr>
          <w:rPr>
            <w:rFonts w:ascii="Cambria Math" w:hAnsi="Cambria Math"/>
          </w:rPr>
          <m:t>,</m:t>
        </m:r>
        <m:r>
          <w:rPr>
            <w:rFonts w:ascii="Cambria Math" w:hAnsi="Cambria Math"/>
          </w:rPr>
          <m:t>000</m:t>
        </m:r>
      </m:oMath>
      <w:r>
        <w:t xml:space="preserve">, giving </w:t>
      </w:r>
      <m:oMath>
        <m:r>
          <w:rPr>
            <w:rFonts w:ascii="Cambria Math" w:hAnsi="Cambria Math"/>
          </w:rPr>
          <m:t>N</m:t>
        </m:r>
        <m:r>
          <m:rPr>
            <m:sty m:val="p"/>
          </m:rPr>
          <w:rPr>
            <w:rFonts w:ascii="Cambria Math" w:hAnsi="Cambria Math"/>
          </w:rPr>
          <m:t>(</m:t>
        </m:r>
        <m:r>
          <w:rPr>
            <w:rFonts w:ascii="Cambria Math" w:hAnsi="Cambria Math"/>
          </w:rPr>
          <m:t>N</m:t>
        </m:r>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380</m:t>
        </m:r>
      </m:oMath>
      <w:r>
        <w:t xml:space="preserve"> directed dyads in the risk set at every moment. The baseline draws two actor-level attributes that the model uses as covariates: a binary group indicator (sampled independently for each actor with equal probability), and a continuous activity score (sampled independently from a standard normal distribution). The statistics that enter the rate function and the true parameter values </w:t>
      </w:r>
      <m:oMath>
        <m:sSub>
          <m:sSubPr>
            <m:ctrlPr>
              <w:rPr>
                <w:rFonts w:ascii="Cambria Math" w:hAnsi="Cambria Math"/>
              </w:rPr>
            </m:ctrlPr>
          </m:sSubPr>
          <m:e>
            <m:r>
              <w:rPr>
                <w:rFonts w:ascii="Cambria Math" w:hAnsi="Cambria Math"/>
              </w:rPr>
              <m:t>β</m:t>
            </m:r>
          </m:e>
          <m:sub>
            <m:r>
              <w:rPr>
                <w:rFonts w:ascii="Cambria Math" w:hAnsi="Cambria Math"/>
              </w:rPr>
              <m:t>q</m:t>
            </m:r>
          </m:sub>
        </m:sSub>
      </m:oMath>
      <w:r>
        <w:t xml:space="preserve"> from which every baseline is generated are listed in Table 3. Because these values are set by us before any data is simulated, they are the known generating truth against which parameter recovery is later judged.</w:t>
      </w:r>
    </w:p>
    <w:p w14:paraId="75C11975" w14:textId="426BC9C3" w:rsidR="008E3453" w:rsidRPr="008E3453" w:rsidRDefault="008E3453" w:rsidP="008E3453">
      <w:pPr>
        <w:pStyle w:val="Caption"/>
        <w:keepNext/>
        <w:rPr>
          <w:b/>
          <w:bCs/>
          <w:i w:val="0"/>
          <w:iCs/>
        </w:rPr>
      </w:pPr>
      <w:bookmarkStart w:id="27" w:name="_Ref232775201"/>
      <w:r w:rsidRPr="008E3453">
        <w:rPr>
          <w:b/>
          <w:bCs/>
          <w:i w:val="0"/>
          <w:iCs/>
        </w:rPr>
        <w:t xml:space="preserve">Table </w:t>
      </w:r>
      <w:r w:rsidRPr="008E3453">
        <w:rPr>
          <w:b/>
          <w:bCs/>
          <w:i w:val="0"/>
          <w:iCs/>
        </w:rPr>
        <w:fldChar w:fldCharType="begin"/>
      </w:r>
      <w:r w:rsidRPr="008E3453">
        <w:rPr>
          <w:b/>
          <w:bCs/>
          <w:i w:val="0"/>
          <w:iCs/>
        </w:rPr>
        <w:instrText xml:space="preserve"> SEQ Table \* ARABIC </w:instrText>
      </w:r>
      <w:r w:rsidRPr="008E3453">
        <w:rPr>
          <w:b/>
          <w:bCs/>
          <w:i w:val="0"/>
          <w:iCs/>
        </w:rPr>
        <w:fldChar w:fldCharType="separate"/>
      </w:r>
      <w:r>
        <w:rPr>
          <w:b/>
          <w:bCs/>
          <w:i w:val="0"/>
          <w:iCs/>
          <w:noProof/>
        </w:rPr>
        <w:t>3</w:t>
      </w:r>
      <w:r w:rsidRPr="008E3453">
        <w:rPr>
          <w:b/>
          <w:bCs/>
          <w:i w:val="0"/>
          <w:iCs/>
        </w:rPr>
        <w:fldChar w:fldCharType="end"/>
      </w:r>
      <w:bookmarkEnd w:id="27"/>
    </w:p>
    <w:p w14:paraId="3056E0B2" w14:textId="0FF6E8D4" w:rsidR="008E3453" w:rsidRDefault="008E3453" w:rsidP="008E3453">
      <w:pPr>
        <w:pStyle w:val="Caption"/>
        <w:keepNext/>
      </w:pPr>
      <w:r>
        <w:rPr>
          <w:iCs/>
        </w:rPr>
        <w:t>Effects and True Parameter Values Used in the Dyadic Baseline Simulation</w:t>
      </w:r>
    </w:p>
    <w:tbl>
      <w:tblPr>
        <w:tblStyle w:val="GridTable1Light"/>
        <w:tblW w:w="5000" w:type="pct"/>
        <w:jc w:val="center"/>
        <w:tblLayout w:type="fixed"/>
        <w:tblLook w:val="0020" w:firstRow="1" w:lastRow="0" w:firstColumn="0" w:lastColumn="0" w:noHBand="0" w:noVBand="0"/>
      </w:tblPr>
      <w:tblGrid>
        <w:gridCol w:w="2157"/>
        <w:gridCol w:w="2158"/>
        <w:gridCol w:w="2158"/>
        <w:gridCol w:w="2877"/>
      </w:tblGrid>
      <w:tr w:rsidR="000406DD" w14:paraId="068F876D" w14:textId="77777777" w:rsidTr="00956F70">
        <w:trPr>
          <w:cnfStyle w:val="100000000000" w:firstRow="1" w:lastRow="0" w:firstColumn="0" w:lastColumn="0" w:oddVBand="0" w:evenVBand="0" w:oddHBand="0" w:evenHBand="0" w:firstRowFirstColumn="0" w:firstRowLastColumn="0" w:lastRowFirstColumn="0" w:lastRowLastColumn="0"/>
          <w:jc w:val="center"/>
        </w:trPr>
        <w:tc>
          <w:tcPr>
            <w:tcW w:w="1827" w:type="dxa"/>
          </w:tcPr>
          <w:p w14:paraId="6AD5A62C" w14:textId="77777777" w:rsidR="000406DD" w:rsidRDefault="000406DD" w:rsidP="00587953">
            <w:pPr>
              <w:pStyle w:val="Compact"/>
            </w:pPr>
            <w:r>
              <w:t>Effect</w:t>
            </w:r>
          </w:p>
        </w:tc>
        <w:tc>
          <w:tcPr>
            <w:tcW w:w="1827" w:type="dxa"/>
          </w:tcPr>
          <w:p w14:paraId="2154CD63" w14:textId="77777777" w:rsidR="000406DD" w:rsidRDefault="000406DD" w:rsidP="00587953">
            <w:pPr>
              <w:pStyle w:val="Compact"/>
            </w:pPr>
            <w:r>
              <w:t>Type</w:t>
            </w:r>
          </w:p>
        </w:tc>
        <w:tc>
          <w:tcPr>
            <w:tcW w:w="1827" w:type="dxa"/>
          </w:tcPr>
          <w:p w14:paraId="4D581BEA" w14:textId="77777777" w:rsidR="000406DD" w:rsidRDefault="000406DD" w:rsidP="00587953">
            <w:pPr>
              <w:pStyle w:val="Compact"/>
            </w:pPr>
            <w:r>
              <w:t>Description</w:t>
            </w:r>
          </w:p>
        </w:tc>
        <w:tc>
          <w:tcPr>
            <w:tcW w:w="2436" w:type="dxa"/>
          </w:tcPr>
          <w:p w14:paraId="4833CEC0" w14:textId="77777777" w:rsidR="000406DD" w:rsidRDefault="000406DD" w:rsidP="00587953">
            <w:pPr>
              <w:pStyle w:val="Compact"/>
              <w:jc w:val="right"/>
            </w:pPr>
            <w:r>
              <w:t xml:space="preserve">True </w:t>
            </w:r>
            <m:oMath>
              <m:r>
                <m:rPr>
                  <m:sty m:val="bi"/>
                </m:rPr>
                <w:rPr>
                  <w:rFonts w:ascii="Cambria Math" w:hAnsi="Cambria Math"/>
                </w:rPr>
                <m:t>β</m:t>
              </m:r>
            </m:oMath>
          </w:p>
        </w:tc>
      </w:tr>
      <w:tr w:rsidR="000406DD" w14:paraId="5D3AE987" w14:textId="77777777" w:rsidTr="00956F70">
        <w:trPr>
          <w:jc w:val="center"/>
        </w:trPr>
        <w:tc>
          <w:tcPr>
            <w:tcW w:w="1827" w:type="dxa"/>
          </w:tcPr>
          <w:p w14:paraId="4B4B14BF" w14:textId="77777777" w:rsidR="000406DD" w:rsidRDefault="000406DD" w:rsidP="00587953">
            <w:pPr>
              <w:pStyle w:val="Compact"/>
            </w:pPr>
            <w:r>
              <w:t>Baseline</w:t>
            </w:r>
          </w:p>
        </w:tc>
        <w:tc>
          <w:tcPr>
            <w:tcW w:w="1827" w:type="dxa"/>
          </w:tcPr>
          <w:p w14:paraId="1A67CD6A" w14:textId="77777777" w:rsidR="000406DD" w:rsidRDefault="000406DD" w:rsidP="00587953">
            <w:pPr>
              <w:pStyle w:val="Compact"/>
            </w:pPr>
            <w:r>
              <w:t>Pacing constant</w:t>
            </w:r>
          </w:p>
        </w:tc>
        <w:tc>
          <w:tcPr>
            <w:tcW w:w="1827" w:type="dxa"/>
          </w:tcPr>
          <w:p w14:paraId="1B400FCF" w14:textId="77777777" w:rsidR="000406DD" w:rsidRDefault="000406DD" w:rsidP="00587953">
            <w:pPr>
              <w:pStyle w:val="Compact"/>
            </w:pPr>
            <w:r>
              <w:t>Log of the per-dyad baseline rate</w:t>
            </w:r>
          </w:p>
        </w:tc>
        <w:tc>
          <w:tcPr>
            <w:tcW w:w="2436" w:type="dxa"/>
          </w:tcPr>
          <w:p w14:paraId="03AB49CD" w14:textId="77777777" w:rsidR="000406DD" w:rsidRDefault="000406DD" w:rsidP="00587953">
            <w:pPr>
              <w:pStyle w:val="Compact"/>
              <w:jc w:val="right"/>
            </w:pPr>
            <m:oMathPara>
              <m:oMath>
                <m:r>
                  <m:rPr>
                    <m:sty m:val="p"/>
                  </m:rPr>
                  <w:rPr>
                    <w:rFonts w:ascii="Cambria Math" w:hAnsi="Cambria Math"/>
                  </w:rPr>
                  <m:t>-</m:t>
                </m:r>
                <m:r>
                  <w:rPr>
                    <w:rFonts w:ascii="Cambria Math" w:hAnsi="Cambria Math"/>
                  </w:rPr>
                  <m:t>5.00</m:t>
                </m:r>
              </m:oMath>
            </m:oMathPara>
          </w:p>
        </w:tc>
      </w:tr>
      <w:tr w:rsidR="000406DD" w14:paraId="6E807A1A" w14:textId="77777777" w:rsidTr="00956F70">
        <w:trPr>
          <w:jc w:val="center"/>
        </w:trPr>
        <w:tc>
          <w:tcPr>
            <w:tcW w:w="1827" w:type="dxa"/>
          </w:tcPr>
          <w:p w14:paraId="381DD8C1" w14:textId="77777777" w:rsidR="000406DD" w:rsidRDefault="000406DD" w:rsidP="00587953">
            <w:pPr>
              <w:pStyle w:val="Compact"/>
            </w:pPr>
            <w:r>
              <w:t>Inertia</w:t>
            </w:r>
          </w:p>
        </w:tc>
        <w:tc>
          <w:tcPr>
            <w:tcW w:w="1827" w:type="dxa"/>
          </w:tcPr>
          <w:p w14:paraId="6C112F7D" w14:textId="77777777" w:rsidR="000406DD" w:rsidRDefault="000406DD" w:rsidP="00587953">
            <w:pPr>
              <w:pStyle w:val="Compact"/>
            </w:pPr>
            <w:r>
              <w:t>Endogenous, dyad-level</w:t>
            </w:r>
          </w:p>
        </w:tc>
        <w:tc>
          <w:tcPr>
            <w:tcW w:w="1827" w:type="dxa"/>
          </w:tcPr>
          <w:p w14:paraId="6A57C445" w14:textId="77777777" w:rsidR="000406DD" w:rsidRDefault="000406DD" w:rsidP="00587953">
            <w:pPr>
              <w:pStyle w:val="Compact"/>
            </w:pPr>
            <w:r>
              <w:t xml:space="preserve">Standardised count of past </w:t>
            </w:r>
            <m:oMath>
              <m:r>
                <w:rPr>
                  <w:rFonts w:ascii="Cambria Math" w:hAnsi="Cambria Math"/>
                </w:rPr>
                <m:t>i</m:t>
              </m:r>
              <m:r>
                <m:rPr>
                  <m:sty m:val="p"/>
                </m:rPr>
                <w:rPr>
                  <w:rFonts w:ascii="Cambria Math" w:hAnsi="Cambria Math"/>
                </w:rPr>
                <m:t>→</m:t>
              </m:r>
              <m:r>
                <w:rPr>
                  <w:rFonts w:ascii="Cambria Math" w:hAnsi="Cambria Math"/>
                </w:rPr>
                <m:t>j</m:t>
              </m:r>
            </m:oMath>
            <w:r>
              <w:t xml:space="preserve"> events</w:t>
            </w:r>
          </w:p>
        </w:tc>
        <w:tc>
          <w:tcPr>
            <w:tcW w:w="2436" w:type="dxa"/>
          </w:tcPr>
          <w:p w14:paraId="441180A1" w14:textId="77777777" w:rsidR="000406DD" w:rsidRDefault="00000000" w:rsidP="00587953">
            <w:pPr>
              <w:pStyle w:val="Compact"/>
              <w:jc w:val="right"/>
            </w:pPr>
            <m:oMathPara>
              <m:oMath>
                <m:phant>
                  <m:phantPr>
                    <m:show m:val="0"/>
                    <m:ctrlPr>
                      <w:rPr>
                        <w:rFonts w:ascii="Cambria Math" w:hAnsi="Cambria Math"/>
                      </w:rPr>
                    </m:ctrlPr>
                  </m:phantPr>
                  <m:e>
                    <m:r>
                      <m:rPr>
                        <m:sty m:val="p"/>
                      </m:rPr>
                      <w:rPr>
                        <w:rFonts w:ascii="Cambria Math" w:hAnsi="Cambria Math"/>
                      </w:rPr>
                      <m:t>-</m:t>
                    </m:r>
                  </m:e>
                </m:phant>
                <m:r>
                  <w:rPr>
                    <w:rFonts w:ascii="Cambria Math" w:hAnsi="Cambria Math"/>
                  </w:rPr>
                  <m:t>0.02</m:t>
                </m:r>
              </m:oMath>
            </m:oMathPara>
          </w:p>
        </w:tc>
      </w:tr>
      <w:tr w:rsidR="000406DD" w14:paraId="27546C41" w14:textId="77777777" w:rsidTr="00956F70">
        <w:trPr>
          <w:jc w:val="center"/>
        </w:trPr>
        <w:tc>
          <w:tcPr>
            <w:tcW w:w="1827" w:type="dxa"/>
          </w:tcPr>
          <w:p w14:paraId="51D91A93" w14:textId="77777777" w:rsidR="000406DD" w:rsidRDefault="000406DD" w:rsidP="00587953">
            <w:pPr>
              <w:pStyle w:val="Compact"/>
            </w:pPr>
            <w:r>
              <w:t>Reciprocity</w:t>
            </w:r>
          </w:p>
        </w:tc>
        <w:tc>
          <w:tcPr>
            <w:tcW w:w="1827" w:type="dxa"/>
          </w:tcPr>
          <w:p w14:paraId="10DD5F3C" w14:textId="77777777" w:rsidR="000406DD" w:rsidRDefault="000406DD" w:rsidP="00587953">
            <w:pPr>
              <w:pStyle w:val="Compact"/>
            </w:pPr>
            <w:r>
              <w:t>Endogenous, dyad-level</w:t>
            </w:r>
          </w:p>
        </w:tc>
        <w:tc>
          <w:tcPr>
            <w:tcW w:w="1827" w:type="dxa"/>
          </w:tcPr>
          <w:p w14:paraId="179B2E82" w14:textId="77777777" w:rsidR="000406DD" w:rsidRDefault="000406DD" w:rsidP="00587953">
            <w:pPr>
              <w:pStyle w:val="Compact"/>
            </w:pPr>
            <w:r>
              <w:t xml:space="preserve">Standardised count of past </w:t>
            </w:r>
            <m:oMath>
              <m:r>
                <w:rPr>
                  <w:rFonts w:ascii="Cambria Math" w:hAnsi="Cambria Math"/>
                </w:rPr>
                <m:t>j</m:t>
              </m:r>
              <m:r>
                <m:rPr>
                  <m:sty m:val="p"/>
                </m:rPr>
                <w:rPr>
                  <w:rFonts w:ascii="Cambria Math" w:hAnsi="Cambria Math"/>
                </w:rPr>
                <m:t>→</m:t>
              </m:r>
              <m:r>
                <w:rPr>
                  <w:rFonts w:ascii="Cambria Math" w:hAnsi="Cambria Math"/>
                </w:rPr>
                <m:t>i</m:t>
              </m:r>
            </m:oMath>
            <w:r>
              <w:t xml:space="preserve"> events</w:t>
            </w:r>
          </w:p>
        </w:tc>
        <w:tc>
          <w:tcPr>
            <w:tcW w:w="2436" w:type="dxa"/>
          </w:tcPr>
          <w:p w14:paraId="3753DD0F" w14:textId="77777777" w:rsidR="000406DD" w:rsidRDefault="00000000" w:rsidP="00587953">
            <w:pPr>
              <w:pStyle w:val="Compact"/>
              <w:jc w:val="right"/>
            </w:pPr>
            <m:oMathPara>
              <m:oMath>
                <m:phant>
                  <m:phantPr>
                    <m:show m:val="0"/>
                    <m:ctrlPr>
                      <w:rPr>
                        <w:rFonts w:ascii="Cambria Math" w:hAnsi="Cambria Math"/>
                      </w:rPr>
                    </m:ctrlPr>
                  </m:phantPr>
                  <m:e>
                    <m:r>
                      <m:rPr>
                        <m:sty m:val="p"/>
                      </m:rPr>
                      <w:rPr>
                        <w:rFonts w:ascii="Cambria Math" w:hAnsi="Cambria Math"/>
                      </w:rPr>
                      <m:t>-</m:t>
                    </m:r>
                  </m:e>
                </m:phant>
                <m:r>
                  <w:rPr>
                    <w:rFonts w:ascii="Cambria Math" w:hAnsi="Cambria Math"/>
                  </w:rPr>
                  <m:t>0.10</m:t>
                </m:r>
              </m:oMath>
            </m:oMathPara>
          </w:p>
        </w:tc>
      </w:tr>
      <w:tr w:rsidR="000406DD" w14:paraId="50A2E1DA" w14:textId="77777777" w:rsidTr="00956F70">
        <w:trPr>
          <w:jc w:val="center"/>
        </w:trPr>
        <w:tc>
          <w:tcPr>
            <w:tcW w:w="1827" w:type="dxa"/>
          </w:tcPr>
          <w:p w14:paraId="6CC9D15A" w14:textId="77777777" w:rsidR="000406DD" w:rsidRDefault="000406DD" w:rsidP="00587953">
            <w:pPr>
              <w:pStyle w:val="Compact"/>
            </w:pPr>
            <w:r>
              <w:t>OTP</w:t>
            </w:r>
          </w:p>
        </w:tc>
        <w:tc>
          <w:tcPr>
            <w:tcW w:w="1827" w:type="dxa"/>
          </w:tcPr>
          <w:p w14:paraId="15715E70" w14:textId="77777777" w:rsidR="000406DD" w:rsidRDefault="000406DD" w:rsidP="00587953">
            <w:pPr>
              <w:pStyle w:val="Compact"/>
            </w:pPr>
            <w:r>
              <w:t>Endogenous, triadic</w:t>
            </w:r>
          </w:p>
        </w:tc>
        <w:tc>
          <w:tcPr>
            <w:tcW w:w="1827" w:type="dxa"/>
          </w:tcPr>
          <w:p w14:paraId="3940A22A" w14:textId="77777777" w:rsidR="000406DD" w:rsidRDefault="000406DD" w:rsidP="00587953">
            <w:pPr>
              <w:pStyle w:val="Compact"/>
            </w:pPr>
            <w:r>
              <w:t xml:space="preserve">Outgoing two-paths </w:t>
            </w:r>
            <m:oMath>
              <m:r>
                <w:rPr>
                  <w:rFonts w:ascii="Cambria Math" w:hAnsi="Cambria Math"/>
                </w:rPr>
                <m:t>i</m:t>
              </m:r>
              <m:r>
                <m:rPr>
                  <m:sty m:val="p"/>
                </m:rPr>
                <w:rPr>
                  <w:rFonts w:ascii="Cambria Math" w:hAnsi="Cambria Math"/>
                </w:rPr>
                <m:t>→</m:t>
              </m:r>
              <m:r>
                <w:rPr>
                  <w:rFonts w:ascii="Cambria Math" w:hAnsi="Cambria Math"/>
                </w:rPr>
                <m:t>h</m:t>
              </m:r>
              <m:r>
                <m:rPr>
                  <m:sty m:val="p"/>
                </m:rPr>
                <w:rPr>
                  <w:rFonts w:ascii="Cambria Math" w:hAnsi="Cambria Math"/>
                </w:rPr>
                <m:t>→</m:t>
              </m:r>
              <m:r>
                <w:rPr>
                  <w:rFonts w:ascii="Cambria Math" w:hAnsi="Cambria Math"/>
                </w:rPr>
                <m:t>j</m:t>
              </m:r>
            </m:oMath>
            <w:r>
              <w:t xml:space="preserve"> (transitive closure)</w:t>
            </w:r>
          </w:p>
        </w:tc>
        <w:tc>
          <w:tcPr>
            <w:tcW w:w="2436" w:type="dxa"/>
          </w:tcPr>
          <w:p w14:paraId="7F99F6ED" w14:textId="77777777" w:rsidR="000406DD" w:rsidRDefault="00000000" w:rsidP="00587953">
            <w:pPr>
              <w:pStyle w:val="Compact"/>
              <w:jc w:val="right"/>
            </w:pPr>
            <m:oMathPara>
              <m:oMath>
                <m:phant>
                  <m:phantPr>
                    <m:show m:val="0"/>
                    <m:ctrlPr>
                      <w:rPr>
                        <w:rFonts w:ascii="Cambria Math" w:hAnsi="Cambria Math"/>
                      </w:rPr>
                    </m:ctrlPr>
                  </m:phantPr>
                  <m:e>
                    <m:r>
                      <m:rPr>
                        <m:sty m:val="p"/>
                      </m:rPr>
                      <w:rPr>
                        <w:rFonts w:ascii="Cambria Math" w:hAnsi="Cambria Math"/>
                      </w:rPr>
                      <m:t>-</m:t>
                    </m:r>
                  </m:e>
                </m:phant>
                <m:r>
                  <w:rPr>
                    <w:rFonts w:ascii="Cambria Math" w:hAnsi="Cambria Math"/>
                  </w:rPr>
                  <m:t>0.03</m:t>
                </m:r>
              </m:oMath>
            </m:oMathPara>
          </w:p>
        </w:tc>
      </w:tr>
      <w:tr w:rsidR="000406DD" w14:paraId="53E94838" w14:textId="77777777" w:rsidTr="00956F70">
        <w:trPr>
          <w:jc w:val="center"/>
        </w:trPr>
        <w:tc>
          <w:tcPr>
            <w:tcW w:w="1827" w:type="dxa"/>
          </w:tcPr>
          <w:p w14:paraId="13BF3680" w14:textId="77777777" w:rsidR="000406DD" w:rsidRDefault="000406DD" w:rsidP="00587953">
            <w:pPr>
              <w:pStyle w:val="Compact"/>
            </w:pPr>
            <w:r>
              <w:t>Difference (active)</w:t>
            </w:r>
          </w:p>
        </w:tc>
        <w:tc>
          <w:tcPr>
            <w:tcW w:w="1827" w:type="dxa"/>
          </w:tcPr>
          <w:p w14:paraId="299A78DC" w14:textId="77777777" w:rsidR="000406DD" w:rsidRDefault="000406DD" w:rsidP="00587953">
            <w:pPr>
              <w:pStyle w:val="Compact"/>
            </w:pPr>
            <w:r>
              <w:t>Exogenous, dyad-level</w:t>
            </w:r>
          </w:p>
        </w:tc>
        <w:tc>
          <w:tcPr>
            <w:tcW w:w="1827" w:type="dxa"/>
          </w:tcPr>
          <w:p w14:paraId="261B57C8" w14:textId="77777777" w:rsidR="000406DD" w:rsidRDefault="000406DD" w:rsidP="00587953">
            <w:pPr>
              <w:pStyle w:val="Compact"/>
            </w:pPr>
            <w:r>
              <w:t xml:space="preserve">Absolute difference </w:t>
            </w:r>
            <m:oMath>
              <m:r>
                <m:rPr>
                  <m:sty m:val="p"/>
                </m:rP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i</m:t>
                  </m:r>
                </m:sub>
              </m:sSub>
              <m:r>
                <m:rPr>
                  <m:sty m:val="p"/>
                </m:rP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j</m:t>
                  </m:r>
                </m:sub>
              </m:sSub>
              <m:r>
                <m:rPr>
                  <m:sty m:val="p"/>
                </m:rPr>
                <w:rPr>
                  <w:rFonts w:ascii="Cambria Math" w:hAnsi="Cambria Math"/>
                </w:rPr>
                <m:t>|</m:t>
              </m:r>
            </m:oMath>
            <w:r>
              <w:t xml:space="preserve"> on the continuous attribute</w:t>
            </w:r>
          </w:p>
        </w:tc>
        <w:tc>
          <w:tcPr>
            <w:tcW w:w="2436" w:type="dxa"/>
          </w:tcPr>
          <w:p w14:paraId="02034E8E" w14:textId="77777777" w:rsidR="000406DD" w:rsidRDefault="00000000" w:rsidP="00587953">
            <w:pPr>
              <w:pStyle w:val="Compact"/>
              <w:jc w:val="right"/>
            </w:pPr>
            <m:oMathPara>
              <m:oMath>
                <m:phant>
                  <m:phantPr>
                    <m:show m:val="0"/>
                    <m:ctrlPr>
                      <w:rPr>
                        <w:rFonts w:ascii="Cambria Math" w:hAnsi="Cambria Math"/>
                      </w:rPr>
                    </m:ctrlPr>
                  </m:phantPr>
                  <m:e>
                    <m:r>
                      <m:rPr>
                        <m:sty m:val="p"/>
                      </m:rPr>
                      <w:rPr>
                        <w:rFonts w:ascii="Cambria Math" w:hAnsi="Cambria Math"/>
                      </w:rPr>
                      <m:t>-</m:t>
                    </m:r>
                  </m:e>
                </m:phant>
                <m:r>
                  <w:rPr>
                    <w:rFonts w:ascii="Cambria Math" w:hAnsi="Cambria Math"/>
                  </w:rPr>
                  <m:t>0.15</m:t>
                </m:r>
              </m:oMath>
            </m:oMathPara>
          </w:p>
        </w:tc>
      </w:tr>
      <w:tr w:rsidR="000406DD" w14:paraId="2227F7FB" w14:textId="77777777" w:rsidTr="00956F70">
        <w:trPr>
          <w:jc w:val="center"/>
        </w:trPr>
        <w:tc>
          <w:tcPr>
            <w:tcW w:w="1827" w:type="dxa"/>
          </w:tcPr>
          <w:p w14:paraId="378473BF" w14:textId="77777777" w:rsidR="000406DD" w:rsidRDefault="000406DD" w:rsidP="00587953">
            <w:pPr>
              <w:pStyle w:val="Compact"/>
            </w:pPr>
            <w:r>
              <w:t>Same (group)</w:t>
            </w:r>
          </w:p>
        </w:tc>
        <w:tc>
          <w:tcPr>
            <w:tcW w:w="1827" w:type="dxa"/>
          </w:tcPr>
          <w:p w14:paraId="6F594A57" w14:textId="77777777" w:rsidR="000406DD" w:rsidRDefault="000406DD" w:rsidP="00587953">
            <w:pPr>
              <w:pStyle w:val="Compact"/>
            </w:pPr>
            <w:r>
              <w:t>Exogenous, dyad-level</w:t>
            </w:r>
          </w:p>
        </w:tc>
        <w:tc>
          <w:tcPr>
            <w:tcW w:w="1827" w:type="dxa"/>
          </w:tcPr>
          <w:p w14:paraId="4F85D148" w14:textId="77777777" w:rsidR="000406DD" w:rsidRDefault="000406DD" w:rsidP="00587953">
            <w:pPr>
              <w:pStyle w:val="Compact"/>
            </w:pPr>
            <w:r>
              <w:t>Indicator of shared group membership</w:t>
            </w:r>
          </w:p>
        </w:tc>
        <w:tc>
          <w:tcPr>
            <w:tcW w:w="2436" w:type="dxa"/>
          </w:tcPr>
          <w:p w14:paraId="5BBAA3BA" w14:textId="77777777" w:rsidR="000406DD" w:rsidRDefault="00000000" w:rsidP="00587953">
            <w:pPr>
              <w:pStyle w:val="Compact"/>
              <w:jc w:val="right"/>
            </w:pPr>
            <m:oMathPara>
              <m:oMath>
                <m:phant>
                  <m:phantPr>
                    <m:show m:val="0"/>
                    <m:ctrlPr>
                      <w:rPr>
                        <w:rFonts w:ascii="Cambria Math" w:hAnsi="Cambria Math"/>
                      </w:rPr>
                    </m:ctrlPr>
                  </m:phantPr>
                  <m:e>
                    <m:r>
                      <m:rPr>
                        <m:sty m:val="p"/>
                      </m:rPr>
                      <w:rPr>
                        <w:rFonts w:ascii="Cambria Math" w:hAnsi="Cambria Math"/>
                      </w:rPr>
                      <m:t>-</m:t>
                    </m:r>
                  </m:e>
                </m:phant>
                <m:r>
                  <w:rPr>
                    <w:rFonts w:ascii="Cambria Math" w:hAnsi="Cambria Math"/>
                  </w:rPr>
                  <m:t>0.40</m:t>
                </m:r>
              </m:oMath>
            </m:oMathPara>
          </w:p>
        </w:tc>
      </w:tr>
    </w:tbl>
    <w:p w14:paraId="726110C0" w14:textId="77777777" w:rsidR="000406DD" w:rsidRDefault="000406DD" w:rsidP="000406DD">
      <w:pPr>
        <w:pStyle w:val="BodyText"/>
      </w:pPr>
      <w:r>
        <w:rPr>
          <w:i/>
          <w:iCs/>
        </w:rPr>
        <w:t>Note.</w:t>
      </w:r>
      <w:r>
        <w:t xml:space="preserve"> The baseline parameter is on the log-rate scale, so </w:t>
      </w:r>
      <m:oMath>
        <m:r>
          <m:rPr>
            <m:sty m:val="p"/>
          </m:rPr>
          <w:rPr>
            <w:rFonts w:ascii="Cambria Math" w:hAnsi="Cambria Math"/>
          </w:rPr>
          <m:t>exp(-</m:t>
        </m:r>
        <m:r>
          <w:rPr>
            <w:rFonts w:ascii="Cambria Math" w:hAnsi="Cambria Math"/>
          </w:rPr>
          <m:t>5</m:t>
        </m:r>
        <m:r>
          <m:rPr>
            <m:sty m:val="p"/>
          </m:rPr>
          <w:rPr>
            <w:rFonts w:ascii="Cambria Math" w:hAnsi="Cambria Math"/>
          </w:rPr>
          <m:t>)≈</m:t>
        </m:r>
        <m:r>
          <w:rPr>
            <w:rFonts w:ascii="Cambria Math" w:hAnsi="Cambria Math"/>
          </w:rPr>
          <m:t>0.0067</m:t>
        </m:r>
      </m:oMath>
      <w:r>
        <w:t xml:space="preserve"> is the per-dyad rate when every other statistic is zero. The inertia value of </w:t>
      </w:r>
      <m:oMath>
        <m:r>
          <w:rPr>
            <w:rFonts w:ascii="Cambria Math" w:hAnsi="Cambria Math"/>
          </w:rPr>
          <m:t>0.02</m:t>
        </m:r>
      </m:oMath>
      <w:r>
        <w:t xml:space="preserve"> is calibrated to the </w:t>
      </w:r>
      <m:oMath>
        <m:r>
          <m:rPr>
            <m:sty m:val="p"/>
          </m:rPr>
          <w:rPr>
            <w:rFonts w:ascii="Cambria Math" w:hAnsi="Cambria Math"/>
          </w:rPr>
          <m:t>(</m:t>
        </m:r>
        <m:r>
          <w:rPr>
            <w:rFonts w:ascii="Cambria Math" w:hAnsi="Cambria Math"/>
          </w:rPr>
          <m:t>N</m:t>
        </m:r>
        <m:r>
          <m:rPr>
            <m:sty m:val="p"/>
          </m:rPr>
          <w:rPr>
            <w:rFonts w:ascii="Cambria Math" w:hAnsi="Cambria Math"/>
          </w:rPr>
          <m:t>=</m:t>
        </m:r>
        <m:r>
          <w:rPr>
            <w:rFonts w:ascii="Cambria Math" w:hAnsi="Cambria Math"/>
          </w:rPr>
          <m:t>20</m:t>
        </m:r>
        <m:r>
          <m:rPr>
            <m:sty m:val="p"/>
          </m:rPr>
          <w:rPr>
            <w:rFonts w:ascii="Cambria Math" w:hAnsi="Cambria Math"/>
          </w:rPr>
          <m:t>,</m:t>
        </m:r>
        <m:r>
          <w:rPr>
            <w:rFonts w:ascii="Cambria Math" w:hAnsi="Cambria Math"/>
          </w:rPr>
          <m:t>M</m:t>
        </m:r>
        <m:r>
          <m:rPr>
            <m:sty m:val="p"/>
          </m:rPr>
          <w:rPr>
            <w:rFonts w:ascii="Cambria Math" w:hAnsi="Cambria Math"/>
          </w:rPr>
          <m:t>=</m:t>
        </m:r>
        <m:r>
          <w:rPr>
            <w:rFonts w:ascii="Cambria Math" w:hAnsi="Cambria Math"/>
          </w:rPr>
          <m:t>2</m:t>
        </m:r>
        <m:r>
          <m:rPr>
            <m:sty m:val="p"/>
          </m:rPr>
          <w:rPr>
            <w:rFonts w:ascii="Cambria Math" w:hAnsi="Cambria Math"/>
          </w:rPr>
          <m:t>,</m:t>
        </m:r>
        <m:r>
          <w:rPr>
            <w:rFonts w:ascii="Cambria Math" w:hAnsi="Cambria Math"/>
          </w:rPr>
          <m:t>000</m:t>
        </m:r>
        <m:r>
          <m:rPr>
            <m:sty m:val="p"/>
          </m:rPr>
          <w:rPr>
            <w:rFonts w:ascii="Cambria Math" w:hAnsi="Cambria Math"/>
          </w:rPr>
          <m:t>)</m:t>
        </m:r>
      </m:oMath>
      <w:r>
        <w:t xml:space="preserve"> configuration: cumulative-count inertia is positive feedback, so larger values compound across the 2,000-event sequence until expected waiting times collapse and remaining events fire at duplicate timestamps. The feasible region for </w:t>
      </w:r>
      <m:oMath>
        <m:sSub>
          <m:sSubPr>
            <m:ctrlPr>
              <w:rPr>
                <w:rFonts w:ascii="Cambria Math" w:hAnsi="Cambria Math"/>
              </w:rPr>
            </m:ctrlPr>
          </m:sSubPr>
          <m:e>
            <m:r>
              <w:rPr>
                <w:rFonts w:ascii="Cambria Math" w:hAnsi="Cambria Math"/>
              </w:rPr>
              <m:t>β</m:t>
            </m:r>
          </m:e>
          <m:sub>
            <m:r>
              <m:rPr>
                <m:nor/>
              </m:rPr>
              <m:t>inertia</m:t>
            </m:r>
          </m:sub>
        </m:sSub>
      </m:oMath>
      <w:r>
        <w:t xml:space="preserve"> is therefore </w:t>
      </w:r>
      <m:oMath>
        <m:r>
          <w:rPr>
            <w:rFonts w:ascii="Cambria Math" w:hAnsi="Cambria Math"/>
          </w:rPr>
          <m:t>M</m:t>
        </m:r>
      </m:oMath>
      <w:r>
        <w:t>-dependent.</w:t>
      </w:r>
    </w:p>
    <w:p w14:paraId="10CC9B47" w14:textId="77777777" w:rsidR="000406DD" w:rsidRDefault="000406DD" w:rsidP="000406DD">
      <w:pPr>
        <w:pStyle w:val="BodyText"/>
      </w:pPr>
      <w:r>
        <w:t xml:space="preserve">The simulator is configured to produce exactly </w:t>
      </w:r>
      <m:oMath>
        <m:r>
          <w:rPr>
            <w:rFonts w:ascii="Cambria Math" w:hAnsi="Cambria Math"/>
          </w:rPr>
          <m:t>M</m:t>
        </m:r>
        <m:r>
          <m:rPr>
            <m:sty m:val="p"/>
          </m:rPr>
          <w:rPr>
            <w:rFonts w:ascii="Cambria Math" w:hAnsi="Cambria Math"/>
          </w:rPr>
          <m:t>=</m:t>
        </m:r>
        <m:r>
          <w:rPr>
            <w:rFonts w:ascii="Cambria Math" w:hAnsi="Cambria Math"/>
          </w:rPr>
          <m:t>2</m:t>
        </m:r>
        <m:r>
          <m:rPr>
            <m:sty m:val="p"/>
          </m:rPr>
          <w:rPr>
            <w:rFonts w:ascii="Cambria Math" w:hAnsi="Cambria Math"/>
          </w:rPr>
          <m:t>,</m:t>
        </m:r>
        <m:r>
          <w:rPr>
            <w:rFonts w:ascii="Cambria Math" w:hAnsi="Cambria Math"/>
          </w:rPr>
          <m:t>000</m:t>
        </m:r>
      </m:oMath>
      <w:r>
        <w:t xml:space="preserve"> events with no random warm-up. Each baseline is checked for duplicate timestamps before it enters the analysis.</w:t>
      </w:r>
    </w:p>
    <w:p w14:paraId="146D9A48" w14:textId="64D245A6" w:rsidR="000406DD" w:rsidRDefault="000406DD" w:rsidP="00E426E5">
      <w:pPr>
        <w:pStyle w:val="Heading3"/>
      </w:pPr>
      <w:bookmarkStart w:id="28" w:name="_Ref232774586"/>
      <w:bookmarkStart w:id="29" w:name="_Ref232774613"/>
      <w:bookmarkStart w:id="30" w:name="_Ref232774637"/>
      <w:bookmarkStart w:id="31" w:name="_Ref232774791"/>
      <w:bookmarkStart w:id="32" w:name="_Ref232774797"/>
      <w:bookmarkStart w:id="33" w:name="multi-receiver-construction"/>
      <w:bookmarkStart w:id="34" w:name="_Toc233640836"/>
      <w:bookmarkEnd w:id="25"/>
      <w:r>
        <w:t>Multi-receiver construction</w:t>
      </w:r>
      <w:bookmarkEnd w:id="28"/>
      <w:bookmarkEnd w:id="29"/>
      <w:bookmarkEnd w:id="30"/>
      <w:bookmarkEnd w:id="31"/>
      <w:bookmarkEnd w:id="32"/>
      <w:bookmarkEnd w:id="34"/>
    </w:p>
    <w:p w14:paraId="4BC48B6E" w14:textId="77777777" w:rsidR="000406DD" w:rsidRDefault="000406DD" w:rsidP="000406DD">
      <w:pPr>
        <w:pStyle w:val="FirstParagraph"/>
      </w:pPr>
      <w:r>
        <w:t xml:space="preserve">Multi-receiver versions of the baseline are produced by additive random tagging. The procedure starts from the original dyadic baseline (every event has one receiver), tags a target proportion </w:t>
      </w:r>
      <m:oMath>
        <m:r>
          <w:rPr>
            <w:rFonts w:ascii="Cambria Math" w:hAnsi="Cambria Math"/>
          </w:rPr>
          <m:t>p</m:t>
        </m:r>
      </m:oMath>
      <w:r>
        <w:t xml:space="preserve"> of events sampled uniformly at random without replacement, and adds one extra receiver to each tagged event. This proportion of multi-receiver events, </w:t>
      </w:r>
      <m:oMath>
        <m:r>
          <w:rPr>
            <w:rFonts w:ascii="Cambria Math" w:hAnsi="Cambria Math"/>
          </w:rPr>
          <m:t>p</m:t>
        </m:r>
      </m:oMath>
      <w:r>
        <w:t xml:space="preserve">, is the study’s multi-receiver (MR) proportion; each condition is indexed by its MR level (its value of </w:t>
      </w:r>
      <m:oMath>
        <m:r>
          <w:rPr>
            <w:rFonts w:ascii="Cambria Math" w:hAnsi="Cambria Math"/>
          </w:rPr>
          <m:t>p</m:t>
        </m:r>
      </m:oMath>
      <w:r>
        <w:t xml:space="preserve"> in per cent). The extra receiver is drawn uniformly at random from the actors who are neither the sender nor the original receiver of that event. No baseline event is removed, repositioned, or otherwise altered; the construction is purely additive. We avoid holding the long-table row count fixed by deletion because deletion would over-represent high-activity dyads in the retained sample, inflating the cumulative-count statistics in a way that would be indistinguishable from a genuine multi-receiver effect.</w:t>
      </w:r>
    </w:p>
    <w:p w14:paraId="2A5834FE" w14:textId="7395096A" w:rsidR="000406DD" w:rsidRDefault="000406DD" w:rsidP="000406DD">
      <w:pPr>
        <w:pStyle w:val="BodyText"/>
      </w:pPr>
      <w:r>
        <w:t xml:space="preserve">Five conditions are evaluated. The 0% condition is the unaltered baseline. Four multi-receiver conditions are constructed at </w:t>
      </w:r>
      <m:oMath>
        <m:r>
          <w:rPr>
            <w:rFonts w:ascii="Cambria Math" w:hAnsi="Cambria Math"/>
          </w:rPr>
          <m:t>p</m:t>
        </m:r>
        <m:r>
          <m:rPr>
            <m:sty m:val="p"/>
          </m:rPr>
          <w:rPr>
            <w:rFonts w:ascii="Cambria Math" w:hAnsi="Cambria Math"/>
          </w:rPr>
          <m:t>∈{</m:t>
        </m:r>
        <m:r>
          <w:rPr>
            <w:rFonts w:ascii="Cambria Math" w:hAnsi="Cambria Math"/>
          </w:rPr>
          <m:t>0.02</m:t>
        </m:r>
        <m:r>
          <m:rPr>
            <m:sty m:val="p"/>
          </m:rPr>
          <w:rPr>
            <w:rFonts w:ascii="Cambria Math" w:hAnsi="Cambria Math"/>
          </w:rPr>
          <m:t>,</m:t>
        </m:r>
        <m:r>
          <w:rPr>
            <w:rFonts w:ascii="Cambria Math" w:hAnsi="Cambria Math"/>
          </w:rPr>
          <m:t>0.08</m:t>
        </m:r>
        <m:r>
          <m:rPr>
            <m:sty m:val="p"/>
          </m:rPr>
          <w:rPr>
            <w:rFonts w:ascii="Cambria Math" w:hAnsi="Cambria Math"/>
          </w:rPr>
          <m:t>,</m:t>
        </m:r>
        <m:r>
          <w:rPr>
            <w:rFonts w:ascii="Cambria Math" w:hAnsi="Cambria Math"/>
          </w:rPr>
          <m:t>0.16</m:t>
        </m:r>
        <m:r>
          <m:rPr>
            <m:sty m:val="p"/>
          </m:rPr>
          <w:rPr>
            <w:rFonts w:ascii="Cambria Math" w:hAnsi="Cambria Math"/>
          </w:rPr>
          <m:t>,</m:t>
        </m:r>
        <m:r>
          <w:rPr>
            <w:rFonts w:ascii="Cambria Math" w:hAnsi="Cambria Math"/>
          </w:rPr>
          <m:t>0.24</m:t>
        </m:r>
        <m:r>
          <m:rPr>
            <m:sty m:val="p"/>
          </m:rPr>
          <w:rPr>
            <w:rFonts w:ascii="Cambria Math" w:hAnsi="Cambria Math"/>
          </w:rPr>
          <m:t>}</m:t>
        </m:r>
      </m:oMath>
      <w:r>
        <w:t xml:space="preserve">. Together with the 0% reference, these five MR levels, </w:t>
      </w:r>
      <m:oMath>
        <m:r>
          <m:rPr>
            <m:sty m:val="p"/>
          </m:rPr>
          <w:rPr>
            <w:rFonts w:ascii="Cambria Math" w:hAnsi="Cambria Math"/>
          </w:rPr>
          <m:t>{</m:t>
        </m:r>
        <m:r>
          <w:rPr>
            <w:rFonts w:ascii="Cambria Math" w:hAnsi="Cambria Math"/>
          </w:rPr>
          <m:t>0</m:t>
        </m:r>
        <m:r>
          <m:rPr>
            <m:sty m:val="p"/>
          </m:rPr>
          <w:rPr>
            <w:rFonts w:ascii="Cambria Math" w:hAnsi="Cambria Math"/>
          </w:rPr>
          <m:t>,</m:t>
        </m:r>
        <m:r>
          <w:rPr>
            <w:rFonts w:ascii="Cambria Math" w:hAnsi="Cambria Math"/>
          </w:rPr>
          <m:t>2</m:t>
        </m:r>
        <m:r>
          <m:rPr>
            <m:sty m:val="p"/>
          </m:rPr>
          <w:rPr>
            <w:rFonts w:ascii="Cambria Math" w:hAnsi="Cambria Math"/>
          </w:rPr>
          <m:t>,</m:t>
        </m:r>
        <m:r>
          <w:rPr>
            <w:rFonts w:ascii="Cambria Math" w:hAnsi="Cambria Math"/>
          </w:rPr>
          <m:t>8</m:t>
        </m:r>
        <m:r>
          <m:rPr>
            <m:sty m:val="p"/>
          </m:rPr>
          <w:rPr>
            <w:rFonts w:ascii="Cambria Math" w:hAnsi="Cambria Math"/>
          </w:rPr>
          <m:t>,</m:t>
        </m:r>
        <m:r>
          <w:rPr>
            <w:rFonts w:ascii="Cambria Math" w:hAnsi="Cambria Math"/>
          </w:rPr>
          <m:t>16</m:t>
        </m:r>
        <m:r>
          <m:rPr>
            <m:sty m:val="p"/>
          </m:rPr>
          <w:rPr>
            <w:rFonts w:ascii="Cambria Math" w:hAnsi="Cambria Math"/>
          </w:rPr>
          <m:t>,</m:t>
        </m:r>
        <m:r>
          <w:rPr>
            <w:rFonts w:ascii="Cambria Math" w:hAnsi="Cambria Math"/>
          </w:rPr>
          <m:t>24</m:t>
        </m:r>
        <m:r>
          <m:rPr>
            <m:sty m:val="p"/>
          </m:rPr>
          <w:rPr>
            <w:rFonts w:ascii="Cambria Math" w:hAnsi="Cambria Math"/>
          </w:rPr>
          <m:t>}%</m:t>
        </m:r>
      </m:oMath>
      <w:r>
        <w:t xml:space="preserve">, form the grid on which the analysis is run. The upper end sits below the 31% multicast share that </w:t>
      </w:r>
      <w:hyperlink w:anchor="ref_Mulder_2024" w:history="1">
        <w:r>
          <w:t>Mulder and Hoff (2024)</w:t>
        </w:r>
      </w:hyperlink>
      <w:r>
        <w:t xml:space="preserve"> report for the Enron corpus, so the grid covers the region where an analyst is most likely to expect the dyadic transformation to hold. The recommendation derived from the grid is correspondingly bounded above by </w:t>
      </w:r>
      <m:oMath>
        <m:r>
          <w:rPr>
            <w:rFonts w:ascii="Cambria Math" w:hAnsi="Cambria Math"/>
          </w:rPr>
          <m:t>p</m:t>
        </m:r>
        <m:r>
          <m:rPr>
            <m:sty m:val="p"/>
          </m:rPr>
          <w:rPr>
            <w:rFonts w:ascii="Cambria Math" w:hAnsi="Cambria Math"/>
          </w:rPr>
          <m:t>=</m:t>
        </m:r>
        <m:r>
          <w:rPr>
            <w:rFonts w:ascii="Cambria Math" w:hAnsi="Cambria Math"/>
          </w:rPr>
          <m:t>0.24</m:t>
        </m:r>
      </m:oMath>
      <w:r>
        <w:t>, with no claim made about higher proportions. Table 4 summarises the resulting conditions.</w:t>
      </w:r>
    </w:p>
    <w:p w14:paraId="189E6815" w14:textId="5B175023" w:rsidR="008E3453" w:rsidRPr="008E3453" w:rsidRDefault="008E3453" w:rsidP="008E3453">
      <w:pPr>
        <w:pStyle w:val="Caption"/>
        <w:keepNext/>
        <w:rPr>
          <w:b/>
          <w:bCs/>
          <w:i w:val="0"/>
          <w:iCs/>
        </w:rPr>
      </w:pPr>
      <w:bookmarkStart w:id="35" w:name="_Ref232775232"/>
      <w:r w:rsidRPr="008E3453">
        <w:rPr>
          <w:b/>
          <w:bCs/>
          <w:i w:val="0"/>
          <w:iCs/>
        </w:rPr>
        <w:t xml:space="preserve">Table </w:t>
      </w:r>
      <w:r w:rsidRPr="008E3453">
        <w:rPr>
          <w:b/>
          <w:bCs/>
          <w:i w:val="0"/>
          <w:iCs/>
        </w:rPr>
        <w:fldChar w:fldCharType="begin"/>
      </w:r>
      <w:r w:rsidRPr="008E3453">
        <w:rPr>
          <w:b/>
          <w:bCs/>
          <w:i w:val="0"/>
          <w:iCs/>
        </w:rPr>
        <w:instrText xml:space="preserve"> SEQ Table \* ARABIC </w:instrText>
      </w:r>
      <w:r w:rsidRPr="008E3453">
        <w:rPr>
          <w:b/>
          <w:bCs/>
          <w:i w:val="0"/>
          <w:iCs/>
        </w:rPr>
        <w:fldChar w:fldCharType="separate"/>
      </w:r>
      <w:r>
        <w:rPr>
          <w:b/>
          <w:bCs/>
          <w:i w:val="0"/>
          <w:iCs/>
          <w:noProof/>
        </w:rPr>
        <w:t>4</w:t>
      </w:r>
      <w:r w:rsidRPr="008E3453">
        <w:rPr>
          <w:b/>
          <w:bCs/>
          <w:i w:val="0"/>
          <w:iCs/>
        </w:rPr>
        <w:fldChar w:fldCharType="end"/>
      </w:r>
      <w:bookmarkEnd w:id="35"/>
    </w:p>
    <w:p w14:paraId="448F1067" w14:textId="3F752279" w:rsidR="008E3453" w:rsidRDefault="008E3453" w:rsidP="008E3453">
      <w:pPr>
        <w:pStyle w:val="Caption"/>
        <w:keepNext/>
      </w:pPr>
      <w:r>
        <w:rPr>
          <w:iCs/>
        </w:rPr>
        <w:t xml:space="preserve">Multi-Receiver Conditions Produced </w:t>
      </w:r>
      <w:proofErr w:type="gramStart"/>
      <w:r>
        <w:rPr>
          <w:iCs/>
        </w:rPr>
        <w:t>From</w:t>
      </w:r>
      <w:proofErr w:type="gramEnd"/>
      <w:r>
        <w:rPr>
          <w:iCs/>
        </w:rPr>
        <w:t xml:space="preserve"> One Baseline</w:t>
      </w:r>
    </w:p>
    <w:tbl>
      <w:tblPr>
        <w:tblStyle w:val="GridTable1Light"/>
        <w:tblW w:w="5000" w:type="pct"/>
        <w:jc w:val="center"/>
        <w:tblLayout w:type="fixed"/>
        <w:tblLook w:val="0020" w:firstRow="1" w:lastRow="0" w:firstColumn="0" w:lastColumn="0" w:noHBand="0" w:noVBand="0"/>
      </w:tblPr>
      <w:tblGrid>
        <w:gridCol w:w="1870"/>
        <w:gridCol w:w="1870"/>
        <w:gridCol w:w="1870"/>
        <w:gridCol w:w="1870"/>
        <w:gridCol w:w="1870"/>
      </w:tblGrid>
      <w:tr w:rsidR="000406DD" w14:paraId="5E505B27" w14:textId="77777777" w:rsidTr="00956F70">
        <w:trPr>
          <w:cnfStyle w:val="100000000000" w:firstRow="1" w:lastRow="0" w:firstColumn="0" w:lastColumn="0" w:oddVBand="0" w:evenVBand="0" w:oddHBand="0" w:evenHBand="0" w:firstRowFirstColumn="0" w:firstRowLastColumn="0" w:lastRowFirstColumn="0" w:lastRowLastColumn="0"/>
          <w:jc w:val="center"/>
        </w:trPr>
        <w:tc>
          <w:tcPr>
            <w:tcW w:w="1584" w:type="dxa"/>
          </w:tcPr>
          <w:p w14:paraId="14F5BDDB" w14:textId="77777777" w:rsidR="000406DD" w:rsidRDefault="000406DD" w:rsidP="00587953">
            <w:pPr>
              <w:pStyle w:val="Compact"/>
              <w:jc w:val="right"/>
            </w:pPr>
            <w:r>
              <w:t>Condition</w:t>
            </w:r>
          </w:p>
        </w:tc>
        <w:tc>
          <w:tcPr>
            <w:tcW w:w="1584" w:type="dxa"/>
          </w:tcPr>
          <w:p w14:paraId="32813C46" w14:textId="77777777" w:rsidR="000406DD" w:rsidRDefault="000406DD" w:rsidP="00587953">
            <w:pPr>
              <w:pStyle w:val="Compact"/>
              <w:jc w:val="right"/>
            </w:pPr>
            <w:r>
              <w:t xml:space="preserve">Target </w:t>
            </w:r>
            <m:oMath>
              <m:r>
                <m:rPr>
                  <m:sty m:val="bi"/>
                </m:rPr>
                <w:rPr>
                  <w:rFonts w:ascii="Cambria Math" w:hAnsi="Cambria Math"/>
                </w:rPr>
                <m:t>p</m:t>
              </m:r>
            </m:oMath>
          </w:p>
        </w:tc>
        <w:tc>
          <w:tcPr>
            <w:tcW w:w="1584" w:type="dxa"/>
          </w:tcPr>
          <w:p w14:paraId="22F2085F" w14:textId="77777777" w:rsidR="000406DD" w:rsidRDefault="000406DD" w:rsidP="00587953">
            <w:pPr>
              <w:pStyle w:val="Compact"/>
              <w:jc w:val="right"/>
            </w:pPr>
            <w:r>
              <w:t>Baseline events (</w:t>
            </w:r>
            <m:oMath>
              <m:r>
                <m:rPr>
                  <m:sty m:val="bi"/>
                </m:rPr>
                <w:rPr>
                  <w:rFonts w:ascii="Cambria Math" w:hAnsi="Cambria Math"/>
                </w:rPr>
                <m:t>M</m:t>
              </m:r>
            </m:oMath>
            <w:r>
              <w:t>)</w:t>
            </w:r>
          </w:p>
        </w:tc>
        <w:tc>
          <w:tcPr>
            <w:tcW w:w="1584" w:type="dxa"/>
          </w:tcPr>
          <w:p w14:paraId="3A37EE2B" w14:textId="77777777" w:rsidR="000406DD" w:rsidRDefault="000406DD" w:rsidP="00587953">
            <w:pPr>
              <w:pStyle w:val="Compact"/>
              <w:jc w:val="right"/>
            </w:pPr>
            <w:r>
              <w:t>Tagged events</w:t>
            </w:r>
          </w:p>
        </w:tc>
        <w:tc>
          <w:tcPr>
            <w:tcW w:w="1584" w:type="dxa"/>
          </w:tcPr>
          <w:p w14:paraId="0EB8B04E" w14:textId="77777777" w:rsidR="000406DD" w:rsidRDefault="000406DD" w:rsidP="00587953">
            <w:pPr>
              <w:pStyle w:val="Compact"/>
              <w:jc w:val="right"/>
            </w:pPr>
            <w:r>
              <w:t>Long-table rows</w:t>
            </w:r>
          </w:p>
        </w:tc>
      </w:tr>
      <w:tr w:rsidR="000406DD" w14:paraId="6B529A79" w14:textId="77777777" w:rsidTr="00956F70">
        <w:trPr>
          <w:jc w:val="center"/>
        </w:trPr>
        <w:tc>
          <w:tcPr>
            <w:tcW w:w="1584" w:type="dxa"/>
          </w:tcPr>
          <w:p w14:paraId="4BC5D78F" w14:textId="77777777" w:rsidR="000406DD" w:rsidRDefault="000406DD" w:rsidP="00587953">
            <w:pPr>
              <w:pStyle w:val="Compact"/>
              <w:jc w:val="right"/>
            </w:pPr>
            <w:r>
              <w:t>0%</w:t>
            </w:r>
          </w:p>
        </w:tc>
        <w:tc>
          <w:tcPr>
            <w:tcW w:w="1584" w:type="dxa"/>
          </w:tcPr>
          <w:p w14:paraId="7FEB7478" w14:textId="77777777" w:rsidR="000406DD" w:rsidRDefault="000406DD" w:rsidP="00587953">
            <w:pPr>
              <w:pStyle w:val="Compact"/>
              <w:jc w:val="right"/>
            </w:pPr>
            <w:r>
              <w:t>0.00</w:t>
            </w:r>
          </w:p>
        </w:tc>
        <w:tc>
          <w:tcPr>
            <w:tcW w:w="1584" w:type="dxa"/>
          </w:tcPr>
          <w:p w14:paraId="06E0128A" w14:textId="77777777" w:rsidR="000406DD" w:rsidRDefault="000406DD" w:rsidP="00587953">
            <w:pPr>
              <w:pStyle w:val="Compact"/>
              <w:jc w:val="right"/>
            </w:pPr>
            <w:r>
              <w:t>2,000</w:t>
            </w:r>
          </w:p>
        </w:tc>
        <w:tc>
          <w:tcPr>
            <w:tcW w:w="1584" w:type="dxa"/>
          </w:tcPr>
          <w:p w14:paraId="5D33DDD2" w14:textId="77777777" w:rsidR="000406DD" w:rsidRDefault="000406DD" w:rsidP="00587953">
            <w:pPr>
              <w:pStyle w:val="Compact"/>
              <w:jc w:val="right"/>
            </w:pPr>
            <w:r>
              <w:t>0</w:t>
            </w:r>
          </w:p>
        </w:tc>
        <w:tc>
          <w:tcPr>
            <w:tcW w:w="1584" w:type="dxa"/>
          </w:tcPr>
          <w:p w14:paraId="29D1A924" w14:textId="77777777" w:rsidR="000406DD" w:rsidRDefault="000406DD" w:rsidP="00587953">
            <w:pPr>
              <w:pStyle w:val="Compact"/>
              <w:jc w:val="right"/>
            </w:pPr>
            <w:r>
              <w:t>2,000</w:t>
            </w:r>
          </w:p>
        </w:tc>
      </w:tr>
      <w:tr w:rsidR="000406DD" w14:paraId="24F7469B" w14:textId="77777777" w:rsidTr="00956F70">
        <w:trPr>
          <w:jc w:val="center"/>
        </w:trPr>
        <w:tc>
          <w:tcPr>
            <w:tcW w:w="1584" w:type="dxa"/>
          </w:tcPr>
          <w:p w14:paraId="5AFD1056" w14:textId="77777777" w:rsidR="000406DD" w:rsidRDefault="000406DD" w:rsidP="00587953">
            <w:pPr>
              <w:pStyle w:val="Compact"/>
              <w:jc w:val="right"/>
            </w:pPr>
            <w:r>
              <w:t>2%</w:t>
            </w:r>
          </w:p>
        </w:tc>
        <w:tc>
          <w:tcPr>
            <w:tcW w:w="1584" w:type="dxa"/>
          </w:tcPr>
          <w:p w14:paraId="3968A12A" w14:textId="77777777" w:rsidR="000406DD" w:rsidRDefault="000406DD" w:rsidP="00587953">
            <w:pPr>
              <w:pStyle w:val="Compact"/>
              <w:jc w:val="right"/>
            </w:pPr>
            <w:r>
              <w:t>0.02</w:t>
            </w:r>
          </w:p>
        </w:tc>
        <w:tc>
          <w:tcPr>
            <w:tcW w:w="1584" w:type="dxa"/>
          </w:tcPr>
          <w:p w14:paraId="7DFB8DA3" w14:textId="77777777" w:rsidR="000406DD" w:rsidRDefault="000406DD" w:rsidP="00587953">
            <w:pPr>
              <w:pStyle w:val="Compact"/>
              <w:jc w:val="right"/>
            </w:pPr>
            <w:r>
              <w:t>2,000</w:t>
            </w:r>
          </w:p>
        </w:tc>
        <w:tc>
          <w:tcPr>
            <w:tcW w:w="1584" w:type="dxa"/>
          </w:tcPr>
          <w:p w14:paraId="3675AE10" w14:textId="77777777" w:rsidR="000406DD" w:rsidRDefault="000406DD" w:rsidP="00587953">
            <w:pPr>
              <w:pStyle w:val="Compact"/>
              <w:jc w:val="right"/>
            </w:pPr>
            <w:r>
              <w:t>40</w:t>
            </w:r>
          </w:p>
        </w:tc>
        <w:tc>
          <w:tcPr>
            <w:tcW w:w="1584" w:type="dxa"/>
          </w:tcPr>
          <w:p w14:paraId="5BA35B6D" w14:textId="77777777" w:rsidR="000406DD" w:rsidRDefault="000406DD" w:rsidP="00587953">
            <w:pPr>
              <w:pStyle w:val="Compact"/>
              <w:jc w:val="right"/>
            </w:pPr>
            <w:r>
              <w:t>2,040</w:t>
            </w:r>
          </w:p>
        </w:tc>
      </w:tr>
      <w:tr w:rsidR="000406DD" w14:paraId="42B8F205" w14:textId="77777777" w:rsidTr="00956F70">
        <w:trPr>
          <w:jc w:val="center"/>
        </w:trPr>
        <w:tc>
          <w:tcPr>
            <w:tcW w:w="1584" w:type="dxa"/>
          </w:tcPr>
          <w:p w14:paraId="3D5C7243" w14:textId="77777777" w:rsidR="000406DD" w:rsidRDefault="000406DD" w:rsidP="00587953">
            <w:pPr>
              <w:pStyle w:val="Compact"/>
              <w:jc w:val="right"/>
            </w:pPr>
            <w:r>
              <w:t>8%</w:t>
            </w:r>
          </w:p>
        </w:tc>
        <w:tc>
          <w:tcPr>
            <w:tcW w:w="1584" w:type="dxa"/>
          </w:tcPr>
          <w:p w14:paraId="1E9858E5" w14:textId="77777777" w:rsidR="000406DD" w:rsidRDefault="000406DD" w:rsidP="00587953">
            <w:pPr>
              <w:pStyle w:val="Compact"/>
              <w:jc w:val="right"/>
            </w:pPr>
            <w:r>
              <w:t>0.08</w:t>
            </w:r>
          </w:p>
        </w:tc>
        <w:tc>
          <w:tcPr>
            <w:tcW w:w="1584" w:type="dxa"/>
          </w:tcPr>
          <w:p w14:paraId="559719E3" w14:textId="77777777" w:rsidR="000406DD" w:rsidRDefault="000406DD" w:rsidP="00587953">
            <w:pPr>
              <w:pStyle w:val="Compact"/>
              <w:jc w:val="right"/>
            </w:pPr>
            <w:r>
              <w:t>2,000</w:t>
            </w:r>
          </w:p>
        </w:tc>
        <w:tc>
          <w:tcPr>
            <w:tcW w:w="1584" w:type="dxa"/>
          </w:tcPr>
          <w:p w14:paraId="20C90B5C" w14:textId="77777777" w:rsidR="000406DD" w:rsidRDefault="000406DD" w:rsidP="00587953">
            <w:pPr>
              <w:pStyle w:val="Compact"/>
              <w:jc w:val="right"/>
            </w:pPr>
            <w:r>
              <w:t>160</w:t>
            </w:r>
          </w:p>
        </w:tc>
        <w:tc>
          <w:tcPr>
            <w:tcW w:w="1584" w:type="dxa"/>
          </w:tcPr>
          <w:p w14:paraId="5BC57F7E" w14:textId="77777777" w:rsidR="000406DD" w:rsidRDefault="000406DD" w:rsidP="00587953">
            <w:pPr>
              <w:pStyle w:val="Compact"/>
              <w:jc w:val="right"/>
            </w:pPr>
            <w:r>
              <w:t>2,160</w:t>
            </w:r>
          </w:p>
        </w:tc>
      </w:tr>
      <w:tr w:rsidR="000406DD" w14:paraId="1C96277A" w14:textId="77777777" w:rsidTr="00956F70">
        <w:trPr>
          <w:jc w:val="center"/>
        </w:trPr>
        <w:tc>
          <w:tcPr>
            <w:tcW w:w="1584" w:type="dxa"/>
          </w:tcPr>
          <w:p w14:paraId="4C297D36" w14:textId="77777777" w:rsidR="000406DD" w:rsidRDefault="000406DD" w:rsidP="00587953">
            <w:pPr>
              <w:pStyle w:val="Compact"/>
              <w:jc w:val="right"/>
            </w:pPr>
            <w:r>
              <w:t>16%</w:t>
            </w:r>
          </w:p>
        </w:tc>
        <w:tc>
          <w:tcPr>
            <w:tcW w:w="1584" w:type="dxa"/>
          </w:tcPr>
          <w:p w14:paraId="6EB560D3" w14:textId="77777777" w:rsidR="000406DD" w:rsidRDefault="000406DD" w:rsidP="00587953">
            <w:pPr>
              <w:pStyle w:val="Compact"/>
              <w:jc w:val="right"/>
            </w:pPr>
            <w:r>
              <w:t>0.16</w:t>
            </w:r>
          </w:p>
        </w:tc>
        <w:tc>
          <w:tcPr>
            <w:tcW w:w="1584" w:type="dxa"/>
          </w:tcPr>
          <w:p w14:paraId="3F50612F" w14:textId="77777777" w:rsidR="000406DD" w:rsidRDefault="000406DD" w:rsidP="00587953">
            <w:pPr>
              <w:pStyle w:val="Compact"/>
              <w:jc w:val="right"/>
            </w:pPr>
            <w:r>
              <w:t>2,000</w:t>
            </w:r>
          </w:p>
        </w:tc>
        <w:tc>
          <w:tcPr>
            <w:tcW w:w="1584" w:type="dxa"/>
          </w:tcPr>
          <w:p w14:paraId="09AD1C86" w14:textId="77777777" w:rsidR="000406DD" w:rsidRDefault="000406DD" w:rsidP="00587953">
            <w:pPr>
              <w:pStyle w:val="Compact"/>
              <w:jc w:val="right"/>
            </w:pPr>
            <w:r>
              <w:t>320</w:t>
            </w:r>
          </w:p>
        </w:tc>
        <w:tc>
          <w:tcPr>
            <w:tcW w:w="1584" w:type="dxa"/>
          </w:tcPr>
          <w:p w14:paraId="512BE8FE" w14:textId="77777777" w:rsidR="000406DD" w:rsidRDefault="000406DD" w:rsidP="00587953">
            <w:pPr>
              <w:pStyle w:val="Compact"/>
              <w:jc w:val="right"/>
            </w:pPr>
            <w:r>
              <w:t>2,320</w:t>
            </w:r>
          </w:p>
        </w:tc>
      </w:tr>
      <w:tr w:rsidR="000406DD" w14:paraId="3B50BAED" w14:textId="77777777" w:rsidTr="00956F70">
        <w:trPr>
          <w:jc w:val="center"/>
        </w:trPr>
        <w:tc>
          <w:tcPr>
            <w:tcW w:w="1584" w:type="dxa"/>
          </w:tcPr>
          <w:p w14:paraId="47752692" w14:textId="77777777" w:rsidR="000406DD" w:rsidRDefault="000406DD" w:rsidP="00587953">
            <w:pPr>
              <w:pStyle w:val="Compact"/>
              <w:jc w:val="right"/>
            </w:pPr>
            <w:r>
              <w:t>24%</w:t>
            </w:r>
          </w:p>
        </w:tc>
        <w:tc>
          <w:tcPr>
            <w:tcW w:w="1584" w:type="dxa"/>
          </w:tcPr>
          <w:p w14:paraId="7455922B" w14:textId="77777777" w:rsidR="000406DD" w:rsidRDefault="000406DD" w:rsidP="00587953">
            <w:pPr>
              <w:pStyle w:val="Compact"/>
              <w:jc w:val="right"/>
            </w:pPr>
            <w:r>
              <w:t>0.24</w:t>
            </w:r>
          </w:p>
        </w:tc>
        <w:tc>
          <w:tcPr>
            <w:tcW w:w="1584" w:type="dxa"/>
          </w:tcPr>
          <w:p w14:paraId="11D56160" w14:textId="77777777" w:rsidR="000406DD" w:rsidRDefault="000406DD" w:rsidP="00587953">
            <w:pPr>
              <w:pStyle w:val="Compact"/>
              <w:jc w:val="right"/>
            </w:pPr>
            <w:r>
              <w:t>2,000</w:t>
            </w:r>
          </w:p>
        </w:tc>
        <w:tc>
          <w:tcPr>
            <w:tcW w:w="1584" w:type="dxa"/>
          </w:tcPr>
          <w:p w14:paraId="42056D20" w14:textId="77777777" w:rsidR="000406DD" w:rsidRDefault="000406DD" w:rsidP="00587953">
            <w:pPr>
              <w:pStyle w:val="Compact"/>
              <w:jc w:val="right"/>
            </w:pPr>
            <w:r>
              <w:t>480</w:t>
            </w:r>
          </w:p>
        </w:tc>
        <w:tc>
          <w:tcPr>
            <w:tcW w:w="1584" w:type="dxa"/>
          </w:tcPr>
          <w:p w14:paraId="653848E1" w14:textId="77777777" w:rsidR="000406DD" w:rsidRDefault="000406DD" w:rsidP="00587953">
            <w:pPr>
              <w:pStyle w:val="Compact"/>
              <w:jc w:val="right"/>
            </w:pPr>
            <w:r>
              <w:t>2,480</w:t>
            </w:r>
          </w:p>
        </w:tc>
      </w:tr>
    </w:tbl>
    <w:p w14:paraId="231FF21D" w14:textId="77777777" w:rsidR="000406DD" w:rsidRDefault="000406DD" w:rsidP="000406DD">
      <w:pPr>
        <w:pStyle w:val="BodyText"/>
      </w:pPr>
      <w:r>
        <w:rPr>
          <w:i/>
          <w:iCs/>
        </w:rPr>
        <w:t>Note.</w:t>
      </w:r>
      <w:r>
        <w:t xml:space="preserve"> Long-table rows are computed as baseline events plus tagged events (one extra-receiver row per tagged event). The target proportions </w:t>
      </w:r>
      <m:oMath>
        <m:r>
          <m:rPr>
            <m:sty m:val="p"/>
          </m:rPr>
          <w:rPr>
            <w:rFonts w:ascii="Cambria Math" w:hAnsi="Cambria Math"/>
          </w:rPr>
          <m:t>{</m:t>
        </m:r>
        <m:r>
          <w:rPr>
            <w:rFonts w:ascii="Cambria Math" w:hAnsi="Cambria Math"/>
          </w:rPr>
          <m:t>0.02</m:t>
        </m:r>
        <m:r>
          <m:rPr>
            <m:sty m:val="p"/>
          </m:rPr>
          <w:rPr>
            <w:rFonts w:ascii="Cambria Math" w:hAnsi="Cambria Math"/>
          </w:rPr>
          <m:t>,</m:t>
        </m:r>
        <m:r>
          <w:rPr>
            <w:rFonts w:ascii="Cambria Math" w:hAnsi="Cambria Math"/>
          </w:rPr>
          <m:t>0.08</m:t>
        </m:r>
        <m:r>
          <m:rPr>
            <m:sty m:val="p"/>
          </m:rPr>
          <w:rPr>
            <w:rFonts w:ascii="Cambria Math" w:hAnsi="Cambria Math"/>
          </w:rPr>
          <m:t>,</m:t>
        </m:r>
        <m:r>
          <w:rPr>
            <w:rFonts w:ascii="Cambria Math" w:hAnsi="Cambria Math"/>
          </w:rPr>
          <m:t>0.16</m:t>
        </m:r>
        <m:r>
          <m:rPr>
            <m:sty m:val="p"/>
          </m:rPr>
          <w:rPr>
            <w:rFonts w:ascii="Cambria Math" w:hAnsi="Cambria Math"/>
          </w:rPr>
          <m:t>,</m:t>
        </m:r>
        <m:r>
          <w:rPr>
            <w:rFonts w:ascii="Cambria Math" w:hAnsi="Cambria Math"/>
          </w:rPr>
          <m:t>0.24</m:t>
        </m:r>
        <m:r>
          <m:rPr>
            <m:sty m:val="p"/>
          </m:rPr>
          <w:rPr>
            <w:rFonts w:ascii="Cambria Math" w:hAnsi="Cambria Math"/>
          </w:rPr>
          <m:t>}</m:t>
        </m:r>
      </m:oMath>
      <w:r>
        <w:t xml:space="preserve"> were chosen so that </w:t>
      </w:r>
      <m:oMath>
        <m:r>
          <w:rPr>
            <w:rFonts w:ascii="Cambria Math" w:hAnsi="Cambria Math"/>
          </w:rPr>
          <m:t>p</m:t>
        </m:r>
        <m:r>
          <m:rPr>
            <m:sty m:val="p"/>
          </m:rPr>
          <w:rPr>
            <w:rFonts w:ascii="Cambria Math" w:hAnsi="Cambria Math"/>
          </w:rPr>
          <m:t>⋅</m:t>
        </m:r>
        <m:r>
          <w:rPr>
            <w:rFonts w:ascii="Cambria Math" w:hAnsi="Cambria Math"/>
          </w:rPr>
          <m:t>M</m:t>
        </m:r>
      </m:oMath>
      <w:r>
        <w:t xml:space="preserve"> is an integer at every level; the realised proportion therefore equals the target exactly. The 0% condition is identical to the baseline and serves as a parameter-recovery reference.</w:t>
      </w:r>
    </w:p>
    <w:p w14:paraId="1B97F81D" w14:textId="77777777" w:rsidR="000406DD" w:rsidRDefault="000406DD" w:rsidP="000406DD">
      <w:pPr>
        <w:pStyle w:val="BodyText"/>
      </w:pPr>
      <w:r>
        <w:t xml:space="preserve">Two design choices shape the construction. First, every multi-receiver event has exactly two receivers; receiver-set cardinality is not varied. Second, the extra receiver is drawn uniformly at random from non-participating actors, so it carries no signal: it is uncorrelated with the sender’s past interaction history and with any covariate. Both choices isolate the effect of multi-receiver injection itself from the effects of structured multicast that </w:t>
      </w:r>
      <w:hyperlink w:anchor="ref_Mulder_2024" w:history="1">
        <w:r>
          <w:t>Mulder and Hoff (2024)</w:t>
        </w:r>
      </w:hyperlink>
      <w:r>
        <w:t xml:space="preserve"> identify as the main sources of information loss in real multicast data: for example, the same group of receivers being addressed together repeatedly, or receiver sets that are mostly small with an occasional very large one. The threshold reported in the Results chapter is therefore conditional on this random-tagging design; whether structured multicast would shift the threshold upward or downward is left to the Discussion.</w:t>
      </w:r>
    </w:p>
    <w:p w14:paraId="30161F24" w14:textId="0B9944D8" w:rsidR="000406DD" w:rsidRDefault="000406DD" w:rsidP="00E426E5">
      <w:pPr>
        <w:pStyle w:val="Heading3"/>
      </w:pPr>
      <w:bookmarkStart w:id="36" w:name="_Ref232774500"/>
      <w:bookmarkStart w:id="37" w:name="_Ref232774511"/>
      <w:bookmarkStart w:id="38" w:name="_Ref232774543"/>
      <w:bookmarkStart w:id="39" w:name="_Ref232774591"/>
      <w:bookmarkStart w:id="40" w:name="X2e0d55024ebbbe1beb2d890b82baea5782cff15"/>
      <w:bookmarkStart w:id="41" w:name="_Toc233640837"/>
      <w:bookmarkEnd w:id="33"/>
      <w:r>
        <w:t>Tie-breaking timestamp-noise transformation</w:t>
      </w:r>
      <w:bookmarkEnd w:id="36"/>
      <w:bookmarkEnd w:id="37"/>
      <w:bookmarkEnd w:id="38"/>
      <w:bookmarkEnd w:id="39"/>
      <w:bookmarkEnd w:id="41"/>
    </w:p>
    <w:p w14:paraId="5BB5812B" w14:textId="77777777" w:rsidR="000406DD" w:rsidRDefault="000406DD" w:rsidP="000406DD">
      <w:pPr>
        <w:pStyle w:val="FirstParagraph"/>
      </w:pPr>
      <w:r>
        <w:t xml:space="preserve">A multi-receiver event with a sender </w:t>
      </w:r>
      <m:oMath>
        <m:r>
          <w:rPr>
            <w:rFonts w:ascii="Cambria Math" w:hAnsi="Cambria Math"/>
          </w:rPr>
          <m:t>i</m:t>
        </m:r>
      </m:oMath>
      <w:r>
        <w:t xml:space="preserve"> and a receiver set </w:t>
      </w:r>
      <m:oMath>
        <m:r>
          <w:rPr>
            <w:rFonts w:ascii="Cambria Math" w:hAnsi="Cambria Math"/>
          </w:rPr>
          <m:t>J</m:t>
        </m:r>
        <m:r>
          <m:rPr>
            <m:sty m:val="p"/>
          </m:rPr>
          <w:rPr>
            <w:rFonts w:ascii="Cambria Math" w:hAnsi="Cambria Math"/>
          </w:rPr>
          <m:t>={</m:t>
        </m:r>
        <m:sSub>
          <m:sSubPr>
            <m:ctrlPr>
              <w:rPr>
                <w:rFonts w:ascii="Cambria Math" w:hAnsi="Cambria Math"/>
              </w:rPr>
            </m:ctrlPr>
          </m:sSubPr>
          <m:e>
            <m:r>
              <w:rPr>
                <w:rFonts w:ascii="Cambria Math" w:hAnsi="Cambria Math"/>
              </w:rPr>
              <m:t>j</m:t>
            </m:r>
          </m:e>
          <m:sub>
            <m: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j</m:t>
            </m:r>
          </m:e>
          <m:sub>
            <m:r>
              <w:rPr>
                <w:rFonts w:ascii="Cambria Math" w:hAnsi="Cambria Math"/>
              </w:rPr>
              <m:t>2</m:t>
            </m:r>
          </m:sub>
        </m:sSub>
        <m:r>
          <m:rPr>
            <m:sty m:val="p"/>
          </m:rPr>
          <w:rPr>
            <w:rFonts w:ascii="Cambria Math" w:hAnsi="Cambria Math"/>
          </w:rPr>
          <m:t>}</m:t>
        </m:r>
      </m:oMath>
      <w:r>
        <w:t xml:space="preserve"> is represented in the multi-receiver long table as </w:t>
      </w:r>
      <m:oMath>
        <m:r>
          <m:rPr>
            <m:sty m:val="p"/>
          </m:rPr>
          <w:rPr>
            <w:rFonts w:ascii="Cambria Math" w:hAnsi="Cambria Math"/>
          </w:rPr>
          <m:t>|</m:t>
        </m:r>
        <m:r>
          <w:rPr>
            <w:rFonts w:ascii="Cambria Math" w:hAnsi="Cambria Math"/>
          </w:rPr>
          <m:t>J</m:t>
        </m:r>
        <m:r>
          <m:rPr>
            <m:sty m:val="p"/>
          </m:rPr>
          <w:rPr>
            <w:rFonts w:ascii="Cambria Math" w:hAnsi="Cambria Math"/>
          </w:rPr>
          <m:t>|=</m:t>
        </m:r>
        <m:r>
          <w:rPr>
            <w:rFonts w:ascii="Cambria Math" w:hAnsi="Cambria Math"/>
          </w:rPr>
          <m:t>2</m:t>
        </m:r>
      </m:oMath>
      <w:r>
        <w:t xml:space="preserve"> rows sharing the original event time </w:t>
      </w:r>
      <m:oMath>
        <m:r>
          <w:rPr>
            <w:rFonts w:ascii="Cambria Math" w:hAnsi="Cambria Math"/>
          </w:rPr>
          <m:t>t</m:t>
        </m:r>
      </m:oMath>
      <w:r>
        <w:t>. The full likelihood of the dyadic REM requires that no two events share a timestamp (</w:t>
      </w:r>
      <w:hyperlink w:anchor="ref_Butts_2008" w:history="1">
        <w:r>
          <w:t>Butts, 2008</w:t>
        </w:r>
      </w:hyperlink>
      <w:r>
        <w:t xml:space="preserve">); leaving the shared time in place would force the ordinal likelihood, which discards the inter-event-duration information that the dyadic generating process </w:t>
      </w:r>
      <w:proofErr w:type="gramStart"/>
      <w:r>
        <w:t>actually used</w:t>
      </w:r>
      <w:proofErr w:type="gramEnd"/>
      <w:r>
        <w:t>. We therefore apply a tie-breaking timestamp-noise transformation that perturbs the duplicated timestamps just enough to break the tie while preserving the original event order.</w:t>
      </w:r>
    </w:p>
    <w:p w14:paraId="5D292756" w14:textId="77777777" w:rsidR="000406DD" w:rsidRDefault="000406DD" w:rsidP="000406DD">
      <w:pPr>
        <w:pStyle w:val="BodyText"/>
      </w:pPr>
      <w:r>
        <w:t xml:space="preserve">The transformation treats every multi-receiver row as a candidate for noise injection. For each tagged event, the rows after the first are shifted by an independent draw from a uniform distribution on </w:t>
      </w:r>
      <m:oMath>
        <m:r>
          <m:rPr>
            <m:sty m:val="p"/>
          </m:rPr>
          <w:rPr>
            <w:rFonts w:ascii="Cambria Math" w:hAnsi="Cambria Math"/>
          </w:rPr>
          <m:t>(</m:t>
        </m:r>
        <m:r>
          <w:rPr>
            <w:rFonts w:ascii="Cambria Math" w:hAnsi="Cambria Math"/>
          </w:rPr>
          <m:t>0</m:t>
        </m:r>
        <m:r>
          <m:rPr>
            <m:sty m:val="p"/>
          </m:rPr>
          <w:rPr>
            <w:rFonts w:ascii="Cambria Math" w:hAnsi="Cambria Math"/>
          </w:rPr>
          <m:t>,</m:t>
        </m:r>
        <m:sSub>
          <m:sSubPr>
            <m:ctrlPr>
              <w:rPr>
                <w:rFonts w:ascii="Cambria Math" w:hAnsi="Cambria Math"/>
              </w:rPr>
            </m:ctrlPr>
          </m:sSubPr>
          <m:e>
            <m:r>
              <w:rPr>
                <w:rFonts w:ascii="Cambria Math" w:hAnsi="Cambria Math"/>
              </w:rPr>
              <m:t>ε</m:t>
            </m:r>
          </m:e>
          <m:sub>
            <m:r>
              <m:rPr>
                <m:sty m:val="p"/>
              </m:rPr>
              <w:rPr>
                <w:rFonts w:ascii="Cambria Math" w:hAnsi="Cambria Math"/>
              </w:rPr>
              <m:t>max</m:t>
            </m:r>
          </m:sub>
        </m:sSub>
        <m:r>
          <m:rPr>
            <m:sty m:val="p"/>
          </m:rPr>
          <w:rPr>
            <w:rFonts w:ascii="Cambria Math" w:hAnsi="Cambria Math"/>
          </w:rPr>
          <m:t>)</m:t>
        </m:r>
      </m:oMath>
      <w:r>
        <w:t xml:space="preserve">, </w:t>
      </w:r>
      <w:proofErr w:type="gramStart"/>
      <w:r>
        <w:t>where</w:t>
      </w:r>
      <w:proofErr w:type="gramEnd"/>
    </w:p>
    <w:p w14:paraId="0ED6EA7B" w14:textId="77777777" w:rsidR="000406DD" w:rsidRPr="000406DD" w:rsidRDefault="00000000" w:rsidP="000406DD">
      <w:pPr>
        <w:pStyle w:val="BodyText"/>
        <w:rPr>
          <w:lang w:val="pt-BR"/>
        </w:rPr>
      </w:pPr>
      <m:oMathPara>
        <m:oMathParaPr>
          <m:jc m:val="center"/>
        </m:oMathParaPr>
        <m:oMath>
          <m:sSub>
            <m:sSubPr>
              <m:ctrlPr>
                <w:rPr>
                  <w:rFonts w:ascii="Cambria Math" w:hAnsi="Cambria Math"/>
                </w:rPr>
              </m:ctrlPr>
            </m:sSubPr>
            <m:e>
              <m:r>
                <w:rPr>
                  <w:rFonts w:ascii="Cambria Math" w:hAnsi="Cambria Math"/>
                </w:rPr>
                <m:t>ε</m:t>
              </m:r>
            </m:e>
            <m:sub>
              <m:r>
                <m:rPr>
                  <m:sty m:val="p"/>
                </m:rPr>
                <w:rPr>
                  <w:rFonts w:ascii="Cambria Math" w:hAnsi="Cambria Math"/>
                  <w:lang w:val="pt-BR"/>
                </w:rPr>
                <m:t>max</m:t>
              </m:r>
            </m:sub>
          </m:sSub>
          <m:r>
            <m:rPr>
              <m:sty m:val="p"/>
            </m:rPr>
            <w:rPr>
              <w:rFonts w:ascii="Cambria Math" w:hAnsi="Cambria Math"/>
              <w:lang w:val="pt-BR"/>
            </w:rPr>
            <m:t>=</m:t>
          </m:r>
          <m:sSub>
            <m:sSubPr>
              <m:ctrlPr>
                <w:rPr>
                  <w:rFonts w:ascii="Cambria Math" w:hAnsi="Cambria Math"/>
                </w:rPr>
              </m:ctrlPr>
            </m:sSubPr>
            <m:e>
              <m:r>
                <w:rPr>
                  <w:rFonts w:ascii="Cambria Math" w:hAnsi="Cambria Math"/>
                </w:rPr>
                <m:t>ε</m:t>
              </m:r>
            </m:e>
            <m:sub>
              <m:r>
                <m:rPr>
                  <m:nor/>
                </m:rPr>
                <w:rPr>
                  <w:lang w:val="pt-BR"/>
                </w:rPr>
                <m:t>factor</m:t>
              </m:r>
            </m:sub>
          </m:sSub>
          <m:r>
            <m:rPr>
              <m:sty m:val="p"/>
            </m:rPr>
            <w:rPr>
              <w:rFonts w:ascii="Cambria Math" w:hAnsi="Cambria Math"/>
              <w:lang w:val="pt-BR"/>
            </w:rPr>
            <m:t>⋅min</m:t>
          </m:r>
          <m:d>
            <m:dPr>
              <m:begChr m:val="{"/>
              <m:endChr m:val="}"/>
              <m:ctrlPr>
                <w:rPr>
                  <w:rFonts w:ascii="Cambria Math" w:hAnsi="Cambria Math"/>
                </w:rPr>
              </m:ctrlPr>
            </m:dPr>
            <m:e>
              <m:sSub>
                <m:sSubPr>
                  <m:ctrlPr>
                    <w:rPr>
                      <w:rFonts w:ascii="Cambria Math" w:hAnsi="Cambria Math"/>
                    </w:rPr>
                  </m:ctrlPr>
                </m:sSubPr>
                <m:e>
                  <m:r>
                    <w:rPr>
                      <w:rFonts w:ascii="Cambria Math" w:hAnsi="Cambria Math"/>
                    </w:rPr>
                    <m:t>t</m:t>
                  </m:r>
                </m:e>
                <m:sub>
                  <m:r>
                    <m:rPr>
                      <m:sty m:val="p"/>
                    </m:rPr>
                    <w:rPr>
                      <w:rFonts w:ascii="Cambria Math" w:hAnsi="Cambria Math"/>
                      <w:lang w:val="pt-BR"/>
                    </w:rPr>
                    <m:t>(</m:t>
                  </m:r>
                  <m:r>
                    <w:rPr>
                      <w:rFonts w:ascii="Cambria Math" w:hAnsi="Cambria Math"/>
                    </w:rPr>
                    <m:t>k</m:t>
                  </m:r>
                  <m:r>
                    <m:rPr>
                      <m:sty m:val="p"/>
                    </m:rPr>
                    <w:rPr>
                      <w:rFonts w:ascii="Cambria Math" w:hAnsi="Cambria Math"/>
                      <w:lang w:val="pt-BR"/>
                    </w:rPr>
                    <m:t>+</m:t>
                  </m:r>
                  <m:r>
                    <w:rPr>
                      <w:rFonts w:ascii="Cambria Math" w:hAnsi="Cambria Math"/>
                      <w:lang w:val="pt-BR"/>
                    </w:rPr>
                    <m:t>1</m:t>
                  </m:r>
                  <m:r>
                    <m:rPr>
                      <m:sty m:val="p"/>
                    </m:rPr>
                    <w:rPr>
                      <w:rFonts w:ascii="Cambria Math" w:hAnsi="Cambria Math"/>
                      <w:lang w:val="pt-BR"/>
                    </w:rPr>
                    <m:t>)</m:t>
                  </m:r>
                </m:sub>
              </m:sSub>
              <m:r>
                <m:rPr>
                  <m:sty m:val="p"/>
                </m:rPr>
                <w:rPr>
                  <w:rFonts w:ascii="Cambria Math" w:hAnsi="Cambria Math"/>
                  <w:lang w:val="pt-BR"/>
                </w:rPr>
                <m:t>-</m:t>
              </m:r>
              <m:sSub>
                <m:sSubPr>
                  <m:ctrlPr>
                    <w:rPr>
                      <w:rFonts w:ascii="Cambria Math" w:hAnsi="Cambria Math"/>
                    </w:rPr>
                  </m:ctrlPr>
                </m:sSubPr>
                <m:e>
                  <m:r>
                    <w:rPr>
                      <w:rFonts w:ascii="Cambria Math" w:hAnsi="Cambria Math"/>
                    </w:rPr>
                    <m:t>t</m:t>
                  </m:r>
                </m:e>
                <m:sub>
                  <m:r>
                    <m:rPr>
                      <m:sty m:val="p"/>
                    </m:rPr>
                    <w:rPr>
                      <w:rFonts w:ascii="Cambria Math" w:hAnsi="Cambria Math"/>
                      <w:lang w:val="pt-BR"/>
                    </w:rPr>
                    <m:t>(</m:t>
                  </m:r>
                  <m:r>
                    <w:rPr>
                      <w:rFonts w:ascii="Cambria Math" w:hAnsi="Cambria Math"/>
                    </w:rPr>
                    <m:t>k</m:t>
                  </m:r>
                  <m:r>
                    <m:rPr>
                      <m:sty m:val="p"/>
                    </m:rPr>
                    <w:rPr>
                      <w:rFonts w:ascii="Cambria Math" w:hAnsi="Cambria Math"/>
                      <w:lang w:val="pt-BR"/>
                    </w:rPr>
                    <m:t>)</m:t>
                  </m:r>
                </m:sub>
              </m:sSub>
              <m:r>
                <m:rPr>
                  <m:sty m:val="p"/>
                </m:rPr>
                <w:rPr>
                  <w:rFonts w:ascii="Cambria Math" w:hAnsi="Cambria Math"/>
                  <w:lang w:val="pt-BR"/>
                </w:rPr>
                <m:t>:</m:t>
              </m:r>
              <m:sSub>
                <m:sSubPr>
                  <m:ctrlPr>
                    <w:rPr>
                      <w:rFonts w:ascii="Cambria Math" w:hAnsi="Cambria Math"/>
                    </w:rPr>
                  </m:ctrlPr>
                </m:sSubPr>
                <m:e>
                  <m:r>
                    <w:rPr>
                      <w:rFonts w:ascii="Cambria Math" w:hAnsi="Cambria Math"/>
                    </w:rPr>
                    <m:t>t</m:t>
                  </m:r>
                </m:e>
                <m:sub>
                  <m:r>
                    <m:rPr>
                      <m:sty m:val="p"/>
                    </m:rPr>
                    <w:rPr>
                      <w:rFonts w:ascii="Cambria Math" w:hAnsi="Cambria Math"/>
                      <w:lang w:val="pt-BR"/>
                    </w:rPr>
                    <m:t>(</m:t>
                  </m:r>
                  <m:r>
                    <w:rPr>
                      <w:rFonts w:ascii="Cambria Math" w:hAnsi="Cambria Math"/>
                    </w:rPr>
                    <m:t>k</m:t>
                  </m:r>
                  <m:r>
                    <m:rPr>
                      <m:sty m:val="p"/>
                    </m:rPr>
                    <w:rPr>
                      <w:rFonts w:ascii="Cambria Math" w:hAnsi="Cambria Math"/>
                      <w:lang w:val="pt-BR"/>
                    </w:rPr>
                    <m:t>)</m:t>
                  </m:r>
                </m:sub>
              </m:sSub>
              <m:r>
                <m:rPr>
                  <m:sty m:val="p"/>
                </m:rPr>
                <w:rPr>
                  <w:rFonts w:ascii="Cambria Math" w:hAnsi="Cambria Math"/>
                  <w:lang w:val="pt-BR"/>
                </w:rPr>
                <m:t>≠</m:t>
              </m:r>
              <m:sSub>
                <m:sSubPr>
                  <m:ctrlPr>
                    <w:rPr>
                      <w:rFonts w:ascii="Cambria Math" w:hAnsi="Cambria Math"/>
                    </w:rPr>
                  </m:ctrlPr>
                </m:sSubPr>
                <m:e>
                  <m:r>
                    <w:rPr>
                      <w:rFonts w:ascii="Cambria Math" w:hAnsi="Cambria Math"/>
                    </w:rPr>
                    <m:t>t</m:t>
                  </m:r>
                </m:e>
                <m:sub>
                  <m:r>
                    <m:rPr>
                      <m:sty m:val="p"/>
                    </m:rPr>
                    <w:rPr>
                      <w:rFonts w:ascii="Cambria Math" w:hAnsi="Cambria Math"/>
                      <w:lang w:val="pt-BR"/>
                    </w:rPr>
                    <m:t>(</m:t>
                  </m:r>
                  <m:r>
                    <w:rPr>
                      <w:rFonts w:ascii="Cambria Math" w:hAnsi="Cambria Math"/>
                    </w:rPr>
                    <m:t>k</m:t>
                  </m:r>
                  <m:r>
                    <m:rPr>
                      <m:sty m:val="p"/>
                    </m:rPr>
                    <w:rPr>
                      <w:rFonts w:ascii="Cambria Math" w:hAnsi="Cambria Math"/>
                      <w:lang w:val="pt-BR"/>
                    </w:rPr>
                    <m:t>+</m:t>
                  </m:r>
                  <m:r>
                    <w:rPr>
                      <w:rFonts w:ascii="Cambria Math" w:hAnsi="Cambria Math"/>
                      <w:lang w:val="pt-BR"/>
                    </w:rPr>
                    <m:t>1</m:t>
                  </m:r>
                  <m:r>
                    <m:rPr>
                      <m:sty m:val="p"/>
                    </m:rPr>
                    <w:rPr>
                      <w:rFonts w:ascii="Cambria Math" w:hAnsi="Cambria Math"/>
                      <w:lang w:val="pt-BR"/>
                    </w:rPr>
                    <m:t>)</m:t>
                  </m:r>
                </m:sub>
              </m:sSub>
            </m:e>
          </m:d>
          <m:r>
            <m:rPr>
              <m:sty m:val="p"/>
            </m:rPr>
            <w:rPr>
              <w:rFonts w:ascii="Cambria Math" w:hAnsi="Cambria Math"/>
              <w:lang w:val="pt-BR"/>
            </w:rPr>
            <m:t>.</m:t>
          </m:r>
        </m:oMath>
      </m:oMathPara>
    </w:p>
    <w:p w14:paraId="65EE3B29" w14:textId="77777777" w:rsidR="000406DD" w:rsidRDefault="000406DD" w:rsidP="000406DD">
      <w:pPr>
        <w:pStyle w:val="FirstParagraph"/>
      </w:pPr>
      <w:r>
        <w:t xml:space="preserve">The right-hand side is the minimum inter-event gap of the baseline among distinct timestamps, scaled by a fixed factor </w:t>
      </w:r>
      <m:oMath>
        <m:sSub>
          <m:sSubPr>
            <m:ctrlPr>
              <w:rPr>
                <w:rFonts w:ascii="Cambria Math" w:hAnsi="Cambria Math"/>
              </w:rPr>
            </m:ctrlPr>
          </m:sSubPr>
          <m:e>
            <m:r>
              <w:rPr>
                <w:rFonts w:ascii="Cambria Math" w:hAnsi="Cambria Math"/>
              </w:rPr>
              <m:t>ε</m:t>
            </m:r>
          </m:e>
          <m:sub>
            <m:r>
              <m:rPr>
                <m:nor/>
              </m:rPr>
              <m:t>factor</m:t>
            </m:r>
          </m:sub>
        </m:sSub>
        <m:r>
          <m:rPr>
            <m:sty m:val="p"/>
          </m:rPr>
          <w:rPr>
            <w:rFonts w:ascii="Cambria Math" w:hAnsi="Cambria Math"/>
          </w:rPr>
          <m:t>=</m:t>
        </m:r>
        <m:r>
          <w:rPr>
            <w:rFonts w:ascii="Cambria Math" w:hAnsi="Cambria Math"/>
          </w:rPr>
          <m:t>0.10</m:t>
        </m:r>
      </m:oMath>
      <w:r>
        <w:t xml:space="preserve">. This convention makes </w:t>
      </w:r>
      <m:oMath>
        <m:sSub>
          <m:sSubPr>
            <m:ctrlPr>
              <w:rPr>
                <w:rFonts w:ascii="Cambria Math" w:hAnsi="Cambria Math"/>
              </w:rPr>
            </m:ctrlPr>
          </m:sSubPr>
          <m:e>
            <m:r>
              <w:rPr>
                <w:rFonts w:ascii="Cambria Math" w:hAnsi="Cambria Math"/>
              </w:rPr>
              <m:t>ε</m:t>
            </m:r>
          </m:e>
          <m:sub>
            <m:r>
              <m:rPr>
                <m:sty m:val="p"/>
              </m:rPr>
              <w:rPr>
                <w:rFonts w:ascii="Cambria Math" w:hAnsi="Cambria Math"/>
              </w:rPr>
              <m:t>max</m:t>
            </m:r>
          </m:sub>
        </m:sSub>
      </m:oMath>
      <w:r>
        <w:t xml:space="preserve"> strictly smaller than the smallest gap between any two distinct baseline events, so the perturbed events of any tagged group remain inside their original inter-event </w:t>
      </w:r>
      <w:proofErr w:type="gramStart"/>
      <w:r>
        <w:t>interval</w:t>
      </w:r>
      <w:proofErr w:type="gramEnd"/>
      <w:r>
        <w:t xml:space="preserve"> and the relative order of all distinct-time events is preserved. Concretely, at </w:t>
      </w:r>
      <m:oMath>
        <m:r>
          <m:rPr>
            <m:sty m:val="p"/>
          </m:rPr>
          <w:rPr>
            <w:rFonts w:ascii="Cambria Math" w:hAnsi="Cambria Math"/>
          </w:rPr>
          <m:t>(</m:t>
        </m:r>
        <m:r>
          <w:rPr>
            <w:rFonts w:ascii="Cambria Math" w:hAnsi="Cambria Math"/>
          </w:rPr>
          <m:t>N</m:t>
        </m:r>
        <m:r>
          <m:rPr>
            <m:sty m:val="p"/>
          </m:rPr>
          <w:rPr>
            <w:rFonts w:ascii="Cambria Math" w:hAnsi="Cambria Math"/>
          </w:rPr>
          <m:t>=</m:t>
        </m:r>
        <m:r>
          <w:rPr>
            <w:rFonts w:ascii="Cambria Math" w:hAnsi="Cambria Math"/>
          </w:rPr>
          <m:t>20</m:t>
        </m:r>
        <m:r>
          <m:rPr>
            <m:sty m:val="p"/>
          </m:rPr>
          <w:rPr>
            <w:rFonts w:ascii="Cambria Math" w:hAnsi="Cambria Math"/>
          </w:rPr>
          <m:t>,</m:t>
        </m:r>
        <m:r>
          <w:rPr>
            <w:rFonts w:ascii="Cambria Math" w:hAnsi="Cambria Math"/>
          </w:rPr>
          <m:t>M</m:t>
        </m:r>
        <m:r>
          <m:rPr>
            <m:sty m:val="p"/>
          </m:rPr>
          <w:rPr>
            <w:rFonts w:ascii="Cambria Math" w:hAnsi="Cambria Math"/>
          </w:rPr>
          <m:t>=</m:t>
        </m:r>
        <m:r>
          <w:rPr>
            <w:rFonts w:ascii="Cambria Math" w:hAnsi="Cambria Math"/>
          </w:rPr>
          <m:t>2</m:t>
        </m:r>
        <m:r>
          <m:rPr>
            <m:sty m:val="p"/>
          </m:rPr>
          <w:rPr>
            <w:rFonts w:ascii="Cambria Math" w:hAnsi="Cambria Math"/>
          </w:rPr>
          <m:t>,</m:t>
        </m:r>
        <m:r>
          <w:rPr>
            <w:rFonts w:ascii="Cambria Math" w:hAnsi="Cambria Math"/>
          </w:rPr>
          <m:t>000</m:t>
        </m:r>
        <m:r>
          <m:rPr>
            <m:sty m:val="p"/>
          </m:rPr>
          <w:rPr>
            <w:rFonts w:ascii="Cambria Math" w:hAnsi="Cambria Math"/>
          </w:rPr>
          <m:t>)</m:t>
        </m:r>
      </m:oMath>
      <w:r>
        <w:t xml:space="preserve"> the realised inter-event gaps are typically on the order of </w:t>
      </w:r>
      <m:oMath>
        <m:sSup>
          <m:sSupPr>
            <m:ctrlPr>
              <w:rPr>
                <w:rFonts w:ascii="Cambria Math" w:hAnsi="Cambria Math"/>
              </w:rPr>
            </m:ctrlPr>
          </m:sSupPr>
          <m:e>
            <m:r>
              <w:rPr>
                <w:rFonts w:ascii="Cambria Math" w:hAnsi="Cambria Math"/>
              </w:rPr>
              <m:t>10</m:t>
            </m:r>
          </m:e>
          <m:sup>
            <m:r>
              <m:rPr>
                <m:sty m:val="p"/>
              </m:rPr>
              <w:rPr>
                <w:rFonts w:ascii="Cambria Math" w:hAnsi="Cambria Math"/>
              </w:rPr>
              <m:t>-</m:t>
            </m:r>
            <m:r>
              <w:rPr>
                <w:rFonts w:ascii="Cambria Math" w:hAnsi="Cambria Math"/>
              </w:rPr>
              <m:t>1</m:t>
            </m:r>
          </m:sup>
        </m:sSup>
      </m:oMath>
      <w:r>
        <w:t xml:space="preserve"> to </w:t>
      </w:r>
      <m:oMath>
        <m:sSup>
          <m:sSupPr>
            <m:ctrlPr>
              <w:rPr>
                <w:rFonts w:ascii="Cambria Math" w:hAnsi="Cambria Math"/>
              </w:rPr>
            </m:ctrlPr>
          </m:sSupPr>
          <m:e>
            <m:r>
              <w:rPr>
                <w:rFonts w:ascii="Cambria Math" w:hAnsi="Cambria Math"/>
              </w:rPr>
              <m:t>10</m:t>
            </m:r>
          </m:e>
          <m:sup>
            <m:r>
              <m:rPr>
                <m:sty m:val="p"/>
              </m:rPr>
              <w:rPr>
                <w:rFonts w:ascii="Cambria Math" w:hAnsi="Cambria Math"/>
              </w:rPr>
              <m:t>-</m:t>
            </m:r>
            <m:r>
              <w:rPr>
                <w:rFonts w:ascii="Cambria Math" w:hAnsi="Cambria Math"/>
              </w:rPr>
              <m:t>2</m:t>
            </m:r>
          </m:sup>
        </m:sSup>
      </m:oMath>
      <w:r>
        <w:t xml:space="preserve"> time units, which puts </w:t>
      </w:r>
      <m:oMath>
        <m:sSub>
          <m:sSubPr>
            <m:ctrlPr>
              <w:rPr>
                <w:rFonts w:ascii="Cambria Math" w:hAnsi="Cambria Math"/>
              </w:rPr>
            </m:ctrlPr>
          </m:sSubPr>
          <m:e>
            <m:r>
              <w:rPr>
                <w:rFonts w:ascii="Cambria Math" w:hAnsi="Cambria Math"/>
              </w:rPr>
              <m:t>ε</m:t>
            </m:r>
          </m:e>
          <m:sub>
            <m:r>
              <m:rPr>
                <m:sty m:val="p"/>
              </m:rPr>
              <w:rPr>
                <w:rFonts w:ascii="Cambria Math" w:hAnsi="Cambria Math"/>
              </w:rPr>
              <m:t>max</m:t>
            </m:r>
          </m:sub>
        </m:sSub>
      </m:oMath>
      <w:r>
        <w:t xml:space="preserve"> on the order of </w:t>
      </w:r>
      <m:oMath>
        <m:sSup>
          <m:sSupPr>
            <m:ctrlPr>
              <w:rPr>
                <w:rFonts w:ascii="Cambria Math" w:hAnsi="Cambria Math"/>
              </w:rPr>
            </m:ctrlPr>
          </m:sSupPr>
          <m:e>
            <m:r>
              <w:rPr>
                <w:rFonts w:ascii="Cambria Math" w:hAnsi="Cambria Math"/>
              </w:rPr>
              <m:t>10</m:t>
            </m:r>
          </m:e>
          <m:sup>
            <m:r>
              <m:rPr>
                <m:sty m:val="p"/>
              </m:rPr>
              <w:rPr>
                <w:rFonts w:ascii="Cambria Math" w:hAnsi="Cambria Math"/>
              </w:rPr>
              <m:t>-</m:t>
            </m:r>
            <m:r>
              <w:rPr>
                <w:rFonts w:ascii="Cambria Math" w:hAnsi="Cambria Math"/>
              </w:rPr>
              <m:t>3</m:t>
            </m:r>
          </m:sup>
        </m:sSup>
      </m:oMath>
      <w:r>
        <w:t>: one to two orders below typical inter-event gaps, and an order of magnitude below the smallest distinct gap.</w:t>
      </w:r>
    </w:p>
    <w:p w14:paraId="7F6082DC" w14:textId="77777777" w:rsidR="000406DD" w:rsidRDefault="000406DD" w:rsidP="000406DD">
      <w:pPr>
        <w:pStyle w:val="BodyText"/>
      </w:pPr>
      <w:r>
        <w:t xml:space="preserve">Because the perturbation is far smaller than the smallest distinct inter-event gap, it breaks the ties within each multi-receiver event without reordering any distinct-time events, leaving the long table compatible with the full likelihood of </w:t>
      </w:r>
      <w:hyperlink w:anchor="ref_Butts_2008" w:history="1">
        <w:r>
          <w:t>Butts (2008)</w:t>
        </w:r>
      </w:hyperlink>
      <w:r>
        <w:t xml:space="preserve"> and its absolute rate scale.</w:t>
      </w:r>
    </w:p>
    <w:p w14:paraId="34893280" w14:textId="093E6C8E" w:rsidR="000406DD" w:rsidRDefault="000406DD" w:rsidP="00E426E5">
      <w:pPr>
        <w:pStyle w:val="Heading3"/>
      </w:pPr>
      <w:bookmarkStart w:id="42" w:name="_Ref232774597"/>
      <w:bookmarkStart w:id="43" w:name="dyadic-rem-estimation"/>
      <w:bookmarkStart w:id="44" w:name="_Toc233640838"/>
      <w:bookmarkEnd w:id="40"/>
      <w:r>
        <w:t>Dyadic REM estimation</w:t>
      </w:r>
      <w:bookmarkEnd w:id="42"/>
      <w:bookmarkEnd w:id="44"/>
    </w:p>
    <w:p w14:paraId="0E6326A7" w14:textId="25A6BB45" w:rsidR="000406DD" w:rsidRDefault="000406DD" w:rsidP="000406DD">
      <w:pPr>
        <w:pStyle w:val="FirstParagraph"/>
      </w:pPr>
      <w:r>
        <w:t xml:space="preserve">The dyadic REM is fitted to the noise-perturbed long table from Section </w:t>
      </w:r>
      <w:r w:rsidR="0040093F">
        <w:fldChar w:fldCharType="begin"/>
      </w:r>
      <w:r w:rsidR="0040093F">
        <w:instrText xml:space="preserve"> REF _Ref232774543 \r \h </w:instrText>
      </w:r>
      <w:r w:rsidR="0040093F">
        <w:fldChar w:fldCharType="separate"/>
      </w:r>
      <w:r w:rsidR="0040093F">
        <w:t>2.3</w:t>
      </w:r>
      <w:r w:rsidR="0040093F">
        <w:fldChar w:fldCharType="end"/>
      </w:r>
      <w:r>
        <w:t xml:space="preserve"> using the standard R toolchain. The package </w:t>
      </w:r>
      <w:r>
        <w:rPr>
          <w:rStyle w:val="VerbatimChar"/>
        </w:rPr>
        <w:t>remify</w:t>
      </w:r>
      <w:r>
        <w:t xml:space="preserve"> (</w:t>
      </w:r>
      <w:hyperlink w:anchor="ref_Arena_2023" w:history="1">
        <w:r>
          <w:t>Arena et al., 2023</w:t>
        </w:r>
      </w:hyperlink>
      <w:r>
        <w:t xml:space="preserve">) prepares the REH object from the perturbed long table; the package </w:t>
      </w:r>
      <w:r>
        <w:rPr>
          <w:rStyle w:val="VerbatimChar"/>
        </w:rPr>
        <w:t>remstats</w:t>
      </w:r>
      <w:r>
        <w:t xml:space="preserve"> (</w:t>
      </w:r>
      <w:hyperlink w:anchor="ref_MeijerinkBosman_2023" w:history="1">
        <w:r>
          <w:t>Meijerink-Bosman et al., 2023</w:t>
        </w:r>
      </w:hyperlink>
      <w:r>
        <w:t xml:space="preserve">) then computes the five tie-oriented statistics specified in </w:t>
      </w:r>
      <w:r w:rsidR="00726FDF" w:rsidRPr="00726FDF">
        <w:fldChar w:fldCharType="begin"/>
      </w:r>
      <w:r w:rsidR="00726FDF" w:rsidRPr="00726FDF">
        <w:instrText xml:space="preserve"> REF _Ref232775201 \h  \* MERGEFORMAT </w:instrText>
      </w:r>
      <w:r w:rsidR="00726FDF" w:rsidRPr="00726FDF">
        <w:fldChar w:fldCharType="separate"/>
      </w:r>
      <w:r w:rsidR="00726FDF" w:rsidRPr="00726FDF">
        <w:t xml:space="preserve">Table </w:t>
      </w:r>
      <w:r w:rsidR="00726FDF" w:rsidRPr="00726FDF">
        <w:rPr>
          <w:noProof/>
        </w:rPr>
        <w:t>3</w:t>
      </w:r>
      <w:r w:rsidR="00726FDF" w:rsidRPr="00726FDF">
        <w:fldChar w:fldCharType="end"/>
      </w:r>
      <w:r>
        <w:t xml:space="preserve">; and the package </w:t>
      </w:r>
      <w:r>
        <w:rPr>
          <w:rStyle w:val="VerbatimChar"/>
        </w:rPr>
        <w:t>remstimate</w:t>
      </w:r>
      <w:r>
        <w:t xml:space="preserve"> (</w:t>
      </w:r>
      <w:hyperlink w:anchor="ref_Arena_2024" w:history="1">
        <w:r>
          <w:t>Arena et al., 2024</w:t>
        </w:r>
      </w:hyperlink>
      <w:r>
        <w:t xml:space="preserve">) then fits the model by maximum likelihood under the full (exact-timing) likelihood of </w:t>
      </w:r>
      <w:hyperlink w:anchor="ref_Butts_2008" w:history="1">
        <w:r>
          <w:t>Butts (2008)</w:t>
        </w:r>
      </w:hyperlink>
      <w:r>
        <w:t xml:space="preserve">. The risk set is the full </w:t>
      </w:r>
      <m:oMath>
        <m:r>
          <w:rPr>
            <w:rFonts w:ascii="Cambria Math" w:hAnsi="Cambria Math"/>
          </w:rPr>
          <m:t>N</m:t>
        </m:r>
        <m:r>
          <m:rPr>
            <m:sty m:val="p"/>
          </m:rPr>
          <w:rPr>
            <w:rFonts w:ascii="Cambria Math" w:hAnsi="Cambria Math"/>
          </w:rPr>
          <m:t>(</m:t>
        </m:r>
        <m:r>
          <w:rPr>
            <w:rFonts w:ascii="Cambria Math" w:hAnsi="Cambria Math"/>
          </w:rPr>
          <m:t>N</m:t>
        </m:r>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380</m:t>
        </m:r>
      </m:oMath>
      <w:r>
        <w:t xml:space="preserve"> directed dyads; no case-control sampling is applied on the REM side because at </w:t>
      </w:r>
      <m:oMath>
        <m:r>
          <w:rPr>
            <w:rFonts w:ascii="Cambria Math" w:hAnsi="Cambria Math"/>
          </w:rPr>
          <m:t>M</m:t>
        </m:r>
        <m:r>
          <m:rPr>
            <m:sty m:val="p"/>
          </m:rPr>
          <w:rPr>
            <w:rFonts w:ascii="Cambria Math" w:hAnsi="Cambria Math"/>
          </w:rPr>
          <m:t>=</m:t>
        </m:r>
        <m:r>
          <w:rPr>
            <w:rFonts w:ascii="Cambria Math" w:hAnsi="Cambria Math"/>
          </w:rPr>
          <m:t>2</m:t>
        </m:r>
        <m:r>
          <m:rPr>
            <m:sty m:val="p"/>
          </m:rPr>
          <w:rPr>
            <w:rFonts w:ascii="Cambria Math" w:hAnsi="Cambria Math"/>
          </w:rPr>
          <m:t>,</m:t>
        </m:r>
        <m:r>
          <w:rPr>
            <w:rFonts w:ascii="Cambria Math" w:hAnsi="Cambria Math"/>
          </w:rPr>
          <m:t>000</m:t>
        </m:r>
      </m:oMath>
      <w:r>
        <w:t xml:space="preserve"> events the full likelihood is tractable.</w:t>
      </w:r>
    </w:p>
    <w:p w14:paraId="0CCE9975" w14:textId="7B6724EE" w:rsidR="000406DD" w:rsidRDefault="000406DD" w:rsidP="000406DD">
      <w:pPr>
        <w:pStyle w:val="BodyText"/>
      </w:pPr>
      <w:r>
        <w:t xml:space="preserve">The recovered coefficient vector </w:t>
      </w:r>
      <m:oMath>
        <m:sSup>
          <m:sSupPr>
            <m:ctrlPr>
              <w:rPr>
                <w:rFonts w:ascii="Cambria Math" w:hAnsi="Cambria Math"/>
              </w:rPr>
            </m:ctrlPr>
          </m:sSupPr>
          <m:e>
            <m:acc>
              <m:accPr>
                <m:ctrlPr>
                  <w:rPr>
                    <w:rFonts w:ascii="Cambria Math" w:hAnsi="Cambria Math"/>
                  </w:rPr>
                </m:ctrlPr>
              </m:accPr>
              <m:e>
                <m:r>
                  <m:rPr>
                    <m:sty m:val="b"/>
                  </m:rPr>
                  <w:rPr>
                    <w:rFonts w:ascii="Cambria Math" w:hAnsi="Cambria Math"/>
                  </w:rPr>
                  <m:t>β</m:t>
                </m:r>
              </m:e>
            </m:acc>
          </m:e>
          <m:sup>
            <m:r>
              <m:rPr>
                <m:nor/>
              </m:rPr>
              <m:t>REM</m:t>
            </m:r>
          </m:sup>
        </m:sSup>
      </m:oMath>
      <w:r>
        <w:t xml:space="preserve"> contains six estimated coefficients, one for each of the six generating coefficients of </w:t>
      </w:r>
      <w:r w:rsidR="00726FDF" w:rsidRPr="00726FDF">
        <w:fldChar w:fldCharType="begin"/>
      </w:r>
      <w:r w:rsidR="00726FDF" w:rsidRPr="00726FDF">
        <w:instrText xml:space="preserve"> REF _Ref232775201 \h  \* MERGEFORMAT </w:instrText>
      </w:r>
      <w:r w:rsidR="00726FDF" w:rsidRPr="00726FDF">
        <w:fldChar w:fldCharType="separate"/>
      </w:r>
      <w:r w:rsidR="00726FDF" w:rsidRPr="00726FDF">
        <w:t xml:space="preserve">Table </w:t>
      </w:r>
      <w:r w:rsidR="00726FDF" w:rsidRPr="00726FDF">
        <w:rPr>
          <w:noProof/>
        </w:rPr>
        <w:t>3</w:t>
      </w:r>
      <w:r w:rsidR="00726FDF" w:rsidRPr="00726FDF">
        <w:fldChar w:fldCharType="end"/>
      </w:r>
      <w:r>
        <w:t xml:space="preserve">: the log baseline rate and the five tie-oriented effects. The acceptability rule of Section </w:t>
      </w:r>
      <w:r w:rsidR="0040093F">
        <w:fldChar w:fldCharType="begin"/>
      </w:r>
      <w:r w:rsidR="0040093F">
        <w:instrText xml:space="preserve"> REF _Ref232774554 \r \h </w:instrText>
      </w:r>
      <w:r w:rsidR="0040093F">
        <w:fldChar w:fldCharType="separate"/>
      </w:r>
      <w:r w:rsidR="0040093F">
        <w:t>2.7</w:t>
      </w:r>
      <w:r w:rsidR="0040093F">
        <w:fldChar w:fldCharType="end"/>
      </w:r>
      <w:r w:rsidR="0040093F">
        <w:t xml:space="preserve"> </w:t>
      </w:r>
      <w:r>
        <w:t xml:space="preserve">operates on the five tie-oriented effects; the log baseline rate is recovered for completeness but is excluded from the rule for the reason given in Section 2.7.1. The bias of the REM estimate at multi-receiver proportion </w:t>
      </w:r>
      <m:oMath>
        <m:r>
          <w:rPr>
            <w:rFonts w:ascii="Cambria Math" w:hAnsi="Cambria Math"/>
          </w:rPr>
          <m:t>p</m:t>
        </m:r>
      </m:oMath>
      <w:r>
        <w:t xml:space="preserve"> on a single dataset is the per-coefficient difference </w:t>
      </w:r>
      <m:oMath>
        <m:sSubSup>
          <m:sSubSupPr>
            <m:ctrlPr>
              <w:rPr>
                <w:rFonts w:ascii="Cambria Math" w:hAnsi="Cambria Math"/>
              </w:rPr>
            </m:ctrlPr>
          </m:sSubSupPr>
          <m:e>
            <m:acc>
              <m:accPr>
                <m:ctrlPr>
                  <w:rPr>
                    <w:rFonts w:ascii="Cambria Math" w:hAnsi="Cambria Math"/>
                  </w:rPr>
                </m:ctrlPr>
              </m:accPr>
              <m:e>
                <m:r>
                  <m:rPr>
                    <m:sty m:val="b"/>
                  </m:rPr>
                  <w:rPr>
                    <w:rFonts w:ascii="Cambria Math" w:hAnsi="Cambria Math"/>
                  </w:rPr>
                  <m:t>β</m:t>
                </m:r>
              </m:e>
            </m:acc>
          </m:e>
          <m:sub>
            <m:r>
              <w:rPr>
                <w:rFonts w:ascii="Cambria Math" w:hAnsi="Cambria Math"/>
              </w:rPr>
              <m:t>p</m:t>
            </m:r>
          </m:sub>
          <m:sup>
            <m:r>
              <m:rPr>
                <m:nor/>
              </m:rPr>
              <m:t>REM</m:t>
            </m:r>
          </m:sup>
        </m:sSubSup>
        <m:r>
          <m:rPr>
            <m:sty m:val="p"/>
          </m:rPr>
          <w:rPr>
            <w:rFonts w:ascii="Cambria Math" w:hAnsi="Cambria Math"/>
          </w:rPr>
          <m:t>-</m:t>
        </m:r>
        <m:r>
          <m:rPr>
            <m:sty m:val="b"/>
          </m:rPr>
          <w:rPr>
            <w:rFonts w:ascii="Cambria Math" w:hAnsi="Cambria Math"/>
          </w:rPr>
          <m:t>β</m:t>
        </m:r>
      </m:oMath>
      <w:r>
        <w:t xml:space="preserve">. We take the across-seed mean of this difference at each </w:t>
      </w:r>
      <m:oMath>
        <m:r>
          <w:rPr>
            <w:rFonts w:ascii="Cambria Math" w:hAnsi="Cambria Math"/>
          </w:rPr>
          <m:t>p</m:t>
        </m:r>
      </m:oMath>
      <w:r>
        <w:t xml:space="preserve"> as the bias of interest for the cross-dataset analysis of Section </w:t>
      </w:r>
      <w:r w:rsidR="0040093F">
        <w:fldChar w:fldCharType="begin"/>
      </w:r>
      <w:r w:rsidR="0040093F">
        <w:instrText xml:space="preserve"> REF _Ref232774571 \r \h </w:instrText>
      </w:r>
      <w:r w:rsidR="0040093F">
        <w:fldChar w:fldCharType="separate"/>
      </w:r>
      <w:r w:rsidR="0040093F">
        <w:t>2.6</w:t>
      </w:r>
      <w:r w:rsidR="0040093F">
        <w:fldChar w:fldCharType="end"/>
      </w:r>
      <w:r>
        <w:t>.</w:t>
      </w:r>
    </w:p>
    <w:p w14:paraId="6CE1C73D" w14:textId="0360DA62" w:rsidR="000406DD" w:rsidRDefault="000406DD" w:rsidP="00E426E5">
      <w:pPr>
        <w:pStyle w:val="Heading3"/>
      </w:pPr>
      <w:bookmarkStart w:id="45" w:name="_Ref232774680"/>
      <w:bookmarkStart w:id="46" w:name="_Ref232774764"/>
      <w:bookmarkStart w:id="47" w:name="rhem-benchmark"/>
      <w:bookmarkStart w:id="48" w:name="_Toc233640839"/>
      <w:bookmarkEnd w:id="43"/>
      <w:r>
        <w:t>RHEM benchmark</w:t>
      </w:r>
      <w:bookmarkEnd w:id="45"/>
      <w:bookmarkEnd w:id="46"/>
      <w:bookmarkEnd w:id="48"/>
    </w:p>
    <w:p w14:paraId="2CA54FAB" w14:textId="77777777" w:rsidR="000406DD" w:rsidRDefault="000406DD" w:rsidP="000406DD">
      <w:pPr>
        <w:pStyle w:val="FirstParagraph"/>
      </w:pPr>
      <w:r>
        <w:t xml:space="preserve">For each MR level, including the 0% condition, we additionally fit the Relational Hyperevent Model of </w:t>
      </w:r>
      <w:hyperlink w:anchor="ref_Lerner_2023" w:history="1">
        <w:r>
          <w:t>Lerner and Lomi (2023)</w:t>
        </w:r>
      </w:hyperlink>
      <w:r>
        <w:t xml:space="preserve"> as a contextual benchmark. We use the standard </w:t>
      </w:r>
      <w:r>
        <w:rPr>
          <w:rStyle w:val="VerbatimChar"/>
        </w:rPr>
        <w:t>eventnet</w:t>
      </w:r>
      <w:r>
        <w:t xml:space="preserve"> + </w:t>
      </w:r>
      <w:r>
        <w:rPr>
          <w:rStyle w:val="VerbatimChar"/>
        </w:rPr>
        <w:t>survival</w:t>
      </w:r>
      <w:r>
        <w:t xml:space="preserve"> pipeline of </w:t>
      </w:r>
      <w:hyperlink w:anchor="ref_Lerner_2023" w:history="1">
        <w:r>
          <w:t>Lerner and Lomi (2023)</w:t>
        </w:r>
      </w:hyperlink>
      <w:r>
        <w:t xml:space="preserve">: the </w:t>
      </w:r>
      <w:r>
        <w:rPr>
          <w:rStyle w:val="VerbatimChar"/>
        </w:rPr>
        <w:t>eventnet</w:t>
      </w:r>
      <w:r>
        <w:t xml:space="preserve"> software enumerates the hyperedge risk set and produces, for the observed hyperevents and a case-control sample of non-events (hyperedges that could have occurred but did not), the hyperedge covariates that correspond to the five dyadic statistics fitted on the REM side; the model is then fitted by stratified Cox regression in the </w:t>
      </w:r>
      <w:r>
        <w:rPr>
          <w:rStyle w:val="VerbatimChar"/>
        </w:rPr>
        <w:t>survival</w:t>
      </w:r>
      <w:r>
        <w:t xml:space="preserve"> package (</w:t>
      </w:r>
      <w:hyperlink w:anchor="ref_Therneau_2023" w:history="1">
        <w:r>
          <w:t>Therneau, 2023</w:t>
        </w:r>
      </w:hyperlink>
      <w:r>
        <w:t xml:space="preserve">). The estimates obtained this way are on the same RHEM coefficient scale used by Lerner and Lomi (2020, 2023). Stratification convention and pipeline details are given in Appendix A. The </w:t>
      </w:r>
      <w:r>
        <w:rPr>
          <w:rStyle w:val="VerbatimChar"/>
        </w:rPr>
        <w:t>eventnet</w:t>
      </w:r>
      <w:r>
        <w:t xml:space="preserve"> runs are configured per (seed </w:t>
      </w:r>
      <m:oMath>
        <m:r>
          <m:rPr>
            <m:sty m:val="p"/>
          </m:rPr>
          <w:rPr>
            <w:rFonts w:ascii="Cambria Math" w:hAnsi="Cambria Math"/>
          </w:rPr>
          <m:t>×</m:t>
        </m:r>
      </m:oMath>
      <w:r>
        <w:t xml:space="preserve"> MR level) cell.</w:t>
      </w:r>
    </w:p>
    <w:p w14:paraId="5CEE2B29" w14:textId="28EAFA8E" w:rsidR="000406DD" w:rsidRDefault="000406DD" w:rsidP="000406DD">
      <w:pPr>
        <w:pStyle w:val="BodyText"/>
      </w:pPr>
      <w:r>
        <w:t xml:space="preserve">One caveat applies to the outgoing-two-paths effect. The dyadic and hyperedge pipelines count outgoing two-paths in slightly different ways, so the RHEM estimate of this single coefficient carries a small fixed offset relative to the REM coefficient scale. This offset is the same at every multi-receiver level, which is what marks it as a counting-convention difference rather than an effect of the transformation; its magnitude is characterised empirically in the Results chapter. Because the threshold is judged against the known generating parameters on the REM side (Section </w:t>
      </w:r>
      <w:r w:rsidR="0040093F">
        <w:fldChar w:fldCharType="begin"/>
      </w:r>
      <w:r w:rsidR="0040093F">
        <w:instrText xml:space="preserve"> REF _Ref232774579 \r \h </w:instrText>
      </w:r>
      <w:r w:rsidR="0040093F">
        <w:fldChar w:fldCharType="separate"/>
      </w:r>
      <w:r w:rsidR="0040093F">
        <w:t>2.7</w:t>
      </w:r>
      <w:r w:rsidR="0040093F">
        <w:fldChar w:fldCharType="end"/>
      </w:r>
      <w:r>
        <w:t>), this offset does not affect it.</w:t>
      </w:r>
    </w:p>
    <w:p w14:paraId="37FAAE25" w14:textId="15747FBB" w:rsidR="000406DD" w:rsidRDefault="000406DD" w:rsidP="00E426E5">
      <w:pPr>
        <w:pStyle w:val="Heading3"/>
      </w:pPr>
      <w:bookmarkStart w:id="49" w:name="_Ref232774533"/>
      <w:bookmarkStart w:id="50" w:name="_Ref232774571"/>
      <w:bookmarkStart w:id="51" w:name="_Ref232774607"/>
      <w:bookmarkStart w:id="52" w:name="_Ref232774649"/>
      <w:bookmarkStart w:id="53" w:name="_Ref232774672"/>
      <w:bookmarkStart w:id="54" w:name="_Ref232774832"/>
      <w:bookmarkStart w:id="55" w:name="cross-dataset-replication"/>
      <w:bookmarkStart w:id="56" w:name="_Toc233640840"/>
      <w:bookmarkEnd w:id="47"/>
      <w:r>
        <w:t>Cross-dataset replication</w:t>
      </w:r>
      <w:bookmarkEnd w:id="49"/>
      <w:bookmarkEnd w:id="50"/>
      <w:bookmarkEnd w:id="51"/>
      <w:bookmarkEnd w:id="52"/>
      <w:bookmarkEnd w:id="53"/>
      <w:bookmarkEnd w:id="54"/>
      <w:bookmarkEnd w:id="56"/>
    </w:p>
    <w:p w14:paraId="26F78AA6" w14:textId="3E34AD32" w:rsidR="000406DD" w:rsidRDefault="000406DD" w:rsidP="000406DD">
      <w:pPr>
        <w:pStyle w:val="FirstParagraph"/>
      </w:pPr>
      <w:r>
        <w:t xml:space="preserve">A single baseline simulation is enough to demonstrate the threshold mechanism, but the resulting threshold estimate depends on characteristics of the </w:t>
      </w:r>
      <w:proofErr w:type="gramStart"/>
      <w:r>
        <w:t>particular baseline</w:t>
      </w:r>
      <w:proofErr w:type="gramEnd"/>
      <w:r>
        <w:t xml:space="preserve"> that was generated. To smooth out single-dataset variance, we run the analysis over 30 independent baseline simulations, indexed by consecutive integer seeds starting at </w:t>
      </w:r>
      <w:r>
        <w:rPr>
          <w:rStyle w:val="VerbatimChar"/>
        </w:rPr>
        <w:t>20260423</w:t>
      </w:r>
      <w:r>
        <w:t xml:space="preserve">. For each seed a baseline is generated, the five multi-receiver conditions are constructed by additive random tagging (Section </w:t>
      </w:r>
      <w:r w:rsidR="0040093F">
        <w:fldChar w:fldCharType="begin"/>
      </w:r>
      <w:r w:rsidR="0040093F">
        <w:instrText xml:space="preserve"> REF _Ref232774586 \r \h </w:instrText>
      </w:r>
      <w:r w:rsidR="0040093F">
        <w:fldChar w:fldCharType="separate"/>
      </w:r>
      <w:r w:rsidR="0040093F">
        <w:t>2.2</w:t>
      </w:r>
      <w:r w:rsidR="0040093F">
        <w:fldChar w:fldCharType="end"/>
      </w:r>
      <w:r>
        <w:t xml:space="preserve">), the tie-breaking transformation of Section </w:t>
      </w:r>
      <w:r w:rsidR="0040093F">
        <w:fldChar w:fldCharType="begin"/>
      </w:r>
      <w:r w:rsidR="0040093F">
        <w:instrText xml:space="preserve"> REF _Ref232774591 \r \h </w:instrText>
      </w:r>
      <w:r w:rsidR="0040093F">
        <w:fldChar w:fldCharType="separate"/>
      </w:r>
      <w:r w:rsidR="0040093F">
        <w:t>2.3</w:t>
      </w:r>
      <w:r w:rsidR="0040093F">
        <w:fldChar w:fldCharType="end"/>
      </w:r>
      <w:r>
        <w:t xml:space="preserve"> is applied to each condition, and both the dyadic REM (Section </w:t>
      </w:r>
      <w:r w:rsidR="0040093F">
        <w:fldChar w:fldCharType="begin"/>
      </w:r>
      <w:r w:rsidR="0040093F">
        <w:instrText xml:space="preserve"> REF _Ref232774597 \r \h </w:instrText>
      </w:r>
      <w:r w:rsidR="0040093F">
        <w:fldChar w:fldCharType="separate"/>
      </w:r>
      <w:r w:rsidR="0040093F">
        <w:t>2.4</w:t>
      </w:r>
      <w:r w:rsidR="0040093F">
        <w:fldChar w:fldCharType="end"/>
      </w:r>
      <w:r>
        <w:t>) and the RHEM benchmark (Section 2.5) are fitted, writing the recovered coefficients to two long-format result tables, for REM and RHEM respectively, keyed by seed and MR level.</w:t>
      </w:r>
    </w:p>
    <w:p w14:paraId="018EC78B" w14:textId="77777777" w:rsidR="000406DD" w:rsidRDefault="000406DD" w:rsidP="000406DD">
      <w:pPr>
        <w:pStyle w:val="BodyText"/>
      </w:pPr>
      <w:r>
        <w:t xml:space="preserve">A baseline-quality guard inspects each baseline before any transformation or estimation is performed and skips any seed whose minimum inter-event gap is small enough to risk duplicate timestamps after the tie-breaking noise is added. Two of the 30 seeds fail this guard and are dropped before any analysis; the reported result is based on </w:t>
      </w:r>
      <m:oMath>
        <m:r>
          <w:rPr>
            <w:rFonts w:ascii="Cambria Math" w:hAnsi="Cambria Math"/>
          </w:rPr>
          <m:t>n</m:t>
        </m:r>
        <m:r>
          <m:rPr>
            <m:sty m:val="p"/>
          </m:rPr>
          <w:rPr>
            <w:rFonts w:ascii="Cambria Math" w:hAnsi="Cambria Math"/>
          </w:rPr>
          <m:t>=</m:t>
        </m:r>
        <m:r>
          <w:rPr>
            <w:rFonts w:ascii="Cambria Math" w:hAnsi="Cambria Math"/>
          </w:rPr>
          <m:t>28</m:t>
        </m:r>
      </m:oMath>
      <w:r>
        <w:t xml:space="preserve"> clean independent datasets. Because the guard only inspects the baseline before any transformation, dropping seeds cannot bias the REM-versus-RHEM comparison downstream.</w:t>
      </w:r>
    </w:p>
    <w:p w14:paraId="5D89CCAD" w14:textId="77777777" w:rsidR="000406DD" w:rsidRDefault="000406DD" w:rsidP="000406DD">
      <w:pPr>
        <w:pStyle w:val="BodyText"/>
      </w:pPr>
      <w:r>
        <w:t xml:space="preserve">The dataset-averaged statistics are computed by simple unweighted arithmetic mean over the 28 retained seeds; the Monte Carlo standard error on the mean of any per-effect bias is the across-seed sample standard deviation divided by </w:t>
      </w:r>
      <m:oMath>
        <m:rad>
          <m:radPr>
            <m:degHide m:val="1"/>
            <m:ctrlPr>
              <w:rPr>
                <w:rFonts w:ascii="Cambria Math" w:hAnsi="Cambria Math"/>
              </w:rPr>
            </m:ctrlPr>
          </m:radPr>
          <m:deg/>
          <m:e>
            <m:r>
              <w:rPr>
                <w:rFonts w:ascii="Cambria Math" w:hAnsi="Cambria Math"/>
              </w:rPr>
              <m:t>28</m:t>
            </m:r>
          </m:e>
        </m:rad>
      </m:oMath>
      <w:r>
        <w:t>, and is used to attach Monte Carlo error bars to the headline plot. The full pipeline is deterministic in the baseline seed: every number reported in the Results chapter can be regenerated from the seed list alone.</w:t>
      </w:r>
    </w:p>
    <w:p w14:paraId="0A7DF6FF" w14:textId="11184F42" w:rsidR="000406DD" w:rsidRDefault="000406DD" w:rsidP="00E426E5">
      <w:pPr>
        <w:pStyle w:val="Heading3"/>
      </w:pPr>
      <w:bookmarkStart w:id="57" w:name="_Ref232774554"/>
      <w:bookmarkStart w:id="58" w:name="_Ref232774579"/>
      <w:bookmarkStart w:id="59" w:name="_Ref232774662"/>
      <w:bookmarkStart w:id="60" w:name="X32f04f1dbe90b1c1090eb4357bcfe8be8c12f69"/>
      <w:bookmarkStart w:id="61" w:name="_Toc233640841"/>
      <w:bookmarkEnd w:id="55"/>
      <w:r>
        <w:t>Acceptability rule and threshold determination</w:t>
      </w:r>
      <w:bookmarkEnd w:id="57"/>
      <w:bookmarkEnd w:id="58"/>
      <w:bookmarkEnd w:id="59"/>
      <w:bookmarkEnd w:id="61"/>
    </w:p>
    <w:p w14:paraId="1D795407" w14:textId="77777777" w:rsidR="000406DD" w:rsidRDefault="000406DD" w:rsidP="000406DD">
      <w:pPr>
        <w:pStyle w:val="FirstParagraph"/>
      </w:pPr>
      <w:r>
        <w:t xml:space="preserve">The headline finding of this thesis is a threshold on the multi-receiver proportion: the largest </w:t>
      </w:r>
      <m:oMath>
        <m:r>
          <m:rPr>
            <m:sty m:val="p"/>
          </m:rPr>
          <w:rPr>
            <w:rFonts w:ascii="Cambria Math" w:hAnsi="Cambria Math"/>
          </w:rPr>
          <m:t>MR</m:t>
        </m:r>
      </m:oMath>
      <w:r>
        <w:t xml:space="preserve"> proportion at which the dataset-averaged REM estimate of each of the five tie-oriented coefficients remains within a per-effect practical-significance band around its known generating value.</w:t>
      </w:r>
    </w:p>
    <w:p w14:paraId="52995DA5" w14:textId="749F8DF5" w:rsidR="000406DD" w:rsidRDefault="00E426E5" w:rsidP="00263D85">
      <w:pPr>
        <w:pStyle w:val="Heading4"/>
      </w:pPr>
      <w:bookmarkStart w:id="62" w:name="per-effect-recovery-noise-band"/>
      <w:r>
        <w:t>2.7.1</w:t>
      </w:r>
      <w:r w:rsidR="000406DD">
        <w:t xml:space="preserve"> Per-effect recovery-noise band</w:t>
      </w:r>
    </w:p>
    <w:p w14:paraId="60AA5942" w14:textId="77777777" w:rsidR="000406DD" w:rsidRDefault="000406DD" w:rsidP="000406DD">
      <w:pPr>
        <w:pStyle w:val="FirstParagraph"/>
      </w:pPr>
      <w:r>
        <w:t>For each statistic, the band is defined as</w:t>
      </w:r>
    </w:p>
    <w:p w14:paraId="022F1C69" w14:textId="77777777" w:rsidR="000406DD" w:rsidRPr="000406DD" w:rsidRDefault="00000000" w:rsidP="000406DD">
      <w:pPr>
        <w:pStyle w:val="BodyText"/>
        <w:rPr>
          <w:lang w:val="de-DE"/>
        </w:rPr>
      </w:pPr>
      <m:oMathPara>
        <m:oMathParaPr>
          <m:jc m:val="center"/>
        </m:oMathParaPr>
        <m:oMath>
          <m:sSub>
            <m:sSubPr>
              <m:ctrlPr>
                <w:rPr>
                  <w:rFonts w:ascii="Cambria Math" w:hAnsi="Cambria Math"/>
                </w:rPr>
              </m:ctrlPr>
            </m:sSubPr>
            <m:e>
              <m:r>
                <m:rPr>
                  <m:nor/>
                </m:rPr>
                <w:rPr>
                  <w:lang w:val="de-DE"/>
                </w:rPr>
                <m:t>band</m:t>
              </m:r>
            </m:e>
            <m:sub>
              <m:r>
                <m:rPr>
                  <m:nor/>
                </m:rPr>
                <w:rPr>
                  <w:lang w:val="de-DE"/>
                </w:rPr>
                <m:t>stat</m:t>
              </m:r>
            </m:sub>
          </m:sSub>
          <m:r>
            <m:rPr>
              <m:sty m:val="p"/>
            </m:rPr>
            <w:rPr>
              <w:rFonts w:ascii="Cambria Math" w:hAnsi="Cambria Math"/>
              <w:lang w:val="de-DE"/>
            </w:rPr>
            <m:t>=</m:t>
          </m:r>
          <m:r>
            <w:rPr>
              <w:rFonts w:ascii="Cambria Math" w:hAnsi="Cambria Math"/>
            </w:rPr>
            <m:t>k</m:t>
          </m:r>
          <m:r>
            <m:rPr>
              <m:sty m:val="p"/>
            </m:rPr>
            <w:rPr>
              <w:rFonts w:ascii="Cambria Math" w:hAnsi="Cambria Math"/>
              <w:lang w:val="de-DE"/>
            </w:rPr>
            <m:t>⋅</m:t>
          </m:r>
          <m:sSubSup>
            <m:sSubSupPr>
              <m:ctrlPr>
                <w:rPr>
                  <w:rFonts w:ascii="Cambria Math" w:hAnsi="Cambria Math"/>
                </w:rPr>
              </m:ctrlPr>
            </m:sSubSupPr>
            <m:e>
              <m:r>
                <m:rPr>
                  <m:sty m:val="p"/>
                </m:rPr>
                <w:rPr>
                  <w:rFonts w:ascii="Cambria Math" w:hAnsi="Cambria Math"/>
                  <w:lang w:val="de-DE"/>
                </w:rPr>
                <m:t>SD</m:t>
              </m:r>
            </m:e>
            <m:sub>
              <m:r>
                <m:rPr>
                  <m:nor/>
                </m:rPr>
                <w:rPr>
                  <w:lang w:val="de-DE"/>
                </w:rPr>
                <m:t>stat</m:t>
              </m:r>
            </m:sub>
            <m:sup>
              <m:r>
                <m:rPr>
                  <m:sty m:val="p"/>
                </m:rPr>
                <w:rPr>
                  <w:rFonts w:ascii="Cambria Math" w:hAnsi="Cambria Math"/>
                  <w:lang w:val="de-DE"/>
                </w:rPr>
                <m:t>(MR=</m:t>
              </m:r>
              <m:r>
                <w:rPr>
                  <w:rFonts w:ascii="Cambria Math" w:hAnsi="Cambria Math"/>
                  <w:lang w:val="de-DE"/>
                </w:rPr>
                <m:t>0</m:t>
              </m:r>
              <m:r>
                <m:rPr>
                  <m:sty m:val="p"/>
                </m:rPr>
                <w:rPr>
                  <w:rFonts w:ascii="Cambria Math" w:hAnsi="Cambria Math"/>
                  <w:lang w:val="de-DE"/>
                </w:rPr>
                <m:t>)</m:t>
              </m:r>
            </m:sup>
          </m:sSubSup>
          <m:r>
            <m:rPr>
              <m:sty m:val="p"/>
            </m:rPr>
            <w:rPr>
              <w:rFonts w:ascii="Cambria Math" w:hAnsi="Cambria Math"/>
              <w:lang w:val="de-DE"/>
            </w:rPr>
            <m:t>,</m:t>
          </m:r>
        </m:oMath>
      </m:oMathPara>
    </w:p>
    <w:p w14:paraId="64619D0B" w14:textId="3AD3ED9D" w:rsidR="000406DD" w:rsidRDefault="000406DD" w:rsidP="000406DD">
      <w:pPr>
        <w:pStyle w:val="FirstParagraph"/>
      </w:pPr>
      <w:r>
        <w:t xml:space="preserve">where </w:t>
      </w:r>
      <m:oMath>
        <m:sSubSup>
          <m:sSubSupPr>
            <m:ctrlPr>
              <w:rPr>
                <w:rFonts w:ascii="Cambria Math" w:hAnsi="Cambria Math"/>
              </w:rPr>
            </m:ctrlPr>
          </m:sSubSupPr>
          <m:e>
            <m:r>
              <m:rPr>
                <m:sty m:val="p"/>
              </m:rPr>
              <w:rPr>
                <w:rFonts w:ascii="Cambria Math" w:hAnsi="Cambria Math"/>
              </w:rPr>
              <m:t>SD</m:t>
            </m:r>
          </m:e>
          <m:sub>
            <m:r>
              <m:rPr>
                <m:nor/>
              </m:rPr>
              <m:t>stat</m:t>
            </m:r>
          </m:sub>
          <m:sup>
            <m:r>
              <m:rPr>
                <m:sty m:val="p"/>
              </m:rPr>
              <w:rPr>
                <w:rFonts w:ascii="Cambria Math" w:hAnsi="Cambria Math"/>
              </w:rPr>
              <m:t>(MR=</m:t>
            </m:r>
            <m:r>
              <w:rPr>
                <w:rFonts w:ascii="Cambria Math" w:hAnsi="Cambria Math"/>
              </w:rPr>
              <m:t>0</m:t>
            </m:r>
            <m:r>
              <m:rPr>
                <m:sty m:val="p"/>
              </m:rPr>
              <w:rPr>
                <w:rFonts w:ascii="Cambria Math" w:hAnsi="Cambria Math"/>
              </w:rPr>
              <m:t>)</m:t>
            </m:r>
          </m:sup>
        </m:sSubSup>
      </m:oMath>
      <w:r>
        <w:t xml:space="preserve"> is the across-seed sample standard deviation of the recovered REM coefficient at the 0% multi-receiver condition, computed over the 28 retained baseline seeds described in Section </w:t>
      </w:r>
      <w:r w:rsidR="0040093F">
        <w:fldChar w:fldCharType="begin"/>
      </w:r>
      <w:r w:rsidR="0040093F">
        <w:instrText xml:space="preserve"> REF _Ref232774607 \r \h </w:instrText>
      </w:r>
      <w:r w:rsidR="0040093F">
        <w:fldChar w:fldCharType="separate"/>
      </w:r>
      <w:r w:rsidR="0040093F">
        <w:t>2.6</w:t>
      </w:r>
      <w:r w:rsidR="0040093F">
        <w:fldChar w:fldCharType="end"/>
      </w:r>
      <w:r>
        <w:t xml:space="preserve">. The multiplier </w:t>
      </w:r>
      <m:oMath>
        <m:r>
          <w:rPr>
            <w:rFonts w:ascii="Cambria Math" w:hAnsi="Cambria Math"/>
          </w:rPr>
          <m:t>k</m:t>
        </m:r>
        <m:r>
          <m:rPr>
            <m:sty m:val="p"/>
          </m:rPr>
          <w:rPr>
            <w:rFonts w:ascii="Cambria Math" w:hAnsi="Cambria Math"/>
          </w:rPr>
          <m:t>=</m:t>
        </m:r>
        <m:r>
          <w:rPr>
            <w:rFonts w:ascii="Cambria Math" w:hAnsi="Cambria Math"/>
          </w:rPr>
          <m:t>2</m:t>
        </m:r>
      </m:oMath>
      <w:r>
        <w:t xml:space="preserve"> is pre-specified: it was fixed in advance of the threshold determination on 2026-06-11 and was not modified after the recovered numbers were inspected. The choice of </w:t>
      </w:r>
      <m:oMath>
        <m:r>
          <w:rPr>
            <w:rFonts w:ascii="Cambria Math" w:hAnsi="Cambria Math"/>
          </w:rPr>
          <m:t>k</m:t>
        </m:r>
        <m:r>
          <m:rPr>
            <m:sty m:val="p"/>
          </m:rPr>
          <w:rPr>
            <w:rFonts w:ascii="Cambria Math" w:hAnsi="Cambria Math"/>
          </w:rPr>
          <m:t>=</m:t>
        </m:r>
        <m:r>
          <w:rPr>
            <w:rFonts w:ascii="Cambria Math" w:hAnsi="Cambria Math"/>
          </w:rPr>
          <m:t>2</m:t>
        </m:r>
      </m:oMath>
      <w:r>
        <w:t xml:space="preserve"> corresponds to approximately a 95% interval under near-normal recovery, the standard practical-significance convention.</w:t>
      </w:r>
    </w:p>
    <w:p w14:paraId="0FD291FB" w14:textId="77777777" w:rsidR="000406DD" w:rsidRDefault="00000000" w:rsidP="000406DD">
      <w:pPr>
        <w:pStyle w:val="BodyText"/>
      </w:pPr>
      <m:oMath>
        <m:sSubSup>
          <m:sSubSupPr>
            <m:ctrlPr>
              <w:rPr>
                <w:rFonts w:ascii="Cambria Math" w:hAnsi="Cambria Math"/>
              </w:rPr>
            </m:ctrlPr>
          </m:sSubSupPr>
          <m:e>
            <m:r>
              <m:rPr>
                <m:sty m:val="p"/>
              </m:rPr>
              <w:rPr>
                <w:rFonts w:ascii="Cambria Math" w:hAnsi="Cambria Math"/>
              </w:rPr>
              <m:t>SD</m:t>
            </m:r>
          </m:e>
          <m:sub>
            <m:r>
              <m:rPr>
                <m:nor/>
              </m:rPr>
              <m:t>stat</m:t>
            </m:r>
          </m:sub>
          <m:sup>
            <m:r>
              <m:rPr>
                <m:sty m:val="p"/>
              </m:rPr>
              <w:rPr>
                <w:rFonts w:ascii="Cambria Math" w:hAnsi="Cambria Math"/>
              </w:rPr>
              <m:t>(MR=</m:t>
            </m:r>
            <m:r>
              <w:rPr>
                <w:rFonts w:ascii="Cambria Math" w:hAnsi="Cambria Math"/>
              </w:rPr>
              <m:t>0</m:t>
            </m:r>
            <m:r>
              <m:rPr>
                <m:sty m:val="p"/>
              </m:rPr>
              <w:rPr>
                <w:rFonts w:ascii="Cambria Math" w:hAnsi="Cambria Math"/>
              </w:rPr>
              <m:t>)</m:t>
            </m:r>
          </m:sup>
        </m:sSubSup>
      </m:oMath>
      <w:r w:rsidR="000406DD">
        <w:t xml:space="preserve"> measures the parameter-recovery noise of the dyadic-REM simulator itself, the typical magnitude by which a single recovered REM coefficient deviates from the truth when nothing has been done to the data. The rule therefore asks whether the systematic bias introduced by the multi-receiver injection and the subsequent transformation is large relative to the recovery noise a single-dataset analyst would </w:t>
      </w:r>
      <w:proofErr w:type="gramStart"/>
      <w:r w:rsidR="000406DD">
        <w:t>actually face</w:t>
      </w:r>
      <w:proofErr w:type="gramEnd"/>
      <w:r w:rsidR="000406DD">
        <w:t xml:space="preserve">. This is why the band is calibrated to single-dataset recovery dispersion rather than to the Monte Carlo standard error of the 28-seed mean, which shrinks with </w:t>
      </w:r>
      <m:oMath>
        <m:rad>
          <m:radPr>
            <m:degHide m:val="1"/>
            <m:ctrlPr>
              <w:rPr>
                <w:rFonts w:ascii="Cambria Math" w:hAnsi="Cambria Math"/>
              </w:rPr>
            </m:ctrlPr>
          </m:radPr>
          <m:deg/>
          <m:e>
            <m:r>
              <w:rPr>
                <w:rFonts w:ascii="Cambria Math" w:hAnsi="Cambria Math"/>
              </w:rPr>
              <m:t>n</m:t>
            </m:r>
          </m:e>
        </m:rad>
      </m:oMath>
      <w:r w:rsidR="000406DD">
        <w:t xml:space="preserve"> and would instead measure the bias against averaging noise.</w:t>
      </w:r>
    </w:p>
    <w:p w14:paraId="1C3712A4" w14:textId="7AC23331" w:rsidR="000406DD" w:rsidRDefault="000406DD" w:rsidP="000406DD">
      <w:pPr>
        <w:pStyle w:val="BodyText"/>
      </w:pPr>
      <w:r>
        <w:t xml:space="preserve">The same 28-seed pool is used both for the dataset-averaged bias estimate at each MR level and for the band derivation at </w:t>
      </w:r>
      <m:oMath>
        <m:r>
          <m:rPr>
            <m:sty m:val="p"/>
          </m:rPr>
          <w:rPr>
            <w:rFonts w:ascii="Cambria Math" w:hAnsi="Cambria Math"/>
          </w:rPr>
          <m:t>MR=</m:t>
        </m:r>
        <m:r>
          <w:rPr>
            <w:rFonts w:ascii="Cambria Math" w:hAnsi="Cambria Math"/>
          </w:rPr>
          <m:t>0</m:t>
        </m:r>
      </m:oMath>
      <w:r>
        <w:t xml:space="preserve"> that anchors the acceptability rule. Because the 0% condition is identical to the baseline (Section </w:t>
      </w:r>
      <w:r w:rsidR="0040093F">
        <w:fldChar w:fldCharType="begin"/>
      </w:r>
      <w:r w:rsidR="0040093F">
        <w:instrText xml:space="preserve"> REF _Ref232774613 \r \h </w:instrText>
      </w:r>
      <w:r w:rsidR="0040093F">
        <w:fldChar w:fldCharType="separate"/>
      </w:r>
      <w:r w:rsidR="0040093F">
        <w:t>2.2</w:t>
      </w:r>
      <w:r w:rsidR="0040093F">
        <w:fldChar w:fldCharType="end"/>
      </w:r>
      <w:r>
        <w:t xml:space="preserve">, </w:t>
      </w:r>
      <w:r w:rsidR="00726FDF" w:rsidRPr="00726FDF">
        <w:fldChar w:fldCharType="begin"/>
      </w:r>
      <w:r w:rsidR="00726FDF" w:rsidRPr="00726FDF">
        <w:instrText xml:space="preserve"> REF _Ref232775232 \h  \* MERGEFORMAT </w:instrText>
      </w:r>
      <w:r w:rsidR="00726FDF" w:rsidRPr="00726FDF">
        <w:fldChar w:fldCharType="separate"/>
      </w:r>
      <w:r w:rsidR="00726FDF" w:rsidRPr="00726FDF">
        <w:t xml:space="preserve">Table </w:t>
      </w:r>
      <w:r w:rsidR="00726FDF" w:rsidRPr="00726FDF">
        <w:rPr>
          <w:noProof/>
        </w:rPr>
        <w:t>4</w:t>
      </w:r>
      <w:r w:rsidR="00726FDF" w:rsidRPr="00726FDF">
        <w:fldChar w:fldCharType="end"/>
      </w:r>
      <w:r>
        <w:t>) and the band is only applied to the four transformed conditions, the rule does not use the same observations both to estimate the band and to evaluate against it.</w:t>
      </w:r>
    </w:p>
    <w:p w14:paraId="07D2E9DC" w14:textId="77777777" w:rsidR="000406DD" w:rsidRDefault="000406DD" w:rsidP="000406DD">
      <w:pPr>
        <w:pStyle w:val="BodyText"/>
      </w:pPr>
      <w:r>
        <w:t xml:space="preserve">The rule auto-scales with the magnitude of each parameter, which avoids the problem with a single fixed cap: a cap loose enough for the largest generating coefficient (same-group homophily, </w:t>
      </w:r>
      <m:oMath>
        <m:r>
          <w:rPr>
            <w:rFonts w:ascii="Cambria Math" w:hAnsi="Cambria Math"/>
          </w:rPr>
          <m:t>0.40</m:t>
        </m:r>
      </m:oMath>
      <w:r>
        <w:t xml:space="preserve">) would be wider than the smallest (inertia, </w:t>
      </w:r>
      <m:oMath>
        <m:r>
          <w:rPr>
            <w:rFonts w:ascii="Cambria Math" w:hAnsi="Cambria Math"/>
          </w:rPr>
          <m:t>0.02</m:t>
        </m:r>
      </m:oMath>
      <w:r>
        <w:t xml:space="preserve">). The five per-effect band values are reported in the Results chapter alongside the biases they are compared with. The bands are estimated quantities: at </w:t>
      </w:r>
      <m:oMath>
        <m:r>
          <w:rPr>
            <w:rFonts w:ascii="Cambria Math" w:hAnsi="Cambria Math"/>
          </w:rPr>
          <m:t>n</m:t>
        </m:r>
        <m:r>
          <m:rPr>
            <m:sty m:val="p"/>
          </m:rPr>
          <w:rPr>
            <w:rFonts w:ascii="Cambria Math" w:hAnsi="Cambria Math"/>
          </w:rPr>
          <m:t>=</m:t>
        </m:r>
        <m:r>
          <w:rPr>
            <w:rFonts w:ascii="Cambria Math" w:hAnsi="Cambria Math"/>
          </w:rPr>
          <m:t>28</m:t>
        </m:r>
      </m:oMath>
      <w:r>
        <w:t xml:space="preserve"> each per-effect SD has roughly </w:t>
      </w:r>
      <m:oMath>
        <m:r>
          <m:rPr>
            <m:sty m:val="p"/>
          </m:rPr>
          <w:rPr>
            <w:rFonts w:ascii="Cambria Math" w:hAnsi="Cambria Math"/>
          </w:rPr>
          <m:t>±</m:t>
        </m:r>
        <m:r>
          <w:rPr>
            <w:rFonts w:ascii="Cambria Math" w:hAnsi="Cambria Math"/>
          </w:rPr>
          <m:t>14</m:t>
        </m:r>
        <m:r>
          <m:rPr>
            <m:sty m:val="p"/>
          </m:rPr>
          <w:rPr>
            <w:rFonts w:ascii="Cambria Math" w:hAnsi="Cambria Math"/>
          </w:rPr>
          <m:t>%</m:t>
        </m:r>
      </m:oMath>
      <w:r>
        <w:t xml:space="preserve"> relative uncertainty, which propagates into the bias-to-band ratios and limits the precision to which the threshold can be quoted.</w:t>
      </w:r>
    </w:p>
    <w:p w14:paraId="41624CF3" w14:textId="08E22ED4" w:rsidR="000406DD" w:rsidRDefault="000406DD" w:rsidP="000406DD">
      <w:pPr>
        <w:pStyle w:val="BodyText"/>
      </w:pPr>
      <w:r>
        <w:t xml:space="preserve">The log baseline rate </w:t>
      </w:r>
      <m:oMath>
        <m:sSub>
          <m:sSubPr>
            <m:ctrlPr>
              <w:rPr>
                <w:rFonts w:ascii="Cambria Math" w:hAnsi="Cambria Math"/>
              </w:rPr>
            </m:ctrlPr>
          </m:sSubPr>
          <m:e>
            <m:r>
              <w:rPr>
                <w:rFonts w:ascii="Cambria Math" w:hAnsi="Cambria Math"/>
              </w:rPr>
              <m:t>β</m:t>
            </m:r>
          </m:e>
          <m:sub>
            <m:r>
              <w:rPr>
                <w:rFonts w:ascii="Cambria Math" w:hAnsi="Cambria Math"/>
              </w:rPr>
              <m:t>0</m:t>
            </m:r>
          </m:sub>
        </m:sSub>
      </m:oMath>
      <w:r>
        <w:t xml:space="preserve"> is recovered alongside the five tie-oriented effects but is excluded from the rule. Because the additive construction of Section </w:t>
      </w:r>
      <w:r w:rsidR="0040093F">
        <w:fldChar w:fldCharType="begin"/>
      </w:r>
      <w:r w:rsidR="0040093F">
        <w:instrText xml:space="preserve"> REF _Ref232774637 \r \h </w:instrText>
      </w:r>
      <w:r w:rsidR="0040093F">
        <w:fldChar w:fldCharType="separate"/>
      </w:r>
      <w:r w:rsidR="0040093F">
        <w:t>2.2</w:t>
      </w:r>
      <w:r w:rsidR="0040093F">
        <w:fldChar w:fldCharType="end"/>
      </w:r>
      <w:r w:rsidR="0040093F">
        <w:t xml:space="preserve"> </w:t>
      </w:r>
      <w:r>
        <w:t xml:space="preserve">inflates the long-table row count from </w:t>
      </w:r>
      <m:oMath>
        <m:r>
          <w:rPr>
            <w:rFonts w:ascii="Cambria Math" w:hAnsi="Cambria Math"/>
          </w:rPr>
          <m:t>M</m:t>
        </m:r>
      </m:oMath>
      <w:r>
        <w:t xml:space="preserve"> to </w:t>
      </w:r>
      <m:oMath>
        <m:r>
          <w:rPr>
            <w:rFonts w:ascii="Cambria Math" w:hAnsi="Cambria Math"/>
          </w:rPr>
          <m:t>M</m:t>
        </m:r>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p</m:t>
        </m:r>
        <m:r>
          <m:rPr>
            <m:sty m:val="p"/>
          </m:rPr>
          <w:rPr>
            <w:rFonts w:ascii="Cambria Math" w:hAnsi="Cambria Math"/>
          </w:rPr>
          <m:t>)</m:t>
        </m:r>
      </m:oMath>
      <w:r>
        <w:t xml:space="preserve">, the recovered </w:t>
      </w:r>
      <m:oMath>
        <m:sSub>
          <m:sSubPr>
            <m:ctrlPr>
              <w:rPr>
                <w:rFonts w:ascii="Cambria Math" w:hAnsi="Cambria Math"/>
              </w:rPr>
            </m:ctrlPr>
          </m:sSubPr>
          <m:e>
            <m:r>
              <w:rPr>
                <w:rFonts w:ascii="Cambria Math" w:hAnsi="Cambria Math"/>
              </w:rPr>
              <m:t>β</m:t>
            </m:r>
          </m:e>
          <m:sub>
            <m:r>
              <w:rPr>
                <w:rFonts w:ascii="Cambria Math" w:hAnsi="Cambria Math"/>
              </w:rPr>
              <m:t>0</m:t>
            </m:r>
          </m:sub>
        </m:sSub>
      </m:oMath>
      <w:r>
        <w:t xml:space="preserve"> tracks the pacing of the augmented process and shifts by approximately </w:t>
      </w:r>
      <m:oMath>
        <m:r>
          <m:rPr>
            <m:sty m:val="p"/>
          </m:rPr>
          <w:rPr>
            <w:rFonts w:ascii="Cambria Math" w:hAnsi="Cambria Math"/>
          </w:rPr>
          <m:t>log(</m:t>
        </m:r>
        <m:r>
          <w:rPr>
            <w:rFonts w:ascii="Cambria Math" w:hAnsi="Cambria Math"/>
          </w:rPr>
          <m:t>1</m:t>
        </m:r>
        <m:r>
          <m:rPr>
            <m:sty m:val="p"/>
          </m:rPr>
          <w:rPr>
            <w:rFonts w:ascii="Cambria Math" w:hAnsi="Cambria Math"/>
          </w:rPr>
          <m:t>+</m:t>
        </m:r>
        <m:r>
          <w:rPr>
            <w:rFonts w:ascii="Cambria Math" w:hAnsi="Cambria Math"/>
          </w:rPr>
          <m:t>p</m:t>
        </m:r>
        <m:r>
          <m:rPr>
            <m:sty m:val="p"/>
          </m:rPr>
          <w:rPr>
            <w:rFonts w:ascii="Cambria Math" w:hAnsi="Cambria Math"/>
          </w:rPr>
          <m:t>)</m:t>
        </m:r>
      </m:oMath>
      <w:r>
        <w:t xml:space="preserve">; it therefore measures event-count inflation rather than a recovery </w:t>
      </w:r>
      <w:proofErr w:type="gramStart"/>
      <w:r>
        <w:t>failure, and</w:t>
      </w:r>
      <w:proofErr w:type="gramEnd"/>
      <w:r>
        <w:t xml:space="preserve"> answers a different question from the one the threshold poses. The derivation, its numerical predictions, and the conditions under which the shift is exact are given in Appendix B.</w:t>
      </w:r>
    </w:p>
    <w:p w14:paraId="732EF0AC" w14:textId="77777777" w:rsidR="000406DD" w:rsidRDefault="000406DD" w:rsidP="00263D85">
      <w:pPr>
        <w:pStyle w:val="Heading4"/>
      </w:pPr>
      <w:bookmarkStart w:id="63" w:name="the-rule-defining-grid"/>
      <w:bookmarkEnd w:id="62"/>
      <w:r>
        <w:t>2.7.2 The rule-defining grid</w:t>
      </w:r>
    </w:p>
    <w:p w14:paraId="6AD3F3FD" w14:textId="77777777" w:rsidR="000406DD" w:rsidRDefault="000406DD" w:rsidP="000406DD">
      <w:pPr>
        <w:pStyle w:val="FirstParagraph"/>
      </w:pPr>
      <w:r>
        <w:t>The per-effect recovery-noise band of Section 2.7.1 is applied on the pre-specified grid of multi-receiver proportions (Table 4). The headline threshold is the largest proportion on this grid at which every rule-governed REM coefficient stays inside its per-effect band.</w:t>
      </w:r>
    </w:p>
    <w:p w14:paraId="60441457" w14:textId="2AAC050B" w:rsidR="000406DD" w:rsidRDefault="000406DD" w:rsidP="000406DD">
      <w:pPr>
        <w:pStyle w:val="BodyText"/>
      </w:pPr>
      <w:r>
        <w:t xml:space="preserve">Additional cells outside the rule-defining grid may be added to locate the threshold more precisely between adjacent grid points. These cells appear in the Results plots and tables but do not enter the threshold calculation. The cross-dataset workflow (Section </w:t>
      </w:r>
      <w:r w:rsidR="0040093F">
        <w:fldChar w:fldCharType="begin"/>
      </w:r>
      <w:r w:rsidR="0040093F">
        <w:instrText xml:space="preserve"> REF _Ref232774649 \r \h </w:instrText>
      </w:r>
      <w:r w:rsidR="0040093F">
        <w:fldChar w:fldCharType="separate"/>
      </w:r>
      <w:r w:rsidR="0040093F">
        <w:t>2.6</w:t>
      </w:r>
      <w:r w:rsidR="0040093F">
        <w:fldChar w:fldCharType="end"/>
      </w:r>
      <w:r>
        <w:t xml:space="preserve">) allows them to be added without rerunning the full grid, which we use to place a single </w:t>
      </w:r>
      <m:oMath>
        <m:r>
          <m:rPr>
            <m:sty m:val="p"/>
          </m:rPr>
          <w:rPr>
            <w:rFonts w:ascii="Cambria Math" w:hAnsi="Cambria Math"/>
          </w:rPr>
          <m:t>MR=</m:t>
        </m:r>
        <m:r>
          <w:rPr>
            <w:rFonts w:ascii="Cambria Math" w:hAnsi="Cambria Math"/>
          </w:rPr>
          <m:t>12</m:t>
        </m:r>
        <m:r>
          <m:rPr>
            <m:sty m:val="p"/>
          </m:rPr>
          <w:rPr>
            <w:rFonts w:ascii="Cambria Math" w:hAnsi="Cambria Math"/>
          </w:rPr>
          <m:t>%</m:t>
        </m:r>
      </m:oMath>
      <w:r>
        <w:t xml:space="preserve"> cell in the 8%–16% gap.</w:t>
      </w:r>
    </w:p>
    <w:p w14:paraId="2ECD28F2" w14:textId="77777777" w:rsidR="000406DD" w:rsidRPr="00263D85" w:rsidRDefault="000406DD" w:rsidP="00263D85">
      <w:pPr>
        <w:pStyle w:val="Heading4"/>
      </w:pPr>
      <w:bookmarkStart w:id="64" w:name="Xb4abf0894dd3cc4733e62073c326c108f3a9a45"/>
      <w:bookmarkEnd w:id="63"/>
      <w:r w:rsidRPr="00263D85">
        <w:t>2.7.3 Sensitivity to the choice of acceptability rule</w:t>
      </w:r>
    </w:p>
    <w:p w14:paraId="0FA88F81" w14:textId="77777777" w:rsidR="000406DD" w:rsidRDefault="000406DD" w:rsidP="000406DD">
      <w:pPr>
        <w:pStyle w:val="FirstParagraph"/>
      </w:pPr>
      <w:r>
        <w:t xml:space="preserve">Two acceptability specifications were considered during the design of this thesis. The per-effect recovery-noise band is the primary specification under which the headline threshold is reported. An earlier specification, a single absolute log-rate cap of </w:t>
      </w:r>
      <m:oMath>
        <m:r>
          <m:rPr>
            <m:sty m:val="p"/>
          </m:rPr>
          <w:rPr>
            <w:rFonts w:ascii="Cambria Math" w:hAnsi="Cambria Math"/>
          </w:rPr>
          <m:t>|</m:t>
        </m:r>
        <m:r>
          <m:rPr>
            <m:nor/>
          </m:rPr>
          <m:t>bias</m:t>
        </m:r>
        <m:r>
          <m:rPr>
            <m:sty m:val="p"/>
          </m:rPr>
          <w:rPr>
            <w:rFonts w:ascii="Cambria Math" w:hAnsi="Cambria Math"/>
          </w:rPr>
          <m:t>|≤</m:t>
        </m:r>
        <m:r>
          <w:rPr>
            <w:rFonts w:ascii="Cambria Math" w:hAnsi="Cambria Math"/>
          </w:rPr>
          <m:t>0.05</m:t>
        </m:r>
      </m:oMath>
      <w:r>
        <w:t xml:space="preserve"> across all statistics, is reported alongside in the Results chapter as a one-line sensitivity check. The swap was motivated by the parameter-magnitude problem described above, not by any property of the recovered numbers.</w:t>
      </w:r>
    </w:p>
    <w:p w14:paraId="262B05B1" w14:textId="463D63EA" w:rsidR="000406DD" w:rsidRDefault="000406DD" w:rsidP="00E426E5">
      <w:pPr>
        <w:pStyle w:val="Heading2"/>
      </w:pPr>
      <w:bookmarkStart w:id="65" w:name="_Toc233640842"/>
      <w:bookmarkEnd w:id="19"/>
      <w:bookmarkEnd w:id="60"/>
      <w:bookmarkEnd w:id="64"/>
      <w:r>
        <w:t>Results and analysis</w:t>
      </w:r>
      <w:bookmarkEnd w:id="65"/>
    </w:p>
    <w:p w14:paraId="5B862E84" w14:textId="77777777" w:rsidR="000406DD" w:rsidRDefault="000406DD" w:rsidP="000406DD">
      <w:pPr>
        <w:pStyle w:val="FirstParagraph"/>
      </w:pPr>
      <w:r>
        <w:t xml:space="preserve">This chapter reports the threshold finding and the quantities that support it, beginning with the recovery-noise bands that set the scale for every later comparison and ending with a check that the threshold survives a change of acceptability rule. All averages are over the </w:t>
      </w:r>
      <m:oMath>
        <m:r>
          <w:rPr>
            <w:rFonts w:ascii="Cambria Math" w:hAnsi="Cambria Math"/>
          </w:rPr>
          <m:t>n</m:t>
        </m:r>
        <m:r>
          <m:rPr>
            <m:sty m:val="p"/>
          </m:rPr>
          <w:rPr>
            <w:rFonts w:ascii="Cambria Math" w:hAnsi="Cambria Math"/>
          </w:rPr>
          <m:t>=</m:t>
        </m:r>
        <m:r>
          <w:rPr>
            <w:rFonts w:ascii="Cambria Math" w:hAnsi="Cambria Math"/>
          </w:rPr>
          <m:t>28</m:t>
        </m:r>
      </m:oMath>
      <w:r>
        <w:t xml:space="preserve"> retained baseline seeds unless stated otherwise.</w:t>
      </w:r>
    </w:p>
    <w:p w14:paraId="45B36847" w14:textId="55D4B35D" w:rsidR="000406DD" w:rsidRDefault="000406DD" w:rsidP="00E426E5">
      <w:pPr>
        <w:pStyle w:val="Heading3"/>
      </w:pPr>
      <w:bookmarkStart w:id="66" w:name="per-effect-recovery-noise-bands"/>
      <w:bookmarkStart w:id="67" w:name="_Toc233640843"/>
      <w:r>
        <w:t>Per-effect recovery-noise bands</w:t>
      </w:r>
      <w:bookmarkEnd w:id="67"/>
    </w:p>
    <w:p w14:paraId="336D5A35" w14:textId="45CB0A41" w:rsidR="000406DD" w:rsidRDefault="000406DD" w:rsidP="008E3453">
      <w:pPr>
        <w:pStyle w:val="FirstParagraph"/>
      </w:pPr>
      <w:r>
        <w:t xml:space="preserve">Table 5 reports the per-effect band, </w:t>
      </w:r>
      <m:oMath>
        <m:sSub>
          <m:sSubPr>
            <m:ctrlPr>
              <w:rPr>
                <w:rFonts w:ascii="Cambria Math" w:hAnsi="Cambria Math"/>
              </w:rPr>
            </m:ctrlPr>
          </m:sSubPr>
          <m:e>
            <m:r>
              <m:rPr>
                <m:nor/>
              </m:rPr>
              <m:t>band</m:t>
            </m:r>
          </m:e>
          <m:sub>
            <m:r>
              <m:rPr>
                <m:nor/>
              </m:rPr>
              <m:t>stat</m:t>
            </m:r>
          </m:sub>
        </m:sSub>
        <m:r>
          <m:rPr>
            <m:sty m:val="p"/>
          </m:rPr>
          <w:rPr>
            <w:rFonts w:ascii="Cambria Math" w:hAnsi="Cambria Math"/>
          </w:rPr>
          <m:t>=</m:t>
        </m:r>
        <m:r>
          <w:rPr>
            <w:rFonts w:ascii="Cambria Math" w:hAnsi="Cambria Math"/>
          </w:rPr>
          <m:t>2</m:t>
        </m:r>
        <m:r>
          <m:rPr>
            <m:sty m:val="p"/>
          </m:rPr>
          <w:rPr>
            <w:rFonts w:ascii="Cambria Math" w:hAnsi="Cambria Math"/>
          </w:rPr>
          <m:t>⋅</m:t>
        </m:r>
        <m:sSubSup>
          <m:sSubSupPr>
            <m:ctrlPr>
              <w:rPr>
                <w:rFonts w:ascii="Cambria Math" w:hAnsi="Cambria Math"/>
              </w:rPr>
            </m:ctrlPr>
          </m:sSubSupPr>
          <m:e>
            <m:r>
              <m:rPr>
                <m:sty m:val="p"/>
              </m:rPr>
              <w:rPr>
                <w:rFonts w:ascii="Cambria Math" w:hAnsi="Cambria Math"/>
              </w:rPr>
              <m:t>SD</m:t>
            </m:r>
          </m:e>
          <m:sub>
            <m:r>
              <m:rPr>
                <m:nor/>
              </m:rPr>
              <m:t>stat</m:t>
            </m:r>
          </m:sub>
          <m:sup>
            <m:r>
              <m:rPr>
                <m:sty m:val="p"/>
              </m:rPr>
              <w:rPr>
                <w:rFonts w:ascii="Cambria Math" w:hAnsi="Cambria Math"/>
              </w:rPr>
              <m:t>(MR=</m:t>
            </m:r>
            <m:r>
              <w:rPr>
                <w:rFonts w:ascii="Cambria Math" w:hAnsi="Cambria Math"/>
              </w:rPr>
              <m:t>0</m:t>
            </m:r>
            <m:r>
              <m:rPr>
                <m:sty m:val="p"/>
              </m:rPr>
              <w:rPr>
                <w:rFonts w:ascii="Cambria Math" w:hAnsi="Cambria Math"/>
              </w:rPr>
              <m:t>)</m:t>
            </m:r>
          </m:sup>
        </m:sSubSup>
      </m:oMath>
      <w:r>
        <w:t xml:space="preserve">, together with the recovery at the 0% condition that defines it. At baseline the dyadic REM recovers every generating coefficient well within its band; inertia and outgoing two-paths sit closest to their edges (at </w:t>
      </w:r>
      <m:oMath>
        <m:r>
          <w:rPr>
            <w:rFonts w:ascii="Cambria Math" w:hAnsi="Cambria Math"/>
          </w:rPr>
          <m:t>0.21</m:t>
        </m:r>
      </m:oMath>
      <w:r>
        <w:t xml:space="preserve"> and </w:t>
      </w:r>
      <m:oMath>
        <m:r>
          <w:rPr>
            <w:rFonts w:ascii="Cambria Math" w:hAnsi="Cambria Math"/>
          </w:rPr>
          <m:t>0.24</m:t>
        </m:r>
      </m:oMath>
      <w:r>
        <w:t xml:space="preserve"> of the band), the other three within </w:t>
      </w:r>
      <m:oMath>
        <m:r>
          <w:rPr>
            <w:rFonts w:ascii="Cambria Math" w:hAnsi="Cambria Math"/>
          </w:rPr>
          <m:t>0.10</m:t>
        </m:r>
      </m:oMath>
      <w:r>
        <w:t xml:space="preserve">. The bands themselves span more than an order of magnitude, from </w:t>
      </w:r>
      <m:oMath>
        <m:r>
          <w:rPr>
            <w:rFonts w:ascii="Cambria Math" w:hAnsi="Cambria Math"/>
          </w:rPr>
          <m:t>0.0031</m:t>
        </m:r>
      </m:oMath>
      <w:r>
        <w:t xml:space="preserve"> for outgoing two-paths to </w:t>
      </w:r>
      <m:oMath>
        <m:r>
          <w:rPr>
            <w:rFonts w:ascii="Cambria Math" w:hAnsi="Cambria Math"/>
          </w:rPr>
          <m:t>0.0798</m:t>
        </m:r>
      </m:oMath>
      <w:r>
        <w:t xml:space="preserve"> for same-group homophily, which is the spread the per-effect calibration is designed to absorb: a single absolute cap wide enough for same-group homophily would be more than twenty times the recovery dispersion of outgoing two-paths.</w:t>
      </w:r>
    </w:p>
    <w:p w14:paraId="49F74A93" w14:textId="664F0285" w:rsidR="008E3453" w:rsidRPr="008E3453" w:rsidRDefault="008E3453" w:rsidP="008E3453">
      <w:pPr>
        <w:pStyle w:val="Caption"/>
        <w:keepNext/>
        <w:rPr>
          <w:b/>
          <w:bCs/>
          <w:i w:val="0"/>
          <w:iCs/>
        </w:rPr>
      </w:pPr>
      <w:bookmarkStart w:id="68" w:name="_Ref232775085"/>
      <w:r w:rsidRPr="008E3453">
        <w:rPr>
          <w:b/>
          <w:bCs/>
          <w:i w:val="0"/>
          <w:iCs/>
        </w:rPr>
        <w:t xml:space="preserve">Table </w:t>
      </w:r>
      <w:r w:rsidRPr="008E3453">
        <w:rPr>
          <w:b/>
          <w:bCs/>
          <w:i w:val="0"/>
          <w:iCs/>
        </w:rPr>
        <w:fldChar w:fldCharType="begin"/>
      </w:r>
      <w:r w:rsidRPr="008E3453">
        <w:rPr>
          <w:b/>
          <w:bCs/>
          <w:i w:val="0"/>
          <w:iCs/>
        </w:rPr>
        <w:instrText xml:space="preserve"> SEQ Table \* ARABIC </w:instrText>
      </w:r>
      <w:r w:rsidRPr="008E3453">
        <w:rPr>
          <w:b/>
          <w:bCs/>
          <w:i w:val="0"/>
          <w:iCs/>
        </w:rPr>
        <w:fldChar w:fldCharType="separate"/>
      </w:r>
      <w:r>
        <w:rPr>
          <w:b/>
          <w:bCs/>
          <w:i w:val="0"/>
          <w:iCs/>
          <w:noProof/>
        </w:rPr>
        <w:t>5</w:t>
      </w:r>
      <w:r w:rsidRPr="008E3453">
        <w:rPr>
          <w:b/>
          <w:bCs/>
          <w:i w:val="0"/>
          <w:iCs/>
        </w:rPr>
        <w:fldChar w:fldCharType="end"/>
      </w:r>
      <w:bookmarkEnd w:id="68"/>
    </w:p>
    <w:p w14:paraId="5714D2E1" w14:textId="0FC8E45A" w:rsidR="008E3453" w:rsidRDefault="008E3453" w:rsidP="008E3453">
      <w:pPr>
        <w:pStyle w:val="BodyText"/>
      </w:pPr>
      <w:r>
        <w:rPr>
          <w:i/>
          <w:iCs/>
        </w:rPr>
        <w:t xml:space="preserve">Per-Effect Recovery-Noise Bands and Baseline Recovery (0% Condition, </w:t>
      </w:r>
      <m:oMath>
        <m:r>
          <w:rPr>
            <w:rFonts w:ascii="Cambria Math" w:hAnsi="Cambria Math"/>
          </w:rPr>
          <m:t>n</m:t>
        </m:r>
        <m:r>
          <m:rPr>
            <m:sty m:val="p"/>
          </m:rPr>
          <w:rPr>
            <w:rFonts w:ascii="Cambria Math" w:hAnsi="Cambria Math"/>
          </w:rPr>
          <m:t>=</m:t>
        </m:r>
        <m:r>
          <w:rPr>
            <w:rFonts w:ascii="Cambria Math" w:hAnsi="Cambria Math"/>
          </w:rPr>
          <m:t>28</m:t>
        </m:r>
      </m:oMath>
      <w:r>
        <w:rPr>
          <w:i/>
          <w:iCs/>
        </w:rPr>
        <w:t>)</w:t>
      </w:r>
    </w:p>
    <w:tbl>
      <w:tblPr>
        <w:tblStyle w:val="GridTable1Light"/>
        <w:tblW w:w="5000" w:type="pct"/>
        <w:jc w:val="center"/>
        <w:tblLayout w:type="fixed"/>
        <w:tblLook w:val="0020" w:firstRow="1" w:lastRow="0" w:firstColumn="0" w:lastColumn="0" w:noHBand="0" w:noVBand="0"/>
      </w:tblPr>
      <w:tblGrid>
        <w:gridCol w:w="1220"/>
        <w:gridCol w:w="1626"/>
        <w:gridCol w:w="1626"/>
        <w:gridCol w:w="1626"/>
        <w:gridCol w:w="1626"/>
        <w:gridCol w:w="1626"/>
      </w:tblGrid>
      <w:tr w:rsidR="000406DD" w14:paraId="1D307B74" w14:textId="77777777" w:rsidTr="00956F70">
        <w:trPr>
          <w:cnfStyle w:val="100000000000" w:firstRow="1" w:lastRow="0" w:firstColumn="0" w:lastColumn="0" w:oddVBand="0" w:evenVBand="0" w:oddHBand="0" w:evenHBand="0" w:firstRowFirstColumn="0" w:firstRowLastColumn="0" w:lastRowFirstColumn="0" w:lastRowLastColumn="0"/>
          <w:jc w:val="center"/>
        </w:trPr>
        <w:tc>
          <w:tcPr>
            <w:tcW w:w="1033" w:type="dxa"/>
          </w:tcPr>
          <w:p w14:paraId="492ABD9B" w14:textId="77777777" w:rsidR="000406DD" w:rsidRDefault="000406DD" w:rsidP="00587953">
            <w:pPr>
              <w:pStyle w:val="Compact"/>
            </w:pPr>
            <w:r>
              <w:t>Effect</w:t>
            </w:r>
          </w:p>
        </w:tc>
        <w:tc>
          <w:tcPr>
            <w:tcW w:w="1377" w:type="dxa"/>
          </w:tcPr>
          <w:p w14:paraId="07B8CF5C" w14:textId="77777777" w:rsidR="000406DD" w:rsidRDefault="000406DD" w:rsidP="00587953">
            <w:pPr>
              <w:pStyle w:val="Compact"/>
              <w:jc w:val="right"/>
            </w:pPr>
            <w:r>
              <w:t xml:space="preserve">True </w:t>
            </w:r>
            <m:oMath>
              <m:r>
                <m:rPr>
                  <m:sty m:val="bi"/>
                </m:rPr>
                <w:rPr>
                  <w:rFonts w:ascii="Cambria Math" w:hAnsi="Cambria Math"/>
                </w:rPr>
                <m:t>β</m:t>
              </m:r>
            </m:oMath>
          </w:p>
        </w:tc>
        <w:tc>
          <w:tcPr>
            <w:tcW w:w="1377" w:type="dxa"/>
          </w:tcPr>
          <w:p w14:paraId="57F7AD0D" w14:textId="77777777" w:rsidR="000406DD" w:rsidRDefault="000406DD" w:rsidP="00587953">
            <w:pPr>
              <w:pStyle w:val="Compact"/>
              <w:jc w:val="right"/>
            </w:pPr>
            <w:r>
              <w:t>Mean estimate</w:t>
            </w:r>
          </w:p>
        </w:tc>
        <w:tc>
          <w:tcPr>
            <w:tcW w:w="1377" w:type="dxa"/>
          </w:tcPr>
          <w:p w14:paraId="53B6A124" w14:textId="77777777" w:rsidR="000406DD" w:rsidRDefault="00000000" w:rsidP="00587953">
            <w:pPr>
              <w:pStyle w:val="Compact"/>
              <w:jc w:val="right"/>
            </w:pPr>
            <m:oMathPara>
              <m:oMath>
                <m:sSup>
                  <m:sSupPr>
                    <m:ctrlPr>
                      <w:rPr>
                        <w:rFonts w:ascii="Cambria Math" w:hAnsi="Cambria Math"/>
                      </w:rPr>
                    </m:ctrlPr>
                  </m:sSupPr>
                  <m:e>
                    <m:r>
                      <m:rPr>
                        <m:sty m:val="b"/>
                      </m:rPr>
                      <w:rPr>
                        <w:rFonts w:ascii="Cambria Math" w:hAnsi="Cambria Math"/>
                      </w:rPr>
                      <m:t>SD</m:t>
                    </m:r>
                  </m:e>
                  <m:sup>
                    <m:r>
                      <m:rPr>
                        <m:sty m:val="b"/>
                      </m:rPr>
                      <w:rPr>
                        <w:rFonts w:ascii="Cambria Math" w:hAnsi="Cambria Math"/>
                      </w:rPr>
                      <m:t>(MR=</m:t>
                    </m:r>
                    <m:r>
                      <m:rPr>
                        <m:sty m:val="bi"/>
                      </m:rPr>
                      <w:rPr>
                        <w:rFonts w:ascii="Cambria Math" w:hAnsi="Cambria Math"/>
                      </w:rPr>
                      <m:t>0</m:t>
                    </m:r>
                    <m:r>
                      <m:rPr>
                        <m:sty m:val="b"/>
                      </m:rPr>
                      <w:rPr>
                        <w:rFonts w:ascii="Cambria Math" w:hAnsi="Cambria Math"/>
                      </w:rPr>
                      <m:t>)</m:t>
                    </m:r>
                  </m:sup>
                </m:sSup>
              </m:oMath>
            </m:oMathPara>
          </w:p>
        </w:tc>
        <w:tc>
          <w:tcPr>
            <w:tcW w:w="1377" w:type="dxa"/>
          </w:tcPr>
          <w:p w14:paraId="2050BE9E" w14:textId="77777777" w:rsidR="000406DD" w:rsidRDefault="000406DD" w:rsidP="00587953">
            <w:pPr>
              <w:pStyle w:val="Compact"/>
              <w:jc w:val="right"/>
            </w:pPr>
            <w:r>
              <w:t>Band (</w:t>
            </w:r>
            <m:oMath>
              <m:r>
                <m:rPr>
                  <m:sty m:val="bi"/>
                </m:rPr>
                <w:rPr>
                  <w:rFonts w:ascii="Cambria Math" w:hAnsi="Cambria Math"/>
                </w:rPr>
                <m:t>2 </m:t>
              </m:r>
              <m:r>
                <m:rPr>
                  <m:sty m:val="b"/>
                </m:rPr>
                <w:rPr>
                  <w:rFonts w:ascii="Cambria Math" w:hAnsi="Cambria Math"/>
                </w:rPr>
                <m:t>SD</m:t>
              </m:r>
            </m:oMath>
            <w:r>
              <w:t>)</w:t>
            </w:r>
          </w:p>
        </w:tc>
        <w:tc>
          <w:tcPr>
            <w:tcW w:w="1377" w:type="dxa"/>
          </w:tcPr>
          <w:p w14:paraId="54AD7363" w14:textId="77777777" w:rsidR="000406DD" w:rsidRDefault="000406DD" w:rsidP="00587953">
            <w:pPr>
              <w:pStyle w:val="Compact"/>
              <w:jc w:val="right"/>
            </w:pPr>
            <m:oMath>
              <m:r>
                <m:rPr>
                  <m:sty m:val="b"/>
                </m:rPr>
                <w:rPr>
                  <w:rFonts w:ascii="Cambria Math" w:hAnsi="Cambria Math"/>
                </w:rPr>
                <m:t>|</m:t>
              </m:r>
              <m:r>
                <m:rPr>
                  <m:nor/>
                </m:rPr>
                <m:t>bias</m:t>
              </m:r>
              <m:r>
                <m:rPr>
                  <m:sty m:val="b"/>
                </m:rPr>
                <w:rPr>
                  <w:rFonts w:ascii="Cambria Math" w:hAnsi="Cambria Math"/>
                </w:rPr>
                <m:t>|</m:t>
              </m:r>
            </m:oMath>
            <w:r>
              <w:t xml:space="preserve"> / </w:t>
            </w:r>
            <w:proofErr w:type="gramStart"/>
            <w:r>
              <w:t>band</w:t>
            </w:r>
            <w:proofErr w:type="gramEnd"/>
          </w:p>
        </w:tc>
      </w:tr>
      <w:tr w:rsidR="000406DD" w14:paraId="465F5F89" w14:textId="77777777" w:rsidTr="00956F70">
        <w:trPr>
          <w:jc w:val="center"/>
        </w:trPr>
        <w:tc>
          <w:tcPr>
            <w:tcW w:w="1033" w:type="dxa"/>
          </w:tcPr>
          <w:p w14:paraId="67FCC67D" w14:textId="77777777" w:rsidR="000406DD" w:rsidRDefault="000406DD" w:rsidP="00587953">
            <w:pPr>
              <w:pStyle w:val="Compact"/>
            </w:pPr>
            <w:r>
              <w:t>Inertia</w:t>
            </w:r>
          </w:p>
        </w:tc>
        <w:tc>
          <w:tcPr>
            <w:tcW w:w="1377" w:type="dxa"/>
          </w:tcPr>
          <w:p w14:paraId="67578FD6" w14:textId="77777777" w:rsidR="000406DD" w:rsidRDefault="000406DD" w:rsidP="00587953">
            <w:pPr>
              <w:pStyle w:val="Compact"/>
              <w:jc w:val="right"/>
            </w:pPr>
            <m:oMathPara>
              <m:oMath>
                <m:r>
                  <w:rPr>
                    <w:rFonts w:ascii="Cambria Math" w:hAnsi="Cambria Math"/>
                  </w:rPr>
                  <m:t>0.02</m:t>
                </m:r>
              </m:oMath>
            </m:oMathPara>
          </w:p>
        </w:tc>
        <w:tc>
          <w:tcPr>
            <w:tcW w:w="1377" w:type="dxa"/>
          </w:tcPr>
          <w:p w14:paraId="2535EA32" w14:textId="77777777" w:rsidR="000406DD" w:rsidRDefault="000406DD" w:rsidP="00587953">
            <w:pPr>
              <w:pStyle w:val="Compact"/>
              <w:jc w:val="right"/>
            </w:pPr>
            <m:oMathPara>
              <m:oMath>
                <m:r>
                  <w:rPr>
                    <w:rFonts w:ascii="Cambria Math" w:hAnsi="Cambria Math"/>
                  </w:rPr>
                  <m:t>0.0171</m:t>
                </m:r>
              </m:oMath>
            </m:oMathPara>
          </w:p>
        </w:tc>
        <w:tc>
          <w:tcPr>
            <w:tcW w:w="1377" w:type="dxa"/>
          </w:tcPr>
          <w:p w14:paraId="206657C2" w14:textId="77777777" w:rsidR="000406DD" w:rsidRDefault="000406DD" w:rsidP="00587953">
            <w:pPr>
              <w:pStyle w:val="Compact"/>
              <w:jc w:val="right"/>
            </w:pPr>
            <m:oMathPara>
              <m:oMath>
                <m:r>
                  <w:rPr>
                    <w:rFonts w:ascii="Cambria Math" w:hAnsi="Cambria Math"/>
                  </w:rPr>
                  <m:t>0.0068</m:t>
                </m:r>
              </m:oMath>
            </m:oMathPara>
          </w:p>
        </w:tc>
        <w:tc>
          <w:tcPr>
            <w:tcW w:w="1377" w:type="dxa"/>
          </w:tcPr>
          <w:p w14:paraId="11416DEB" w14:textId="77777777" w:rsidR="000406DD" w:rsidRDefault="000406DD" w:rsidP="00587953">
            <w:pPr>
              <w:pStyle w:val="Compact"/>
              <w:jc w:val="right"/>
            </w:pPr>
            <m:oMathPara>
              <m:oMath>
                <m:r>
                  <w:rPr>
                    <w:rFonts w:ascii="Cambria Math" w:hAnsi="Cambria Math"/>
                  </w:rPr>
                  <m:t>0.0135</m:t>
                </m:r>
              </m:oMath>
            </m:oMathPara>
          </w:p>
        </w:tc>
        <w:tc>
          <w:tcPr>
            <w:tcW w:w="1377" w:type="dxa"/>
          </w:tcPr>
          <w:p w14:paraId="16228BF1" w14:textId="77777777" w:rsidR="000406DD" w:rsidRDefault="000406DD" w:rsidP="00587953">
            <w:pPr>
              <w:pStyle w:val="Compact"/>
              <w:jc w:val="right"/>
            </w:pPr>
            <m:oMathPara>
              <m:oMath>
                <m:r>
                  <w:rPr>
                    <w:rFonts w:ascii="Cambria Math" w:hAnsi="Cambria Math"/>
                  </w:rPr>
                  <m:t>0.21</m:t>
                </m:r>
              </m:oMath>
            </m:oMathPara>
          </w:p>
        </w:tc>
      </w:tr>
      <w:tr w:rsidR="000406DD" w14:paraId="60F2CA01" w14:textId="77777777" w:rsidTr="00956F70">
        <w:trPr>
          <w:jc w:val="center"/>
        </w:trPr>
        <w:tc>
          <w:tcPr>
            <w:tcW w:w="1033" w:type="dxa"/>
          </w:tcPr>
          <w:p w14:paraId="53E0F372" w14:textId="77777777" w:rsidR="000406DD" w:rsidRDefault="000406DD" w:rsidP="00587953">
            <w:pPr>
              <w:pStyle w:val="Compact"/>
            </w:pPr>
            <w:r>
              <w:t>Reciprocity</w:t>
            </w:r>
          </w:p>
        </w:tc>
        <w:tc>
          <w:tcPr>
            <w:tcW w:w="1377" w:type="dxa"/>
          </w:tcPr>
          <w:p w14:paraId="77E82CBC" w14:textId="77777777" w:rsidR="000406DD" w:rsidRDefault="000406DD" w:rsidP="00587953">
            <w:pPr>
              <w:pStyle w:val="Compact"/>
              <w:jc w:val="right"/>
            </w:pPr>
            <m:oMathPara>
              <m:oMath>
                <m:r>
                  <w:rPr>
                    <w:rFonts w:ascii="Cambria Math" w:hAnsi="Cambria Math"/>
                  </w:rPr>
                  <m:t>0.10</m:t>
                </m:r>
              </m:oMath>
            </m:oMathPara>
          </w:p>
        </w:tc>
        <w:tc>
          <w:tcPr>
            <w:tcW w:w="1377" w:type="dxa"/>
          </w:tcPr>
          <w:p w14:paraId="21091DB6" w14:textId="77777777" w:rsidR="000406DD" w:rsidRDefault="000406DD" w:rsidP="00587953">
            <w:pPr>
              <w:pStyle w:val="Compact"/>
              <w:jc w:val="right"/>
            </w:pPr>
            <m:oMathPara>
              <m:oMath>
                <m:r>
                  <w:rPr>
                    <w:rFonts w:ascii="Cambria Math" w:hAnsi="Cambria Math"/>
                  </w:rPr>
                  <m:t>0.1014</m:t>
                </m:r>
              </m:oMath>
            </m:oMathPara>
          </w:p>
        </w:tc>
        <w:tc>
          <w:tcPr>
            <w:tcW w:w="1377" w:type="dxa"/>
          </w:tcPr>
          <w:p w14:paraId="75C59ADE" w14:textId="77777777" w:rsidR="000406DD" w:rsidRDefault="000406DD" w:rsidP="00587953">
            <w:pPr>
              <w:pStyle w:val="Compact"/>
              <w:jc w:val="right"/>
            </w:pPr>
            <m:oMathPara>
              <m:oMath>
                <m:r>
                  <w:rPr>
                    <w:rFonts w:ascii="Cambria Math" w:hAnsi="Cambria Math"/>
                  </w:rPr>
                  <m:t>0.0088</m:t>
                </m:r>
              </m:oMath>
            </m:oMathPara>
          </w:p>
        </w:tc>
        <w:tc>
          <w:tcPr>
            <w:tcW w:w="1377" w:type="dxa"/>
          </w:tcPr>
          <w:p w14:paraId="38D328FD" w14:textId="77777777" w:rsidR="000406DD" w:rsidRDefault="000406DD" w:rsidP="00587953">
            <w:pPr>
              <w:pStyle w:val="Compact"/>
              <w:jc w:val="right"/>
            </w:pPr>
            <m:oMathPara>
              <m:oMath>
                <m:r>
                  <w:rPr>
                    <w:rFonts w:ascii="Cambria Math" w:hAnsi="Cambria Math"/>
                  </w:rPr>
                  <m:t>0.0175</m:t>
                </m:r>
              </m:oMath>
            </m:oMathPara>
          </w:p>
        </w:tc>
        <w:tc>
          <w:tcPr>
            <w:tcW w:w="1377" w:type="dxa"/>
          </w:tcPr>
          <w:p w14:paraId="17D852F2" w14:textId="77777777" w:rsidR="000406DD" w:rsidRDefault="000406DD" w:rsidP="00587953">
            <w:pPr>
              <w:pStyle w:val="Compact"/>
              <w:jc w:val="right"/>
            </w:pPr>
            <m:oMathPara>
              <m:oMath>
                <m:r>
                  <w:rPr>
                    <w:rFonts w:ascii="Cambria Math" w:hAnsi="Cambria Math"/>
                  </w:rPr>
                  <m:t>0.08</m:t>
                </m:r>
              </m:oMath>
            </m:oMathPara>
          </w:p>
        </w:tc>
      </w:tr>
      <w:tr w:rsidR="000406DD" w14:paraId="17254EDD" w14:textId="77777777" w:rsidTr="00956F70">
        <w:trPr>
          <w:jc w:val="center"/>
        </w:trPr>
        <w:tc>
          <w:tcPr>
            <w:tcW w:w="1033" w:type="dxa"/>
          </w:tcPr>
          <w:p w14:paraId="5D3C7C20" w14:textId="77777777" w:rsidR="000406DD" w:rsidRDefault="000406DD" w:rsidP="00587953">
            <w:pPr>
              <w:pStyle w:val="Compact"/>
            </w:pPr>
            <w:r>
              <w:t>OTP</w:t>
            </w:r>
          </w:p>
        </w:tc>
        <w:tc>
          <w:tcPr>
            <w:tcW w:w="1377" w:type="dxa"/>
          </w:tcPr>
          <w:p w14:paraId="7472C9D0" w14:textId="77777777" w:rsidR="000406DD" w:rsidRDefault="000406DD" w:rsidP="00587953">
            <w:pPr>
              <w:pStyle w:val="Compact"/>
              <w:jc w:val="right"/>
            </w:pPr>
            <m:oMathPara>
              <m:oMath>
                <m:r>
                  <w:rPr>
                    <w:rFonts w:ascii="Cambria Math" w:hAnsi="Cambria Math"/>
                  </w:rPr>
                  <m:t>0.03</m:t>
                </m:r>
              </m:oMath>
            </m:oMathPara>
          </w:p>
        </w:tc>
        <w:tc>
          <w:tcPr>
            <w:tcW w:w="1377" w:type="dxa"/>
          </w:tcPr>
          <w:p w14:paraId="72B529DE" w14:textId="77777777" w:rsidR="000406DD" w:rsidRDefault="000406DD" w:rsidP="00587953">
            <w:pPr>
              <w:pStyle w:val="Compact"/>
              <w:jc w:val="right"/>
            </w:pPr>
            <m:oMathPara>
              <m:oMath>
                <m:r>
                  <w:rPr>
                    <w:rFonts w:ascii="Cambria Math" w:hAnsi="Cambria Math"/>
                  </w:rPr>
                  <m:t>0.0307</m:t>
                </m:r>
              </m:oMath>
            </m:oMathPara>
          </w:p>
        </w:tc>
        <w:tc>
          <w:tcPr>
            <w:tcW w:w="1377" w:type="dxa"/>
          </w:tcPr>
          <w:p w14:paraId="2B142CD9" w14:textId="77777777" w:rsidR="000406DD" w:rsidRDefault="000406DD" w:rsidP="00587953">
            <w:pPr>
              <w:pStyle w:val="Compact"/>
              <w:jc w:val="right"/>
            </w:pPr>
            <m:oMathPara>
              <m:oMath>
                <m:r>
                  <w:rPr>
                    <w:rFonts w:ascii="Cambria Math" w:hAnsi="Cambria Math"/>
                  </w:rPr>
                  <m:t>0.0015</m:t>
                </m:r>
              </m:oMath>
            </m:oMathPara>
          </w:p>
        </w:tc>
        <w:tc>
          <w:tcPr>
            <w:tcW w:w="1377" w:type="dxa"/>
          </w:tcPr>
          <w:p w14:paraId="40095CC5" w14:textId="77777777" w:rsidR="000406DD" w:rsidRDefault="000406DD" w:rsidP="00587953">
            <w:pPr>
              <w:pStyle w:val="Compact"/>
              <w:jc w:val="right"/>
            </w:pPr>
            <m:oMathPara>
              <m:oMath>
                <m:r>
                  <w:rPr>
                    <w:rFonts w:ascii="Cambria Math" w:hAnsi="Cambria Math"/>
                  </w:rPr>
                  <m:t>0.0031</m:t>
                </m:r>
              </m:oMath>
            </m:oMathPara>
          </w:p>
        </w:tc>
        <w:tc>
          <w:tcPr>
            <w:tcW w:w="1377" w:type="dxa"/>
          </w:tcPr>
          <w:p w14:paraId="4238C689" w14:textId="77777777" w:rsidR="000406DD" w:rsidRDefault="000406DD" w:rsidP="00587953">
            <w:pPr>
              <w:pStyle w:val="Compact"/>
              <w:jc w:val="right"/>
            </w:pPr>
            <m:oMathPara>
              <m:oMath>
                <m:r>
                  <w:rPr>
                    <w:rFonts w:ascii="Cambria Math" w:hAnsi="Cambria Math"/>
                  </w:rPr>
                  <m:t>0.24</m:t>
                </m:r>
              </m:oMath>
            </m:oMathPara>
          </w:p>
        </w:tc>
      </w:tr>
      <w:tr w:rsidR="000406DD" w14:paraId="1EF417F9" w14:textId="77777777" w:rsidTr="00956F70">
        <w:trPr>
          <w:jc w:val="center"/>
        </w:trPr>
        <w:tc>
          <w:tcPr>
            <w:tcW w:w="1033" w:type="dxa"/>
          </w:tcPr>
          <w:p w14:paraId="0D4F26A4" w14:textId="77777777" w:rsidR="000406DD" w:rsidRDefault="000406DD" w:rsidP="00587953">
            <w:pPr>
              <w:pStyle w:val="Compact"/>
            </w:pPr>
            <w:r>
              <w:t>Difference (active)</w:t>
            </w:r>
          </w:p>
        </w:tc>
        <w:tc>
          <w:tcPr>
            <w:tcW w:w="1377" w:type="dxa"/>
          </w:tcPr>
          <w:p w14:paraId="308A1774" w14:textId="77777777" w:rsidR="000406DD" w:rsidRDefault="000406DD" w:rsidP="00587953">
            <w:pPr>
              <w:pStyle w:val="Compact"/>
              <w:jc w:val="right"/>
            </w:pPr>
            <m:oMathPara>
              <m:oMath>
                <m:r>
                  <w:rPr>
                    <w:rFonts w:ascii="Cambria Math" w:hAnsi="Cambria Math"/>
                  </w:rPr>
                  <m:t>0.15</m:t>
                </m:r>
              </m:oMath>
            </m:oMathPara>
          </w:p>
        </w:tc>
        <w:tc>
          <w:tcPr>
            <w:tcW w:w="1377" w:type="dxa"/>
          </w:tcPr>
          <w:p w14:paraId="3CB2879F" w14:textId="77777777" w:rsidR="000406DD" w:rsidRDefault="000406DD" w:rsidP="00587953">
            <w:pPr>
              <w:pStyle w:val="Compact"/>
              <w:jc w:val="right"/>
            </w:pPr>
            <m:oMathPara>
              <m:oMath>
                <m:r>
                  <w:rPr>
                    <w:rFonts w:ascii="Cambria Math" w:hAnsi="Cambria Math"/>
                  </w:rPr>
                  <m:t>0.1487</m:t>
                </m:r>
              </m:oMath>
            </m:oMathPara>
          </w:p>
        </w:tc>
        <w:tc>
          <w:tcPr>
            <w:tcW w:w="1377" w:type="dxa"/>
          </w:tcPr>
          <w:p w14:paraId="2809A75E" w14:textId="77777777" w:rsidR="000406DD" w:rsidRDefault="000406DD" w:rsidP="00587953">
            <w:pPr>
              <w:pStyle w:val="Compact"/>
              <w:jc w:val="right"/>
            </w:pPr>
            <m:oMathPara>
              <m:oMath>
                <m:r>
                  <w:rPr>
                    <w:rFonts w:ascii="Cambria Math" w:hAnsi="Cambria Math"/>
                  </w:rPr>
                  <m:t>0.0318</m:t>
                </m:r>
              </m:oMath>
            </m:oMathPara>
          </w:p>
        </w:tc>
        <w:tc>
          <w:tcPr>
            <w:tcW w:w="1377" w:type="dxa"/>
          </w:tcPr>
          <w:p w14:paraId="15669B5D" w14:textId="77777777" w:rsidR="000406DD" w:rsidRDefault="000406DD" w:rsidP="00587953">
            <w:pPr>
              <w:pStyle w:val="Compact"/>
              <w:jc w:val="right"/>
            </w:pPr>
            <m:oMathPara>
              <m:oMath>
                <m:r>
                  <w:rPr>
                    <w:rFonts w:ascii="Cambria Math" w:hAnsi="Cambria Math"/>
                  </w:rPr>
                  <m:t>0.0636</m:t>
                </m:r>
              </m:oMath>
            </m:oMathPara>
          </w:p>
        </w:tc>
        <w:tc>
          <w:tcPr>
            <w:tcW w:w="1377" w:type="dxa"/>
          </w:tcPr>
          <w:p w14:paraId="1C630CF0" w14:textId="77777777" w:rsidR="000406DD" w:rsidRDefault="000406DD" w:rsidP="00587953">
            <w:pPr>
              <w:pStyle w:val="Compact"/>
              <w:jc w:val="right"/>
            </w:pPr>
            <m:oMathPara>
              <m:oMath>
                <m:r>
                  <w:rPr>
                    <w:rFonts w:ascii="Cambria Math" w:hAnsi="Cambria Math"/>
                  </w:rPr>
                  <m:t>0.02</m:t>
                </m:r>
              </m:oMath>
            </m:oMathPara>
          </w:p>
        </w:tc>
      </w:tr>
      <w:tr w:rsidR="000406DD" w14:paraId="7C283896" w14:textId="77777777" w:rsidTr="00956F70">
        <w:trPr>
          <w:jc w:val="center"/>
        </w:trPr>
        <w:tc>
          <w:tcPr>
            <w:tcW w:w="1033" w:type="dxa"/>
          </w:tcPr>
          <w:p w14:paraId="15487B8F" w14:textId="77777777" w:rsidR="000406DD" w:rsidRDefault="000406DD" w:rsidP="00587953">
            <w:pPr>
              <w:pStyle w:val="Compact"/>
            </w:pPr>
            <w:r>
              <w:t>Same (group)</w:t>
            </w:r>
          </w:p>
        </w:tc>
        <w:tc>
          <w:tcPr>
            <w:tcW w:w="1377" w:type="dxa"/>
          </w:tcPr>
          <w:p w14:paraId="18B8D719" w14:textId="77777777" w:rsidR="000406DD" w:rsidRDefault="000406DD" w:rsidP="00587953">
            <w:pPr>
              <w:pStyle w:val="Compact"/>
              <w:jc w:val="right"/>
            </w:pPr>
            <m:oMathPara>
              <m:oMath>
                <m:r>
                  <w:rPr>
                    <w:rFonts w:ascii="Cambria Math" w:hAnsi="Cambria Math"/>
                  </w:rPr>
                  <m:t>0.40</m:t>
                </m:r>
              </m:oMath>
            </m:oMathPara>
          </w:p>
        </w:tc>
        <w:tc>
          <w:tcPr>
            <w:tcW w:w="1377" w:type="dxa"/>
          </w:tcPr>
          <w:p w14:paraId="06208BC3" w14:textId="77777777" w:rsidR="000406DD" w:rsidRDefault="000406DD" w:rsidP="00587953">
            <w:pPr>
              <w:pStyle w:val="Compact"/>
              <w:jc w:val="right"/>
            </w:pPr>
            <m:oMathPara>
              <m:oMath>
                <m:r>
                  <w:rPr>
                    <w:rFonts w:ascii="Cambria Math" w:hAnsi="Cambria Math"/>
                  </w:rPr>
                  <m:t>0.3927</m:t>
                </m:r>
              </m:oMath>
            </m:oMathPara>
          </w:p>
        </w:tc>
        <w:tc>
          <w:tcPr>
            <w:tcW w:w="1377" w:type="dxa"/>
          </w:tcPr>
          <w:p w14:paraId="299E7BBA" w14:textId="77777777" w:rsidR="000406DD" w:rsidRDefault="000406DD" w:rsidP="00587953">
            <w:pPr>
              <w:pStyle w:val="Compact"/>
              <w:jc w:val="right"/>
            </w:pPr>
            <m:oMathPara>
              <m:oMath>
                <m:r>
                  <w:rPr>
                    <w:rFonts w:ascii="Cambria Math" w:hAnsi="Cambria Math"/>
                  </w:rPr>
                  <m:t>0.0399</m:t>
                </m:r>
              </m:oMath>
            </m:oMathPara>
          </w:p>
        </w:tc>
        <w:tc>
          <w:tcPr>
            <w:tcW w:w="1377" w:type="dxa"/>
          </w:tcPr>
          <w:p w14:paraId="3FFD57C7" w14:textId="77777777" w:rsidR="000406DD" w:rsidRDefault="000406DD" w:rsidP="00587953">
            <w:pPr>
              <w:pStyle w:val="Compact"/>
              <w:jc w:val="right"/>
            </w:pPr>
            <m:oMathPara>
              <m:oMath>
                <m:r>
                  <w:rPr>
                    <w:rFonts w:ascii="Cambria Math" w:hAnsi="Cambria Math"/>
                  </w:rPr>
                  <m:t>0.0798</m:t>
                </m:r>
              </m:oMath>
            </m:oMathPara>
          </w:p>
        </w:tc>
        <w:tc>
          <w:tcPr>
            <w:tcW w:w="1377" w:type="dxa"/>
          </w:tcPr>
          <w:p w14:paraId="751D3286" w14:textId="77777777" w:rsidR="000406DD" w:rsidRDefault="000406DD" w:rsidP="00587953">
            <w:pPr>
              <w:pStyle w:val="Compact"/>
              <w:jc w:val="right"/>
            </w:pPr>
            <m:oMathPara>
              <m:oMath>
                <m:r>
                  <w:rPr>
                    <w:rFonts w:ascii="Cambria Math" w:hAnsi="Cambria Math"/>
                  </w:rPr>
                  <m:t>0.09</m:t>
                </m:r>
              </m:oMath>
            </m:oMathPara>
          </w:p>
        </w:tc>
      </w:tr>
    </w:tbl>
    <w:p w14:paraId="2E0FC0B7" w14:textId="77777777" w:rsidR="000406DD" w:rsidRDefault="000406DD" w:rsidP="000406DD">
      <w:pPr>
        <w:pStyle w:val="BodyText"/>
      </w:pPr>
      <w:r>
        <w:rPr>
          <w:i/>
          <w:iCs/>
        </w:rPr>
        <w:t>Note.</w:t>
      </w:r>
      <w:r>
        <w:t xml:space="preserve"> The band is twice the across-seed sample standard deviation of the recovered REM coefficient at the 0% condition (Section 2.7.1). The final column is the absolute mean bias at the 0% condition expressed as a fraction of the band; values below </w:t>
      </w:r>
      <m:oMath>
        <m:r>
          <w:rPr>
            <w:rFonts w:ascii="Cambria Math" w:hAnsi="Cambria Math"/>
          </w:rPr>
          <m:t>1</m:t>
        </m:r>
      </m:oMath>
      <w:r>
        <w:t xml:space="preserve"> are inside the band.</w:t>
      </w:r>
    </w:p>
    <w:p w14:paraId="2D60E773" w14:textId="10F522BB" w:rsidR="000406DD" w:rsidRDefault="000406DD" w:rsidP="00E426E5">
      <w:pPr>
        <w:pStyle w:val="Heading3"/>
      </w:pPr>
      <w:bookmarkStart w:id="69" w:name="_Ref232774710"/>
      <w:bookmarkStart w:id="70" w:name="the-headline-threshold"/>
      <w:bookmarkStart w:id="71" w:name="_Toc233640844"/>
      <w:bookmarkEnd w:id="66"/>
      <w:r>
        <w:t>The headline threshold</w:t>
      </w:r>
      <w:bookmarkEnd w:id="69"/>
      <w:bookmarkEnd w:id="71"/>
    </w:p>
    <w:p w14:paraId="799BFEBD" w14:textId="77777777" w:rsidR="000406DD" w:rsidRDefault="000406DD" w:rsidP="000406DD">
      <w:pPr>
        <w:pStyle w:val="FirstParagraph"/>
      </w:pPr>
      <w:r>
        <w:t xml:space="preserve">Figure 1 shows the normalised bias-to-band ratio for each of the five tie-oriented effects across the multi-receiver grid; a ratio of </w:t>
      </w:r>
      <m:oMath>
        <m:r>
          <w:rPr>
            <w:rFonts w:ascii="Cambria Math" w:hAnsi="Cambria Math"/>
          </w:rPr>
          <m:t>1</m:t>
        </m:r>
      </m:oMath>
      <w:r>
        <w:t xml:space="preserve"> is the band edge, and anything above it is out of band.</w:t>
      </w:r>
    </w:p>
    <w:p w14:paraId="44C757BD" w14:textId="4A812E04" w:rsidR="000406DD" w:rsidRDefault="000406DD" w:rsidP="000406DD">
      <w:pPr>
        <w:pStyle w:val="BodyText"/>
      </w:pPr>
      <w:r>
        <w:t xml:space="preserve">The headline threshold is defined as the largest multi-receiver proportion on the rule-defining grid at which all five tie-oriented effects stay within their per-effect bands (Section </w:t>
      </w:r>
      <w:r w:rsidR="0040093F">
        <w:fldChar w:fldCharType="begin"/>
      </w:r>
      <w:r w:rsidR="0040093F">
        <w:instrText xml:space="preserve"> REF _Ref232774662 \r \h </w:instrText>
      </w:r>
      <w:r w:rsidR="0040093F">
        <w:fldChar w:fldCharType="separate"/>
      </w:r>
      <w:r w:rsidR="0040093F">
        <w:t>2.7</w:t>
      </w:r>
      <w:r w:rsidR="0040093F">
        <w:fldChar w:fldCharType="end"/>
      </w:r>
      <w:r>
        <w:t xml:space="preserve">). On the grid </w:t>
      </w:r>
      <m:oMath>
        <m:r>
          <m:rPr>
            <m:sty m:val="p"/>
          </m:rPr>
          <w:rPr>
            <w:rFonts w:ascii="Cambria Math" w:hAnsi="Cambria Math"/>
          </w:rPr>
          <m:t>{</m:t>
        </m:r>
        <m:r>
          <w:rPr>
            <w:rFonts w:ascii="Cambria Math" w:hAnsi="Cambria Math"/>
          </w:rPr>
          <m:t>0</m:t>
        </m:r>
        <m:r>
          <m:rPr>
            <m:sty m:val="p"/>
          </m:rPr>
          <w:rPr>
            <w:rFonts w:ascii="Cambria Math" w:hAnsi="Cambria Math"/>
          </w:rPr>
          <m:t>,</m:t>
        </m:r>
        <m:r>
          <w:rPr>
            <w:rFonts w:ascii="Cambria Math" w:hAnsi="Cambria Math"/>
          </w:rPr>
          <m:t>2</m:t>
        </m:r>
        <m:r>
          <m:rPr>
            <m:sty m:val="p"/>
          </m:rPr>
          <w:rPr>
            <w:rFonts w:ascii="Cambria Math" w:hAnsi="Cambria Math"/>
          </w:rPr>
          <m:t>,</m:t>
        </m:r>
        <m:r>
          <w:rPr>
            <w:rFonts w:ascii="Cambria Math" w:hAnsi="Cambria Math"/>
          </w:rPr>
          <m:t>8</m:t>
        </m:r>
        <m:r>
          <m:rPr>
            <m:sty m:val="p"/>
          </m:rPr>
          <w:rPr>
            <w:rFonts w:ascii="Cambria Math" w:hAnsi="Cambria Math"/>
          </w:rPr>
          <m:t>,</m:t>
        </m:r>
        <m:r>
          <w:rPr>
            <w:rFonts w:ascii="Cambria Math" w:hAnsi="Cambria Math"/>
          </w:rPr>
          <m:t>16</m:t>
        </m:r>
        <m:r>
          <m:rPr>
            <m:sty m:val="p"/>
          </m:rPr>
          <w:rPr>
            <w:rFonts w:ascii="Cambria Math" w:hAnsi="Cambria Math"/>
          </w:rPr>
          <m:t>,</m:t>
        </m:r>
        <m:r>
          <w:rPr>
            <w:rFonts w:ascii="Cambria Math" w:hAnsi="Cambria Math"/>
          </w:rPr>
          <m:t>24</m:t>
        </m:r>
        <m:r>
          <m:rPr>
            <m:sty m:val="p"/>
          </m:rPr>
          <w:rPr>
            <w:rFonts w:ascii="Cambria Math" w:hAnsi="Cambria Math"/>
          </w:rPr>
          <m:t>}%</m:t>
        </m:r>
      </m:oMath>
      <w:r>
        <w:t xml:space="preserve">, every effect stays within its band through the 8% condition, while at least one effect (outgoing two-paths) breaches its band at 16%. The headline threshold is therefore 8%: dyadic transformation with a tie-breaking timestamp noise recovers the generating parameters up to a multi-receiver proportion of </w:t>
      </w:r>
      <w:proofErr w:type="gramStart"/>
      <w:r>
        <w:t>8%, and</w:t>
      </w:r>
      <w:proofErr w:type="gramEnd"/>
      <w:r>
        <w:t xml:space="preserve"> is no longer reliable by 16%.</w:t>
      </w:r>
    </w:p>
    <w:p w14:paraId="3B92415B" w14:textId="77777777" w:rsidR="008E3453" w:rsidRDefault="008E3453" w:rsidP="008E3453">
      <w:pPr>
        <w:pStyle w:val="BodyText"/>
        <w:rPr>
          <w:b/>
          <w:bCs/>
        </w:rPr>
      </w:pPr>
      <w:r w:rsidRPr="008E3453">
        <w:rPr>
          <w:b/>
          <w:bCs/>
        </w:rPr>
        <w:t xml:space="preserve">Figure </w:t>
      </w:r>
      <w:r w:rsidRPr="008E3453">
        <w:rPr>
          <w:b/>
          <w:bCs/>
        </w:rPr>
        <w:fldChar w:fldCharType="begin"/>
      </w:r>
      <w:r w:rsidRPr="008E3453">
        <w:rPr>
          <w:b/>
          <w:bCs/>
        </w:rPr>
        <w:instrText xml:space="preserve"> SEQ Figure \* ARABIC </w:instrText>
      </w:r>
      <w:r w:rsidRPr="008E3453">
        <w:rPr>
          <w:b/>
          <w:bCs/>
        </w:rPr>
        <w:fldChar w:fldCharType="separate"/>
      </w:r>
      <w:r w:rsidRPr="008E3453">
        <w:rPr>
          <w:b/>
          <w:bCs/>
          <w:noProof/>
        </w:rPr>
        <w:t>1</w:t>
      </w:r>
      <w:r w:rsidRPr="008E3453">
        <w:rPr>
          <w:b/>
          <w:bCs/>
        </w:rPr>
        <w:fldChar w:fldCharType="end"/>
      </w:r>
    </w:p>
    <w:p w14:paraId="0C58AD69" w14:textId="0F569E7B" w:rsidR="008E3453" w:rsidRPr="008E3453" w:rsidRDefault="008E3453" w:rsidP="008E3453">
      <w:pPr>
        <w:pStyle w:val="BodyText"/>
      </w:pPr>
      <w:r w:rsidRPr="008E3453">
        <w:rPr>
          <w:i/>
          <w:iCs/>
        </w:rPr>
        <w:t>Normalised Threshold View: Bias-to-Band Ratio by Multi-Receiver Proportion (</w:t>
      </w:r>
      <m:oMath>
        <m:r>
          <w:rPr>
            <w:rFonts w:ascii="Cambria Math" w:hAnsi="Cambria Math"/>
          </w:rPr>
          <m:t>n</m:t>
        </m:r>
        <m:r>
          <m:rPr>
            <m:sty m:val="p"/>
          </m:rPr>
          <w:rPr>
            <w:rFonts w:ascii="Cambria Math" w:hAnsi="Cambria Math"/>
          </w:rPr>
          <m:t>=</m:t>
        </m:r>
        <m:r>
          <w:rPr>
            <w:rFonts w:ascii="Cambria Math" w:hAnsi="Cambria Math"/>
          </w:rPr>
          <m:t>28</m:t>
        </m:r>
      </m:oMath>
      <w:r w:rsidRPr="008E3453">
        <w:rPr>
          <w:i/>
          <w:iCs/>
        </w:rPr>
        <w:t xml:space="preserve"> Seeds)</w:t>
      </w:r>
    </w:p>
    <w:p w14:paraId="2844A33A" w14:textId="77777777" w:rsidR="000406DD" w:rsidRDefault="000406DD" w:rsidP="00956F70">
      <w:pPr>
        <w:pStyle w:val="BodyText"/>
        <w:jc w:val="center"/>
      </w:pPr>
      <w:r>
        <w:rPr>
          <w:noProof/>
        </w:rPr>
        <w:drawing>
          <wp:inline distT="0" distB="0" distL="0" distR="0" wp14:anchorId="6961B010" wp14:editId="0FEE4779">
            <wp:extent cx="5943600" cy="3566160"/>
            <wp:effectExtent l="19050" t="19050" r="19050" b="15240"/>
            <wp:docPr id="24" name="Picture"/>
            <wp:cNvGraphicFramePr/>
            <a:graphic xmlns:a="http://schemas.openxmlformats.org/drawingml/2006/main">
              <a:graphicData uri="http://schemas.openxmlformats.org/drawingml/2006/picture">
                <pic:pic xmlns:pic="http://schemas.openxmlformats.org/drawingml/2006/picture">
                  <pic:nvPicPr>
                    <pic:cNvPr id="25" name="Picture" descr="figures/cross_dataset_normalised_threshold_v02.png"/>
                    <pic:cNvPicPr>
                      <a:picLocks noChangeAspect="1" noChangeArrowheads="1"/>
                    </pic:cNvPicPr>
                  </pic:nvPicPr>
                  <pic:blipFill>
                    <a:blip r:embed="rId10"/>
                    <a:stretch>
                      <a:fillRect/>
                    </a:stretch>
                  </pic:blipFill>
                  <pic:spPr bwMode="auto">
                    <a:xfrm>
                      <a:off x="0" y="0"/>
                      <a:ext cx="5943600" cy="3566160"/>
                    </a:xfrm>
                    <a:prstGeom prst="rect">
                      <a:avLst/>
                    </a:prstGeom>
                    <a:noFill/>
                    <a:ln w="9525">
                      <a:solidFill>
                        <a:schemeClr val="tx1"/>
                      </a:solidFill>
                      <a:headEnd/>
                      <a:tailEnd/>
                    </a:ln>
                  </pic:spPr>
                </pic:pic>
              </a:graphicData>
            </a:graphic>
          </wp:inline>
        </w:drawing>
      </w:r>
    </w:p>
    <w:p w14:paraId="6C36C0B5" w14:textId="234D0087" w:rsidR="000406DD" w:rsidRDefault="000406DD" w:rsidP="000406DD">
      <w:pPr>
        <w:pStyle w:val="BodyText"/>
      </w:pPr>
      <w:r>
        <w:rPr>
          <w:i/>
          <w:iCs/>
        </w:rPr>
        <w:t>Note.</w:t>
      </w:r>
      <w:r>
        <w:t xml:space="preserve"> Points are dataset-averaged absolute biases divided by the per-effect band of </w:t>
      </w:r>
      <w:r w:rsidR="00726FDF" w:rsidRPr="00726FDF">
        <w:fldChar w:fldCharType="begin"/>
      </w:r>
      <w:r w:rsidR="00726FDF" w:rsidRPr="00726FDF">
        <w:instrText xml:space="preserve"> REF _Ref232775085 \h  \* MERGEFORMAT </w:instrText>
      </w:r>
      <w:r w:rsidR="00726FDF" w:rsidRPr="00726FDF">
        <w:fldChar w:fldCharType="separate"/>
      </w:r>
      <w:r w:rsidR="00726FDF" w:rsidRPr="00726FDF">
        <w:t xml:space="preserve">Table </w:t>
      </w:r>
      <w:r w:rsidR="00726FDF" w:rsidRPr="00726FDF">
        <w:rPr>
          <w:noProof/>
        </w:rPr>
        <w:t>5</w:t>
      </w:r>
      <w:r w:rsidR="00726FDF" w:rsidRPr="00726FDF">
        <w:fldChar w:fldCharType="end"/>
      </w:r>
      <w:r>
        <w:t xml:space="preserve">, plotted for each of the five tie-oriented effects. The dashed horizontal line is the band edge; the shaded region above it is out of band; the dotted vertical line marks the 8% threshold. Error bars are </w:t>
      </w:r>
      <m:oMath>
        <m:r>
          <m:rPr>
            <m:sty m:val="p"/>
          </m:rPr>
          <w:rPr>
            <w:rFonts w:ascii="Cambria Math" w:hAnsi="Cambria Math"/>
          </w:rPr>
          <m:t>±</m:t>
        </m:r>
        <m:r>
          <w:rPr>
            <w:rFonts w:ascii="Cambria Math" w:hAnsi="Cambria Math"/>
          </w:rPr>
          <m:t>2</m:t>
        </m:r>
      </m:oMath>
      <w:r>
        <w:t xml:space="preserve"> Monte Carlo standard errors divided by the band. The 12% condition is an off-grid descriptive cell (Section 2.7.2) and does not enter the threshold calculation.</w:t>
      </w:r>
    </w:p>
    <w:p w14:paraId="0B8BDB64" w14:textId="7AECC9EB" w:rsidR="000406DD" w:rsidRDefault="000406DD" w:rsidP="00E426E5">
      <w:pPr>
        <w:pStyle w:val="Heading3"/>
      </w:pPr>
      <w:bookmarkStart w:id="72" w:name="_Ref232774699"/>
      <w:bookmarkStart w:id="73" w:name="_Ref232774716"/>
      <w:bookmarkStart w:id="74" w:name="_Ref232774814"/>
      <w:bookmarkStart w:id="75" w:name="X30d72f27b33754429a8d32dda86dbc0fc5a1876"/>
      <w:bookmarkStart w:id="76" w:name="_Toc233640845"/>
      <w:bookmarkEnd w:id="70"/>
      <w:r>
        <w:t>Per-effect bias trajectories and the 12% boundary</w:t>
      </w:r>
      <w:bookmarkEnd w:id="72"/>
      <w:bookmarkEnd w:id="73"/>
      <w:bookmarkEnd w:id="74"/>
      <w:bookmarkEnd w:id="76"/>
    </w:p>
    <w:p w14:paraId="0F6C33B8" w14:textId="77777777" w:rsidR="000406DD" w:rsidRDefault="000406DD" w:rsidP="000406DD">
      <w:pPr>
        <w:pStyle w:val="FirstParagraph"/>
      </w:pPr>
      <w:r>
        <w:t>Table 6 gives the bias-to-band ratio for every effect at each multi-receiver proportion. Two effects govern the threshold. Outgoing two-paths and same-group homophily rise fastest with the multi-receiver proportion and are the first to leave their bands, at the 16% condition (</w:t>
      </w:r>
      <m:oMath>
        <m:r>
          <w:rPr>
            <w:rFonts w:ascii="Cambria Math" w:hAnsi="Cambria Math"/>
          </w:rPr>
          <m:t>1.29</m:t>
        </m:r>
      </m:oMath>
      <w:r>
        <w:t xml:space="preserve"> and </w:t>
      </w:r>
      <m:oMath>
        <m:r>
          <w:rPr>
            <w:rFonts w:ascii="Cambria Math" w:hAnsi="Cambria Math"/>
          </w:rPr>
          <m:t>1.09</m:t>
        </m:r>
      </m:oMath>
      <w:r>
        <w:t xml:space="preserve"> respectively); reciprocity follows by the 24% condition (</w:t>
      </w:r>
      <m:oMath>
        <m:r>
          <w:rPr>
            <w:rFonts w:ascii="Cambria Math" w:hAnsi="Cambria Math"/>
          </w:rPr>
          <m:t>1.23</m:t>
        </m:r>
      </m:oMath>
      <w:r>
        <w:t xml:space="preserve">). Inertia and the active-attribute difference never breach their bands on the grid, reaching at most </w:t>
      </w:r>
      <m:oMath>
        <m:r>
          <w:rPr>
            <w:rFonts w:ascii="Cambria Math" w:hAnsi="Cambria Math"/>
          </w:rPr>
          <m:t>0.72</m:t>
        </m:r>
      </m:oMath>
      <w:r>
        <w:t xml:space="preserve"> and </w:t>
      </w:r>
      <m:oMath>
        <m:r>
          <w:rPr>
            <w:rFonts w:ascii="Cambria Math" w:hAnsi="Cambria Math"/>
          </w:rPr>
          <m:t>0.45</m:t>
        </m:r>
      </m:oMath>
      <w:r>
        <w:t xml:space="preserve"> at 24%. The direction of the bias is consistent: difference, reciprocity, outgoing two-paths, and same-group homophily all attenuate towards zero as multi-receiver events are added, whereas inertia is recovered marginally low at baseline (</w:t>
      </w:r>
      <m:oMath>
        <m:r>
          <w:rPr>
            <w:rFonts w:ascii="Cambria Math" w:hAnsi="Cambria Math"/>
          </w:rPr>
          <m:t>0.21</m:t>
        </m:r>
      </m:oMath>
      <w:r>
        <w:t xml:space="preserve"> of its band) and drifts upward to a mild inflation by the upper conditions.</w:t>
      </w:r>
    </w:p>
    <w:p w14:paraId="7D2CBACB" w14:textId="35103F79" w:rsidR="000406DD" w:rsidRDefault="000406DD" w:rsidP="000406DD">
      <w:pPr>
        <w:pStyle w:val="BodyText"/>
      </w:pPr>
      <w:r>
        <w:t xml:space="preserve">The off-grid descriptive cell at 12% locates the deterioration more precisely. At 12% all five effects are still within band, but outgoing two-paths sits at </w:t>
      </w:r>
      <m:oMath>
        <m:r>
          <w:rPr>
            <w:rFonts w:ascii="Cambria Math" w:hAnsi="Cambria Math"/>
          </w:rPr>
          <m:t>0.95</m:t>
        </m:r>
      </m:oMath>
      <w:r>
        <w:t xml:space="preserve"> of its band, against </w:t>
      </w:r>
      <m:oMath>
        <m:r>
          <w:rPr>
            <w:rFonts w:ascii="Cambria Math" w:hAnsi="Cambria Math"/>
          </w:rPr>
          <m:t>0.62</m:t>
        </m:r>
      </m:oMath>
      <w:r>
        <w:t xml:space="preserve"> at 8%. The transition from reliable to unreliable therefore falls in the 8%–16% interval, with 12% marginal and driven by outgoing two-paths.</w:t>
      </w:r>
    </w:p>
    <w:p w14:paraId="51816BE3" w14:textId="5FFF8BE6" w:rsidR="008E3453" w:rsidRPr="008E3453" w:rsidRDefault="008E3453" w:rsidP="008E3453">
      <w:pPr>
        <w:pStyle w:val="Caption"/>
        <w:keepNext/>
        <w:rPr>
          <w:b/>
          <w:bCs/>
          <w:i w:val="0"/>
          <w:iCs/>
        </w:rPr>
      </w:pPr>
      <w:r w:rsidRPr="008E3453">
        <w:rPr>
          <w:b/>
          <w:bCs/>
          <w:i w:val="0"/>
          <w:iCs/>
        </w:rPr>
        <w:t xml:space="preserve">Table </w:t>
      </w:r>
      <w:r w:rsidRPr="008E3453">
        <w:rPr>
          <w:b/>
          <w:bCs/>
          <w:i w:val="0"/>
          <w:iCs/>
        </w:rPr>
        <w:fldChar w:fldCharType="begin"/>
      </w:r>
      <w:r w:rsidRPr="008E3453">
        <w:rPr>
          <w:b/>
          <w:bCs/>
          <w:i w:val="0"/>
          <w:iCs/>
        </w:rPr>
        <w:instrText xml:space="preserve"> SEQ Table \* ARABIC </w:instrText>
      </w:r>
      <w:r w:rsidRPr="008E3453">
        <w:rPr>
          <w:b/>
          <w:bCs/>
          <w:i w:val="0"/>
          <w:iCs/>
        </w:rPr>
        <w:fldChar w:fldCharType="separate"/>
      </w:r>
      <w:r w:rsidRPr="008E3453">
        <w:rPr>
          <w:b/>
          <w:bCs/>
          <w:i w:val="0"/>
          <w:iCs/>
          <w:noProof/>
        </w:rPr>
        <w:t>6</w:t>
      </w:r>
      <w:r w:rsidRPr="008E3453">
        <w:rPr>
          <w:b/>
          <w:bCs/>
          <w:i w:val="0"/>
          <w:iCs/>
        </w:rPr>
        <w:fldChar w:fldCharType="end"/>
      </w:r>
    </w:p>
    <w:p w14:paraId="29272327" w14:textId="121F74F9" w:rsidR="008E3453" w:rsidRDefault="008E3453" w:rsidP="008E3453">
      <w:pPr>
        <w:pStyle w:val="BodyText"/>
      </w:pPr>
      <w:r>
        <w:rPr>
          <w:i/>
          <w:iCs/>
        </w:rPr>
        <w:t>Bias-to-Band Ratio by Effect and Multi-Receiver Proportion (</w:t>
      </w:r>
      <m:oMath>
        <m:r>
          <w:rPr>
            <w:rFonts w:ascii="Cambria Math" w:hAnsi="Cambria Math"/>
          </w:rPr>
          <m:t>n</m:t>
        </m:r>
        <m:r>
          <m:rPr>
            <m:sty m:val="p"/>
          </m:rPr>
          <w:rPr>
            <w:rFonts w:ascii="Cambria Math" w:hAnsi="Cambria Math"/>
          </w:rPr>
          <m:t>=</m:t>
        </m:r>
        <m:r>
          <w:rPr>
            <w:rFonts w:ascii="Cambria Math" w:hAnsi="Cambria Math"/>
          </w:rPr>
          <m:t>28</m:t>
        </m:r>
      </m:oMath>
      <w:r>
        <w:rPr>
          <w:i/>
          <w:iCs/>
        </w:rPr>
        <w:t xml:space="preserve">; 12% Cell </w:t>
      </w:r>
      <m:oMath>
        <m:r>
          <w:rPr>
            <w:rFonts w:ascii="Cambria Math" w:hAnsi="Cambria Math"/>
          </w:rPr>
          <m:t>n</m:t>
        </m:r>
        <m:r>
          <m:rPr>
            <m:sty m:val="p"/>
          </m:rPr>
          <w:rPr>
            <w:rFonts w:ascii="Cambria Math" w:hAnsi="Cambria Math"/>
          </w:rPr>
          <m:t>=</m:t>
        </m:r>
        <m:r>
          <w:rPr>
            <w:rFonts w:ascii="Cambria Math" w:hAnsi="Cambria Math"/>
          </w:rPr>
          <m:t>26</m:t>
        </m:r>
      </m:oMath>
      <w:r>
        <w:rPr>
          <w:i/>
          <w:iCs/>
        </w:rPr>
        <w:t>)</w:t>
      </w:r>
    </w:p>
    <w:tbl>
      <w:tblPr>
        <w:tblStyle w:val="GridTable1Light"/>
        <w:tblW w:w="5000" w:type="pct"/>
        <w:jc w:val="center"/>
        <w:tblLayout w:type="fixed"/>
        <w:tblLook w:val="0020" w:firstRow="1" w:lastRow="0" w:firstColumn="0" w:lastColumn="0" w:noHBand="0" w:noVBand="0"/>
      </w:tblPr>
      <w:tblGrid>
        <w:gridCol w:w="1559"/>
        <w:gridCol w:w="1559"/>
        <w:gridCol w:w="1558"/>
        <w:gridCol w:w="1558"/>
        <w:gridCol w:w="1558"/>
        <w:gridCol w:w="1558"/>
      </w:tblGrid>
      <w:tr w:rsidR="000406DD" w14:paraId="4AE31171" w14:textId="77777777" w:rsidTr="00956F70">
        <w:trPr>
          <w:cnfStyle w:val="100000000000" w:firstRow="1" w:lastRow="0" w:firstColumn="0" w:lastColumn="0" w:oddVBand="0" w:evenVBand="0" w:oddHBand="0" w:evenHBand="0" w:firstRowFirstColumn="0" w:firstRowLastColumn="0" w:lastRowFirstColumn="0" w:lastRowLastColumn="0"/>
          <w:jc w:val="center"/>
        </w:trPr>
        <w:tc>
          <w:tcPr>
            <w:tcW w:w="1320" w:type="dxa"/>
          </w:tcPr>
          <w:p w14:paraId="00BBF445" w14:textId="77777777" w:rsidR="000406DD" w:rsidRDefault="000406DD" w:rsidP="00587953">
            <w:pPr>
              <w:pStyle w:val="Compact"/>
              <w:jc w:val="right"/>
            </w:pPr>
            <w:r>
              <w:t>MR (%)</w:t>
            </w:r>
          </w:p>
        </w:tc>
        <w:tc>
          <w:tcPr>
            <w:tcW w:w="1320" w:type="dxa"/>
          </w:tcPr>
          <w:p w14:paraId="4596B390" w14:textId="77777777" w:rsidR="000406DD" w:rsidRDefault="000406DD" w:rsidP="00587953">
            <w:pPr>
              <w:pStyle w:val="Compact"/>
              <w:jc w:val="right"/>
            </w:pPr>
            <w:r>
              <w:t>Inertia</w:t>
            </w:r>
          </w:p>
        </w:tc>
        <w:tc>
          <w:tcPr>
            <w:tcW w:w="1320" w:type="dxa"/>
          </w:tcPr>
          <w:p w14:paraId="41737381" w14:textId="77777777" w:rsidR="000406DD" w:rsidRDefault="000406DD" w:rsidP="00587953">
            <w:pPr>
              <w:pStyle w:val="Compact"/>
              <w:jc w:val="right"/>
            </w:pPr>
            <w:r>
              <w:t>Reciprocity</w:t>
            </w:r>
          </w:p>
        </w:tc>
        <w:tc>
          <w:tcPr>
            <w:tcW w:w="1320" w:type="dxa"/>
          </w:tcPr>
          <w:p w14:paraId="0522F927" w14:textId="77777777" w:rsidR="000406DD" w:rsidRDefault="000406DD" w:rsidP="00587953">
            <w:pPr>
              <w:pStyle w:val="Compact"/>
              <w:jc w:val="right"/>
            </w:pPr>
            <w:r>
              <w:t>OTP</w:t>
            </w:r>
          </w:p>
        </w:tc>
        <w:tc>
          <w:tcPr>
            <w:tcW w:w="1320" w:type="dxa"/>
          </w:tcPr>
          <w:p w14:paraId="29BD061D" w14:textId="77777777" w:rsidR="000406DD" w:rsidRDefault="000406DD" w:rsidP="00587953">
            <w:pPr>
              <w:pStyle w:val="Compact"/>
              <w:jc w:val="right"/>
            </w:pPr>
            <w:r>
              <w:t>Difference (active)</w:t>
            </w:r>
          </w:p>
        </w:tc>
        <w:tc>
          <w:tcPr>
            <w:tcW w:w="1320" w:type="dxa"/>
          </w:tcPr>
          <w:p w14:paraId="53A0622C" w14:textId="77777777" w:rsidR="000406DD" w:rsidRDefault="000406DD" w:rsidP="00587953">
            <w:pPr>
              <w:pStyle w:val="Compact"/>
              <w:jc w:val="right"/>
            </w:pPr>
            <w:r>
              <w:t>Same (group)</w:t>
            </w:r>
          </w:p>
        </w:tc>
      </w:tr>
      <w:tr w:rsidR="000406DD" w14:paraId="7FBEE861" w14:textId="77777777" w:rsidTr="00956F70">
        <w:trPr>
          <w:jc w:val="center"/>
        </w:trPr>
        <w:tc>
          <w:tcPr>
            <w:tcW w:w="1320" w:type="dxa"/>
          </w:tcPr>
          <w:p w14:paraId="042105A1" w14:textId="77777777" w:rsidR="000406DD" w:rsidRDefault="000406DD" w:rsidP="00587953">
            <w:pPr>
              <w:pStyle w:val="Compact"/>
              <w:jc w:val="right"/>
            </w:pPr>
            <w:r>
              <w:t>0</w:t>
            </w:r>
          </w:p>
        </w:tc>
        <w:tc>
          <w:tcPr>
            <w:tcW w:w="1320" w:type="dxa"/>
          </w:tcPr>
          <w:p w14:paraId="01E1A258" w14:textId="77777777" w:rsidR="000406DD" w:rsidRDefault="000406DD" w:rsidP="00587953">
            <w:pPr>
              <w:pStyle w:val="Compact"/>
              <w:jc w:val="right"/>
            </w:pPr>
            <m:oMathPara>
              <m:oMath>
                <m:r>
                  <w:rPr>
                    <w:rFonts w:ascii="Cambria Math" w:hAnsi="Cambria Math"/>
                  </w:rPr>
                  <m:t>0.21</m:t>
                </m:r>
              </m:oMath>
            </m:oMathPara>
          </w:p>
        </w:tc>
        <w:tc>
          <w:tcPr>
            <w:tcW w:w="1320" w:type="dxa"/>
          </w:tcPr>
          <w:p w14:paraId="481DCDEE" w14:textId="77777777" w:rsidR="000406DD" w:rsidRDefault="000406DD" w:rsidP="00587953">
            <w:pPr>
              <w:pStyle w:val="Compact"/>
              <w:jc w:val="right"/>
            </w:pPr>
            <m:oMathPara>
              <m:oMath>
                <m:r>
                  <w:rPr>
                    <w:rFonts w:ascii="Cambria Math" w:hAnsi="Cambria Math"/>
                  </w:rPr>
                  <m:t>0.08</m:t>
                </m:r>
              </m:oMath>
            </m:oMathPara>
          </w:p>
        </w:tc>
        <w:tc>
          <w:tcPr>
            <w:tcW w:w="1320" w:type="dxa"/>
          </w:tcPr>
          <w:p w14:paraId="3A71F3A3" w14:textId="77777777" w:rsidR="000406DD" w:rsidRDefault="000406DD" w:rsidP="00587953">
            <w:pPr>
              <w:pStyle w:val="Compact"/>
              <w:jc w:val="right"/>
            </w:pPr>
            <m:oMathPara>
              <m:oMath>
                <m:r>
                  <w:rPr>
                    <w:rFonts w:ascii="Cambria Math" w:hAnsi="Cambria Math"/>
                  </w:rPr>
                  <m:t>0.24</m:t>
                </m:r>
              </m:oMath>
            </m:oMathPara>
          </w:p>
        </w:tc>
        <w:tc>
          <w:tcPr>
            <w:tcW w:w="1320" w:type="dxa"/>
          </w:tcPr>
          <w:p w14:paraId="409C8C55" w14:textId="77777777" w:rsidR="000406DD" w:rsidRDefault="000406DD" w:rsidP="00587953">
            <w:pPr>
              <w:pStyle w:val="Compact"/>
              <w:jc w:val="right"/>
            </w:pPr>
            <m:oMathPara>
              <m:oMath>
                <m:r>
                  <w:rPr>
                    <w:rFonts w:ascii="Cambria Math" w:hAnsi="Cambria Math"/>
                  </w:rPr>
                  <m:t>0.02</m:t>
                </m:r>
              </m:oMath>
            </m:oMathPara>
          </w:p>
        </w:tc>
        <w:tc>
          <w:tcPr>
            <w:tcW w:w="1320" w:type="dxa"/>
          </w:tcPr>
          <w:p w14:paraId="50C063BB" w14:textId="77777777" w:rsidR="000406DD" w:rsidRDefault="000406DD" w:rsidP="00587953">
            <w:pPr>
              <w:pStyle w:val="Compact"/>
              <w:jc w:val="right"/>
            </w:pPr>
            <m:oMathPara>
              <m:oMath>
                <m:r>
                  <w:rPr>
                    <w:rFonts w:ascii="Cambria Math" w:hAnsi="Cambria Math"/>
                  </w:rPr>
                  <m:t>0.09</m:t>
                </m:r>
              </m:oMath>
            </m:oMathPara>
          </w:p>
        </w:tc>
      </w:tr>
      <w:tr w:rsidR="000406DD" w14:paraId="01A8FC7C" w14:textId="77777777" w:rsidTr="00956F70">
        <w:trPr>
          <w:jc w:val="center"/>
        </w:trPr>
        <w:tc>
          <w:tcPr>
            <w:tcW w:w="1320" w:type="dxa"/>
          </w:tcPr>
          <w:p w14:paraId="59E5BD35" w14:textId="77777777" w:rsidR="000406DD" w:rsidRDefault="000406DD" w:rsidP="00587953">
            <w:pPr>
              <w:pStyle w:val="Compact"/>
              <w:jc w:val="right"/>
            </w:pPr>
            <w:r>
              <w:t>2</w:t>
            </w:r>
          </w:p>
        </w:tc>
        <w:tc>
          <w:tcPr>
            <w:tcW w:w="1320" w:type="dxa"/>
          </w:tcPr>
          <w:p w14:paraId="5D9890B7" w14:textId="77777777" w:rsidR="000406DD" w:rsidRDefault="000406DD" w:rsidP="00587953">
            <w:pPr>
              <w:pStyle w:val="Compact"/>
              <w:jc w:val="right"/>
            </w:pPr>
            <m:oMathPara>
              <m:oMath>
                <m:r>
                  <w:rPr>
                    <w:rFonts w:ascii="Cambria Math" w:hAnsi="Cambria Math"/>
                  </w:rPr>
                  <m:t>0.10</m:t>
                </m:r>
              </m:oMath>
            </m:oMathPara>
          </w:p>
        </w:tc>
        <w:tc>
          <w:tcPr>
            <w:tcW w:w="1320" w:type="dxa"/>
          </w:tcPr>
          <w:p w14:paraId="40F49CFD" w14:textId="77777777" w:rsidR="000406DD" w:rsidRDefault="000406DD" w:rsidP="00587953">
            <w:pPr>
              <w:pStyle w:val="Compact"/>
              <w:jc w:val="right"/>
            </w:pPr>
            <m:oMathPara>
              <m:oMath>
                <m:r>
                  <w:rPr>
                    <w:rFonts w:ascii="Cambria Math" w:hAnsi="Cambria Math"/>
                  </w:rPr>
                  <m:t>0.07</m:t>
                </m:r>
              </m:oMath>
            </m:oMathPara>
          </w:p>
        </w:tc>
        <w:tc>
          <w:tcPr>
            <w:tcW w:w="1320" w:type="dxa"/>
          </w:tcPr>
          <w:p w14:paraId="03376DF4" w14:textId="77777777" w:rsidR="000406DD" w:rsidRDefault="000406DD" w:rsidP="00587953">
            <w:pPr>
              <w:pStyle w:val="Compact"/>
              <w:jc w:val="right"/>
            </w:pPr>
            <m:oMathPara>
              <m:oMath>
                <m:r>
                  <w:rPr>
                    <w:rFonts w:ascii="Cambria Math" w:hAnsi="Cambria Math"/>
                  </w:rPr>
                  <m:t>0.05</m:t>
                </m:r>
              </m:oMath>
            </m:oMathPara>
          </w:p>
        </w:tc>
        <w:tc>
          <w:tcPr>
            <w:tcW w:w="1320" w:type="dxa"/>
          </w:tcPr>
          <w:p w14:paraId="0081ED88" w14:textId="77777777" w:rsidR="000406DD" w:rsidRDefault="000406DD" w:rsidP="00587953">
            <w:pPr>
              <w:pStyle w:val="Compact"/>
              <w:jc w:val="right"/>
            </w:pPr>
            <m:oMathPara>
              <m:oMath>
                <m:r>
                  <w:rPr>
                    <w:rFonts w:ascii="Cambria Math" w:hAnsi="Cambria Math"/>
                  </w:rPr>
                  <m:t>0.06</m:t>
                </m:r>
              </m:oMath>
            </m:oMathPara>
          </w:p>
        </w:tc>
        <w:tc>
          <w:tcPr>
            <w:tcW w:w="1320" w:type="dxa"/>
          </w:tcPr>
          <w:p w14:paraId="13821D41" w14:textId="77777777" w:rsidR="000406DD" w:rsidRDefault="000406DD" w:rsidP="00587953">
            <w:pPr>
              <w:pStyle w:val="Compact"/>
              <w:jc w:val="right"/>
            </w:pPr>
            <m:oMathPara>
              <m:oMath>
                <m:r>
                  <w:rPr>
                    <w:rFonts w:ascii="Cambria Math" w:hAnsi="Cambria Math"/>
                  </w:rPr>
                  <m:t>0.26</m:t>
                </m:r>
              </m:oMath>
            </m:oMathPara>
          </w:p>
        </w:tc>
      </w:tr>
      <w:tr w:rsidR="000406DD" w14:paraId="028DD885" w14:textId="77777777" w:rsidTr="00956F70">
        <w:trPr>
          <w:jc w:val="center"/>
        </w:trPr>
        <w:tc>
          <w:tcPr>
            <w:tcW w:w="1320" w:type="dxa"/>
          </w:tcPr>
          <w:p w14:paraId="4AEAD866" w14:textId="77777777" w:rsidR="000406DD" w:rsidRDefault="000406DD" w:rsidP="00587953">
            <w:pPr>
              <w:pStyle w:val="Compact"/>
              <w:jc w:val="right"/>
            </w:pPr>
            <w:r>
              <w:t>8</w:t>
            </w:r>
          </w:p>
        </w:tc>
        <w:tc>
          <w:tcPr>
            <w:tcW w:w="1320" w:type="dxa"/>
          </w:tcPr>
          <w:p w14:paraId="2E7CABA9" w14:textId="77777777" w:rsidR="000406DD" w:rsidRDefault="000406DD" w:rsidP="00587953">
            <w:pPr>
              <w:pStyle w:val="Compact"/>
              <w:jc w:val="right"/>
            </w:pPr>
            <m:oMathPara>
              <m:oMath>
                <m:r>
                  <w:rPr>
                    <w:rFonts w:ascii="Cambria Math" w:hAnsi="Cambria Math"/>
                  </w:rPr>
                  <m:t>0.09</m:t>
                </m:r>
              </m:oMath>
            </m:oMathPara>
          </w:p>
        </w:tc>
        <w:tc>
          <w:tcPr>
            <w:tcW w:w="1320" w:type="dxa"/>
          </w:tcPr>
          <w:p w14:paraId="7FD24B68" w14:textId="77777777" w:rsidR="000406DD" w:rsidRDefault="000406DD" w:rsidP="00587953">
            <w:pPr>
              <w:pStyle w:val="Compact"/>
              <w:jc w:val="right"/>
            </w:pPr>
            <m:oMathPara>
              <m:oMath>
                <m:r>
                  <w:rPr>
                    <w:rFonts w:ascii="Cambria Math" w:hAnsi="Cambria Math"/>
                  </w:rPr>
                  <m:t>0.33</m:t>
                </m:r>
              </m:oMath>
            </m:oMathPara>
          </w:p>
        </w:tc>
        <w:tc>
          <w:tcPr>
            <w:tcW w:w="1320" w:type="dxa"/>
          </w:tcPr>
          <w:p w14:paraId="41A3CCE4" w14:textId="77777777" w:rsidR="000406DD" w:rsidRDefault="000406DD" w:rsidP="00587953">
            <w:pPr>
              <w:pStyle w:val="Compact"/>
              <w:jc w:val="right"/>
            </w:pPr>
            <m:oMathPara>
              <m:oMath>
                <m:r>
                  <w:rPr>
                    <w:rFonts w:ascii="Cambria Math" w:hAnsi="Cambria Math"/>
                  </w:rPr>
                  <m:t>0.62</m:t>
                </m:r>
              </m:oMath>
            </m:oMathPara>
          </w:p>
        </w:tc>
        <w:tc>
          <w:tcPr>
            <w:tcW w:w="1320" w:type="dxa"/>
          </w:tcPr>
          <w:p w14:paraId="43F82743" w14:textId="77777777" w:rsidR="000406DD" w:rsidRDefault="000406DD" w:rsidP="00587953">
            <w:pPr>
              <w:pStyle w:val="Compact"/>
              <w:jc w:val="right"/>
            </w:pPr>
            <m:oMathPara>
              <m:oMath>
                <m:r>
                  <w:rPr>
                    <w:rFonts w:ascii="Cambria Math" w:hAnsi="Cambria Math"/>
                  </w:rPr>
                  <m:t>0.24</m:t>
                </m:r>
              </m:oMath>
            </m:oMathPara>
          </w:p>
        </w:tc>
        <w:tc>
          <w:tcPr>
            <w:tcW w:w="1320" w:type="dxa"/>
          </w:tcPr>
          <w:p w14:paraId="2207066A" w14:textId="77777777" w:rsidR="000406DD" w:rsidRDefault="000406DD" w:rsidP="00587953">
            <w:pPr>
              <w:pStyle w:val="Compact"/>
              <w:jc w:val="right"/>
            </w:pPr>
            <m:oMathPara>
              <m:oMath>
                <m:r>
                  <w:rPr>
                    <w:rFonts w:ascii="Cambria Math" w:hAnsi="Cambria Math"/>
                  </w:rPr>
                  <m:t>0.62</m:t>
                </m:r>
              </m:oMath>
            </m:oMathPara>
          </w:p>
        </w:tc>
      </w:tr>
      <w:tr w:rsidR="000406DD" w14:paraId="72B84028" w14:textId="77777777" w:rsidTr="00956F70">
        <w:trPr>
          <w:jc w:val="center"/>
        </w:trPr>
        <w:tc>
          <w:tcPr>
            <w:tcW w:w="1320" w:type="dxa"/>
          </w:tcPr>
          <w:p w14:paraId="16B808C9" w14:textId="77777777" w:rsidR="000406DD" w:rsidRDefault="000406DD" w:rsidP="00587953">
            <w:pPr>
              <w:pStyle w:val="Compact"/>
              <w:jc w:val="right"/>
            </w:pPr>
            <w:r>
              <w:t>12</w:t>
            </w:r>
          </w:p>
        </w:tc>
        <w:tc>
          <w:tcPr>
            <w:tcW w:w="1320" w:type="dxa"/>
          </w:tcPr>
          <w:p w14:paraId="2D35CFC7" w14:textId="77777777" w:rsidR="000406DD" w:rsidRDefault="000406DD" w:rsidP="00587953">
            <w:pPr>
              <w:pStyle w:val="Compact"/>
              <w:jc w:val="right"/>
            </w:pPr>
            <m:oMathPara>
              <m:oMath>
                <m:r>
                  <w:rPr>
                    <w:rFonts w:ascii="Cambria Math" w:hAnsi="Cambria Math"/>
                  </w:rPr>
                  <m:t>0.22</m:t>
                </m:r>
              </m:oMath>
            </m:oMathPara>
          </w:p>
        </w:tc>
        <w:tc>
          <w:tcPr>
            <w:tcW w:w="1320" w:type="dxa"/>
          </w:tcPr>
          <w:p w14:paraId="0470DE16" w14:textId="77777777" w:rsidR="000406DD" w:rsidRDefault="000406DD" w:rsidP="00587953">
            <w:pPr>
              <w:pStyle w:val="Compact"/>
              <w:jc w:val="right"/>
            </w:pPr>
            <m:oMathPara>
              <m:oMath>
                <m:r>
                  <w:rPr>
                    <w:rFonts w:ascii="Cambria Math" w:hAnsi="Cambria Math"/>
                  </w:rPr>
                  <m:t>0.58</m:t>
                </m:r>
              </m:oMath>
            </m:oMathPara>
          </w:p>
        </w:tc>
        <w:tc>
          <w:tcPr>
            <w:tcW w:w="1320" w:type="dxa"/>
          </w:tcPr>
          <w:p w14:paraId="7904AED5" w14:textId="77777777" w:rsidR="000406DD" w:rsidRDefault="000406DD" w:rsidP="00587953">
            <w:pPr>
              <w:pStyle w:val="Compact"/>
              <w:jc w:val="right"/>
            </w:pPr>
            <m:oMathPara>
              <m:oMath>
                <m:r>
                  <w:rPr>
                    <w:rFonts w:ascii="Cambria Math" w:hAnsi="Cambria Math"/>
                  </w:rPr>
                  <m:t>0.95</m:t>
                </m:r>
              </m:oMath>
            </m:oMathPara>
          </w:p>
        </w:tc>
        <w:tc>
          <w:tcPr>
            <w:tcW w:w="1320" w:type="dxa"/>
          </w:tcPr>
          <w:p w14:paraId="43B40E1A" w14:textId="77777777" w:rsidR="000406DD" w:rsidRDefault="000406DD" w:rsidP="00587953">
            <w:pPr>
              <w:pStyle w:val="Compact"/>
              <w:jc w:val="right"/>
            </w:pPr>
            <m:oMathPara>
              <m:oMath>
                <m:r>
                  <w:rPr>
                    <w:rFonts w:ascii="Cambria Math" w:hAnsi="Cambria Math"/>
                  </w:rPr>
                  <m:t>0.30</m:t>
                </m:r>
              </m:oMath>
            </m:oMathPara>
          </w:p>
        </w:tc>
        <w:tc>
          <w:tcPr>
            <w:tcW w:w="1320" w:type="dxa"/>
          </w:tcPr>
          <w:p w14:paraId="6D8DC47F" w14:textId="77777777" w:rsidR="000406DD" w:rsidRDefault="000406DD" w:rsidP="00587953">
            <w:pPr>
              <w:pStyle w:val="Compact"/>
              <w:jc w:val="right"/>
            </w:pPr>
            <m:oMathPara>
              <m:oMath>
                <m:r>
                  <w:rPr>
                    <w:rFonts w:ascii="Cambria Math" w:hAnsi="Cambria Math"/>
                  </w:rPr>
                  <m:t>0.80</m:t>
                </m:r>
              </m:oMath>
            </m:oMathPara>
          </w:p>
        </w:tc>
      </w:tr>
      <w:tr w:rsidR="000406DD" w14:paraId="6ADB2FE9" w14:textId="77777777" w:rsidTr="00956F70">
        <w:trPr>
          <w:jc w:val="center"/>
        </w:trPr>
        <w:tc>
          <w:tcPr>
            <w:tcW w:w="1320" w:type="dxa"/>
          </w:tcPr>
          <w:p w14:paraId="218240D5" w14:textId="77777777" w:rsidR="000406DD" w:rsidRDefault="000406DD" w:rsidP="00587953">
            <w:pPr>
              <w:pStyle w:val="Compact"/>
              <w:jc w:val="right"/>
            </w:pPr>
            <w:r>
              <w:t>16</w:t>
            </w:r>
          </w:p>
        </w:tc>
        <w:tc>
          <w:tcPr>
            <w:tcW w:w="1320" w:type="dxa"/>
          </w:tcPr>
          <w:p w14:paraId="1CFE006D" w14:textId="77777777" w:rsidR="000406DD" w:rsidRDefault="000406DD" w:rsidP="00587953">
            <w:pPr>
              <w:pStyle w:val="Compact"/>
              <w:jc w:val="right"/>
            </w:pPr>
            <m:oMathPara>
              <m:oMath>
                <m:r>
                  <w:rPr>
                    <w:rFonts w:ascii="Cambria Math" w:hAnsi="Cambria Math"/>
                  </w:rPr>
                  <m:t>0.50</m:t>
                </m:r>
              </m:oMath>
            </m:oMathPara>
          </w:p>
        </w:tc>
        <w:tc>
          <w:tcPr>
            <w:tcW w:w="1320" w:type="dxa"/>
          </w:tcPr>
          <w:p w14:paraId="57630F4B" w14:textId="77777777" w:rsidR="000406DD" w:rsidRDefault="000406DD" w:rsidP="00587953">
            <w:pPr>
              <w:pStyle w:val="Compact"/>
              <w:jc w:val="right"/>
            </w:pPr>
            <m:oMathPara>
              <m:oMath>
                <m:r>
                  <w:rPr>
                    <w:rFonts w:ascii="Cambria Math" w:hAnsi="Cambria Math"/>
                  </w:rPr>
                  <m:t>0.94</m:t>
                </m:r>
              </m:oMath>
            </m:oMathPara>
          </w:p>
        </w:tc>
        <w:tc>
          <w:tcPr>
            <w:tcW w:w="1320" w:type="dxa"/>
          </w:tcPr>
          <w:p w14:paraId="0E4E84D8" w14:textId="77777777" w:rsidR="000406DD" w:rsidRDefault="000406DD" w:rsidP="00587953">
            <w:pPr>
              <w:pStyle w:val="Compact"/>
              <w:jc w:val="right"/>
            </w:pPr>
            <m:oMathPara>
              <m:oMath>
                <m:r>
                  <m:rPr>
                    <m:sty m:val="b"/>
                  </m:rPr>
                  <w:rPr>
                    <w:rFonts w:ascii="Cambria Math" w:hAnsi="Cambria Math"/>
                  </w:rPr>
                  <m:t>1.29</m:t>
                </m:r>
              </m:oMath>
            </m:oMathPara>
          </w:p>
        </w:tc>
        <w:tc>
          <w:tcPr>
            <w:tcW w:w="1320" w:type="dxa"/>
          </w:tcPr>
          <w:p w14:paraId="754B08B7" w14:textId="77777777" w:rsidR="000406DD" w:rsidRDefault="000406DD" w:rsidP="00587953">
            <w:pPr>
              <w:pStyle w:val="Compact"/>
              <w:jc w:val="right"/>
            </w:pPr>
            <m:oMathPara>
              <m:oMath>
                <m:r>
                  <w:rPr>
                    <w:rFonts w:ascii="Cambria Math" w:hAnsi="Cambria Math"/>
                  </w:rPr>
                  <m:t>0.29</m:t>
                </m:r>
              </m:oMath>
            </m:oMathPara>
          </w:p>
        </w:tc>
        <w:tc>
          <w:tcPr>
            <w:tcW w:w="1320" w:type="dxa"/>
          </w:tcPr>
          <w:p w14:paraId="5A9A41CD" w14:textId="77777777" w:rsidR="000406DD" w:rsidRDefault="000406DD" w:rsidP="00587953">
            <w:pPr>
              <w:pStyle w:val="Compact"/>
              <w:jc w:val="right"/>
            </w:pPr>
            <m:oMathPara>
              <m:oMath>
                <m:r>
                  <m:rPr>
                    <m:sty m:val="b"/>
                  </m:rPr>
                  <w:rPr>
                    <w:rFonts w:ascii="Cambria Math" w:hAnsi="Cambria Math"/>
                  </w:rPr>
                  <m:t>1.09</m:t>
                </m:r>
              </m:oMath>
            </m:oMathPara>
          </w:p>
        </w:tc>
      </w:tr>
      <w:tr w:rsidR="000406DD" w14:paraId="2CE1FBE9" w14:textId="77777777" w:rsidTr="00956F70">
        <w:trPr>
          <w:jc w:val="center"/>
        </w:trPr>
        <w:tc>
          <w:tcPr>
            <w:tcW w:w="1320" w:type="dxa"/>
          </w:tcPr>
          <w:p w14:paraId="75C9E0B2" w14:textId="77777777" w:rsidR="000406DD" w:rsidRDefault="000406DD" w:rsidP="00587953">
            <w:pPr>
              <w:pStyle w:val="Compact"/>
              <w:jc w:val="right"/>
            </w:pPr>
            <w:r>
              <w:t>24</w:t>
            </w:r>
          </w:p>
        </w:tc>
        <w:tc>
          <w:tcPr>
            <w:tcW w:w="1320" w:type="dxa"/>
          </w:tcPr>
          <w:p w14:paraId="5CBE11F6" w14:textId="77777777" w:rsidR="000406DD" w:rsidRDefault="000406DD" w:rsidP="00587953">
            <w:pPr>
              <w:pStyle w:val="Compact"/>
              <w:jc w:val="right"/>
            </w:pPr>
            <m:oMathPara>
              <m:oMath>
                <m:r>
                  <w:rPr>
                    <w:rFonts w:ascii="Cambria Math" w:hAnsi="Cambria Math"/>
                  </w:rPr>
                  <m:t>0.72</m:t>
                </m:r>
              </m:oMath>
            </m:oMathPara>
          </w:p>
        </w:tc>
        <w:tc>
          <w:tcPr>
            <w:tcW w:w="1320" w:type="dxa"/>
          </w:tcPr>
          <w:p w14:paraId="02C3E99B" w14:textId="77777777" w:rsidR="000406DD" w:rsidRDefault="000406DD" w:rsidP="00587953">
            <w:pPr>
              <w:pStyle w:val="Compact"/>
              <w:jc w:val="right"/>
            </w:pPr>
            <m:oMathPara>
              <m:oMath>
                <m:r>
                  <m:rPr>
                    <m:sty m:val="b"/>
                  </m:rPr>
                  <w:rPr>
                    <w:rFonts w:ascii="Cambria Math" w:hAnsi="Cambria Math"/>
                  </w:rPr>
                  <m:t>1.23</m:t>
                </m:r>
              </m:oMath>
            </m:oMathPara>
          </w:p>
        </w:tc>
        <w:tc>
          <w:tcPr>
            <w:tcW w:w="1320" w:type="dxa"/>
          </w:tcPr>
          <w:p w14:paraId="30E58D9E" w14:textId="77777777" w:rsidR="000406DD" w:rsidRDefault="000406DD" w:rsidP="00587953">
            <w:pPr>
              <w:pStyle w:val="Compact"/>
              <w:jc w:val="right"/>
            </w:pPr>
            <m:oMathPara>
              <m:oMath>
                <m:r>
                  <m:rPr>
                    <m:sty m:val="b"/>
                  </m:rPr>
                  <w:rPr>
                    <w:rFonts w:ascii="Cambria Math" w:hAnsi="Cambria Math"/>
                  </w:rPr>
                  <m:t>1.92</m:t>
                </m:r>
              </m:oMath>
            </m:oMathPara>
          </w:p>
        </w:tc>
        <w:tc>
          <w:tcPr>
            <w:tcW w:w="1320" w:type="dxa"/>
          </w:tcPr>
          <w:p w14:paraId="7176A39D" w14:textId="77777777" w:rsidR="000406DD" w:rsidRDefault="000406DD" w:rsidP="00587953">
            <w:pPr>
              <w:pStyle w:val="Compact"/>
              <w:jc w:val="right"/>
            </w:pPr>
            <m:oMathPara>
              <m:oMath>
                <m:r>
                  <w:rPr>
                    <w:rFonts w:ascii="Cambria Math" w:hAnsi="Cambria Math"/>
                  </w:rPr>
                  <m:t>0.45</m:t>
                </m:r>
              </m:oMath>
            </m:oMathPara>
          </w:p>
        </w:tc>
        <w:tc>
          <w:tcPr>
            <w:tcW w:w="1320" w:type="dxa"/>
          </w:tcPr>
          <w:p w14:paraId="6F6FBE3C" w14:textId="77777777" w:rsidR="000406DD" w:rsidRDefault="000406DD" w:rsidP="00587953">
            <w:pPr>
              <w:pStyle w:val="Compact"/>
              <w:jc w:val="right"/>
            </w:pPr>
            <m:oMathPara>
              <m:oMath>
                <m:r>
                  <m:rPr>
                    <m:sty m:val="b"/>
                  </m:rPr>
                  <w:rPr>
                    <w:rFonts w:ascii="Cambria Math" w:hAnsi="Cambria Math"/>
                  </w:rPr>
                  <m:t>1.44</m:t>
                </m:r>
              </m:oMath>
            </m:oMathPara>
          </w:p>
        </w:tc>
      </w:tr>
    </w:tbl>
    <w:p w14:paraId="7489D3B6" w14:textId="4BAC523A" w:rsidR="000406DD" w:rsidRDefault="000406DD" w:rsidP="000406DD">
      <w:pPr>
        <w:pStyle w:val="BodyText"/>
      </w:pPr>
      <w:r>
        <w:rPr>
          <w:i/>
          <w:iCs/>
        </w:rPr>
        <w:t>Note.</w:t>
      </w:r>
      <w:r>
        <w:t xml:space="preserve"> Each entry is the absolute dataset-averaged bias divided by the per-effect band of </w:t>
      </w:r>
      <w:r w:rsidR="00726FDF" w:rsidRPr="00726FDF">
        <w:fldChar w:fldCharType="begin"/>
      </w:r>
      <w:r w:rsidR="00726FDF" w:rsidRPr="00726FDF">
        <w:instrText xml:space="preserve"> REF _Ref232775085 \h  \* MERGEFORMAT </w:instrText>
      </w:r>
      <w:r w:rsidR="00726FDF" w:rsidRPr="00726FDF">
        <w:fldChar w:fldCharType="separate"/>
      </w:r>
      <w:r w:rsidR="00726FDF" w:rsidRPr="00726FDF">
        <w:t xml:space="preserve">Table </w:t>
      </w:r>
      <w:r w:rsidR="00726FDF" w:rsidRPr="00726FDF">
        <w:rPr>
          <w:noProof/>
        </w:rPr>
        <w:t>5</w:t>
      </w:r>
      <w:r w:rsidR="00726FDF" w:rsidRPr="00726FDF">
        <w:fldChar w:fldCharType="end"/>
      </w:r>
      <w:r>
        <w:t xml:space="preserve">. Values in bold exceed </w:t>
      </w:r>
      <m:oMath>
        <m:r>
          <w:rPr>
            <w:rFonts w:ascii="Cambria Math" w:hAnsi="Cambria Math"/>
          </w:rPr>
          <m:t>1</m:t>
        </m:r>
      </m:oMath>
      <w:r>
        <w:t xml:space="preserve"> and are out of band. The 12% row is the off-grid descriptive cell and does not enter the threshold calculation; it is based on </w:t>
      </w:r>
      <m:oMath>
        <m:r>
          <w:rPr>
            <w:rFonts w:ascii="Cambria Math" w:hAnsi="Cambria Math"/>
          </w:rPr>
          <m:t>n</m:t>
        </m:r>
        <m:r>
          <m:rPr>
            <m:sty m:val="p"/>
          </m:rPr>
          <w:rPr>
            <w:rFonts w:ascii="Cambria Math" w:hAnsi="Cambria Math"/>
          </w:rPr>
          <m:t>=</m:t>
        </m:r>
        <m:r>
          <w:rPr>
            <w:rFonts w:ascii="Cambria Math" w:hAnsi="Cambria Math"/>
          </w:rPr>
          <m:t>26</m:t>
        </m:r>
      </m:oMath>
      <w:r>
        <w:t xml:space="preserve"> rather than </w:t>
      </w:r>
      <m:oMath>
        <m:r>
          <w:rPr>
            <w:rFonts w:ascii="Cambria Math" w:hAnsi="Cambria Math"/>
          </w:rPr>
          <m:t>n</m:t>
        </m:r>
        <m:r>
          <m:rPr>
            <m:sty m:val="p"/>
          </m:rPr>
          <w:rPr>
            <w:rFonts w:ascii="Cambria Math" w:hAnsi="Cambria Math"/>
          </w:rPr>
          <m:t>=</m:t>
        </m:r>
        <m:r>
          <w:rPr>
            <w:rFonts w:ascii="Cambria Math" w:hAnsi="Cambria Math"/>
          </w:rPr>
          <m:t>28</m:t>
        </m:r>
      </m:oMath>
      <w:r>
        <w:t xml:space="preserve"> because its baselines were generated in a later batch under a newer </w:t>
      </w:r>
      <w:r>
        <w:rPr>
          <w:rStyle w:val="VerbatimChar"/>
        </w:rPr>
        <w:t>remulate</w:t>
      </w:r>
      <w:r>
        <w:t xml:space="preserve"> build, under which the baseline-quality guard of Section </w:t>
      </w:r>
      <w:r w:rsidR="0040093F">
        <w:fldChar w:fldCharType="begin"/>
      </w:r>
      <w:r w:rsidR="0040093F">
        <w:instrText xml:space="preserve"> REF _Ref232774672 \r \h </w:instrText>
      </w:r>
      <w:r w:rsidR="0040093F">
        <w:fldChar w:fldCharType="separate"/>
      </w:r>
      <w:r w:rsidR="0040093F">
        <w:t>2.6</w:t>
      </w:r>
      <w:r w:rsidR="0040093F">
        <w:fldChar w:fldCharType="end"/>
      </w:r>
      <w:r>
        <w:t xml:space="preserve"> drops two further low-gap seeds.</w:t>
      </w:r>
    </w:p>
    <w:p w14:paraId="668BE48D" w14:textId="3425AF22" w:rsidR="000406DD" w:rsidRDefault="000406DD" w:rsidP="00E426E5">
      <w:pPr>
        <w:pStyle w:val="Heading3"/>
      </w:pPr>
      <w:bookmarkStart w:id="77" w:name="_Ref232774734"/>
      <w:bookmarkStart w:id="78" w:name="the-rhem-contextual-benchmark"/>
      <w:bookmarkStart w:id="79" w:name="_Toc233640846"/>
      <w:bookmarkEnd w:id="75"/>
      <w:r>
        <w:t>The RHEM contextual benchmark</w:t>
      </w:r>
      <w:bookmarkEnd w:id="77"/>
      <w:bookmarkEnd w:id="79"/>
    </w:p>
    <w:p w14:paraId="1FCBE3BF" w14:textId="77777777" w:rsidR="000406DD" w:rsidRDefault="000406DD" w:rsidP="000406DD">
      <w:pPr>
        <w:pStyle w:val="FirstParagraph"/>
      </w:pPr>
      <w:r>
        <w:t xml:space="preserve">The native RHEM fitted to the same multi-receiver data is reported alongside the dyadic REM, on the raw </w:t>
      </w:r>
      <w:r>
        <w:rPr>
          <w:rStyle w:val="VerbatimChar"/>
        </w:rPr>
        <w:t>eventnet</w:t>
      </w:r>
      <w:r>
        <w:t xml:space="preserve"> coefficient scale (Appendix A). Where the dyadic REM attenuates, the RHEM estimate stays close to its baseline value as the multi-receiver proportion grows. Same-group homophily is the clearest case, holding near </w:t>
      </w:r>
      <m:oMath>
        <m:r>
          <w:rPr>
            <w:rFonts w:ascii="Cambria Math" w:hAnsi="Cambria Math"/>
          </w:rPr>
          <m:t>0.42</m:t>
        </m:r>
      </m:oMath>
      <w:r>
        <w:t>–</w:t>
      </w:r>
      <m:oMath>
        <m:r>
          <w:rPr>
            <w:rFonts w:ascii="Cambria Math" w:hAnsi="Cambria Math"/>
          </w:rPr>
          <m:t>0.43</m:t>
        </m:r>
      </m:oMath>
      <w:r>
        <w:t xml:space="preserve"> across the whole grid under RHEM while the dyadic REM falls from </w:t>
      </w:r>
      <m:oMath>
        <m:r>
          <w:rPr>
            <w:rFonts w:ascii="Cambria Math" w:hAnsi="Cambria Math"/>
          </w:rPr>
          <m:t>0.39</m:t>
        </m:r>
      </m:oMath>
      <w:r>
        <w:t xml:space="preserve"> at 0% to </w:t>
      </w:r>
      <m:oMath>
        <m:r>
          <w:rPr>
            <w:rFonts w:ascii="Cambria Math" w:hAnsi="Cambria Math"/>
          </w:rPr>
          <m:t>0.28</m:t>
        </m:r>
      </m:oMath>
      <w:r>
        <w:t xml:space="preserve"> at 24%; the active-attribute difference and reciprocity show the same pattern more mildly.</w:t>
      </w:r>
    </w:p>
    <w:p w14:paraId="6BECC6CA" w14:textId="4357410C" w:rsidR="000406DD" w:rsidRDefault="000406DD" w:rsidP="000406DD">
      <w:pPr>
        <w:pStyle w:val="BodyText"/>
      </w:pPr>
      <w:r>
        <w:t xml:space="preserve">Two effects depart from their generating values under RHEM. Outgoing two-paths sits near zero on the raw scale, roughly </w:t>
      </w:r>
      <m:oMath>
        <m:r>
          <w:rPr>
            <w:rFonts w:ascii="Cambria Math" w:hAnsi="Cambria Math"/>
          </w:rPr>
          <m:t>0.029</m:t>
        </m:r>
      </m:oMath>
      <w:r>
        <w:t xml:space="preserve"> below the generating value at every multi-receiver proportion; the gap is near-constant across the grid (</w:t>
      </w:r>
      <m:oMath>
        <m:r>
          <m:rPr>
            <m:sty m:val="p"/>
          </m:rPr>
          <w:rPr>
            <w:rFonts w:ascii="Cambria Math" w:hAnsi="Cambria Math"/>
          </w:rPr>
          <m:t>-</m:t>
        </m:r>
        <m:r>
          <w:rPr>
            <w:rFonts w:ascii="Cambria Math" w:hAnsi="Cambria Math"/>
          </w:rPr>
          <m:t>0.029</m:t>
        </m:r>
      </m:oMath>
      <w:r>
        <w:t xml:space="preserve"> at 0% to </w:t>
      </w:r>
      <m:oMath>
        <m:r>
          <m:rPr>
            <m:sty m:val="p"/>
          </m:rPr>
          <w:rPr>
            <w:rFonts w:ascii="Cambria Math" w:hAnsi="Cambria Math"/>
          </w:rPr>
          <m:t>-</m:t>
        </m:r>
        <m:r>
          <w:rPr>
            <w:rFonts w:ascii="Cambria Math" w:hAnsi="Cambria Math"/>
          </w:rPr>
          <m:t>0.030</m:t>
        </m:r>
      </m:oMath>
      <w:r>
        <w:t xml:space="preserve"> at 24%), the signature of a deterministic counting-convention difference between the dyadic and hyperedge implementations rather than a transformation-induced effect (Appendix A). Under RHEM, inertia sits above its generating value (around </w:t>
      </w:r>
      <m:oMath>
        <m:r>
          <w:rPr>
            <w:rFonts w:ascii="Cambria Math" w:hAnsi="Cambria Math"/>
          </w:rPr>
          <m:t>0.034</m:t>
        </m:r>
      </m:oMath>
      <w:r>
        <w:t>–</w:t>
      </w:r>
      <m:oMath>
        <m:r>
          <w:rPr>
            <w:rFonts w:ascii="Cambria Math" w:hAnsi="Cambria Math"/>
          </w:rPr>
          <m:t>0.038</m:t>
        </m:r>
      </m:oMath>
      <w:r>
        <w:t xml:space="preserve"> against </w:t>
      </w:r>
      <m:oMath>
        <m:r>
          <w:rPr>
            <w:rFonts w:ascii="Cambria Math" w:hAnsi="Cambria Math"/>
          </w:rPr>
          <m:t>0.02</m:t>
        </m:r>
      </m:oMath>
      <w:r>
        <w:t xml:space="preserve">); unlike the outgoing-two-paths offset this gap is smaller and drifts mildly across the grid, so we report it as where the coefficient lands on RHEM’s raw scale rather than attributing it to a single constant offset. Neither enters the threshold, which is judged against truth on the REM side (Section </w:t>
      </w:r>
      <w:r w:rsidR="0040093F">
        <w:fldChar w:fldCharType="begin"/>
      </w:r>
      <w:r w:rsidR="0040093F">
        <w:instrText xml:space="preserve"> REF _Ref232774680 \r \h </w:instrText>
      </w:r>
      <w:r w:rsidR="0040093F">
        <w:fldChar w:fldCharType="separate"/>
      </w:r>
      <w:r w:rsidR="0040093F">
        <w:t>2.5</w:t>
      </w:r>
      <w:r w:rsidR="0040093F">
        <w:fldChar w:fldCharType="end"/>
      </w:r>
      <w:r>
        <w:t>); the RHEM column is a contextual reference only.</w:t>
      </w:r>
    </w:p>
    <w:p w14:paraId="75931A42" w14:textId="6C31774F" w:rsidR="000406DD" w:rsidRDefault="000406DD" w:rsidP="000406DD">
      <w:pPr>
        <w:pStyle w:val="BodyText"/>
      </w:pPr>
      <w:r>
        <w:t xml:space="preserve">The contrast is nonetheless informative for the practical use of RHEM. Once the structural coefficients of the dyadic REM begin to attenuate with the multi-receiver share, the native RHEM continues to hold those same coefficients close to their baseline values, which is the behaviour expected of the more faithful model in exactly the range where the dyadic transformation can no longer be relied upon. This is consistent with recommending a native multi-receiver model above the threshold, as set out in the Conclusion and Discussion (Section </w:t>
      </w:r>
      <w:r w:rsidR="0040093F">
        <w:fldChar w:fldCharType="begin"/>
      </w:r>
      <w:r w:rsidR="0040093F">
        <w:instrText xml:space="preserve"> REF _Ref232774687 \r \h </w:instrText>
      </w:r>
      <w:r w:rsidR="0040093F">
        <w:fldChar w:fldCharType="separate"/>
      </w:r>
      <w:r w:rsidR="0040093F">
        <w:t>4.2</w:t>
      </w:r>
      <w:r w:rsidR="0040093F">
        <w:fldChar w:fldCharType="end"/>
      </w:r>
      <w:r>
        <w:t>).</w:t>
      </w:r>
    </w:p>
    <w:p w14:paraId="27633EF4" w14:textId="2756D994" w:rsidR="000406DD" w:rsidRDefault="000406DD" w:rsidP="00E426E5">
      <w:pPr>
        <w:pStyle w:val="Heading3"/>
      </w:pPr>
      <w:bookmarkStart w:id="80" w:name="_Ref232774743"/>
      <w:bookmarkStart w:id="81" w:name="_Ref232774820"/>
      <w:bookmarkStart w:id="82" w:name="the-baseline-rate"/>
      <w:bookmarkStart w:id="83" w:name="_Toc233640847"/>
      <w:bookmarkEnd w:id="78"/>
      <w:r>
        <w:t>The baseline rate</w:t>
      </w:r>
      <w:bookmarkEnd w:id="80"/>
      <w:bookmarkEnd w:id="81"/>
      <w:bookmarkEnd w:id="83"/>
    </w:p>
    <w:p w14:paraId="2572DC8D" w14:textId="5FAC9232" w:rsidR="000406DD" w:rsidRDefault="000406DD" w:rsidP="000406DD">
      <w:pPr>
        <w:pStyle w:val="FirstParagraph"/>
      </w:pPr>
      <w:r>
        <w:t xml:space="preserve">The log baseline rate </w:t>
      </w:r>
      <m:oMath>
        <m:sSub>
          <m:sSubPr>
            <m:ctrlPr>
              <w:rPr>
                <w:rFonts w:ascii="Cambria Math" w:hAnsi="Cambria Math"/>
              </w:rPr>
            </m:ctrlPr>
          </m:sSubPr>
          <m:e>
            <m:r>
              <w:rPr>
                <w:rFonts w:ascii="Cambria Math" w:hAnsi="Cambria Math"/>
              </w:rPr>
              <m:t>β</m:t>
            </m:r>
          </m:e>
          <m:sub>
            <m:r>
              <w:rPr>
                <w:rFonts w:ascii="Cambria Math" w:hAnsi="Cambria Math"/>
              </w:rPr>
              <m:t>0</m:t>
            </m:r>
          </m:sub>
        </m:sSub>
      </m:oMath>
      <w:r>
        <w:t xml:space="preserve"> is excluded from the acceptability rule (Section 2.7.1); its trajectory is reported here as a check on the </w:t>
      </w:r>
      <m:oMath>
        <m:r>
          <m:rPr>
            <m:sty m:val="p"/>
          </m:rPr>
          <w:rPr>
            <w:rFonts w:ascii="Cambria Math" w:hAnsi="Cambria Math"/>
          </w:rPr>
          <m:t>log(</m:t>
        </m:r>
        <m:r>
          <w:rPr>
            <w:rFonts w:ascii="Cambria Math" w:hAnsi="Cambria Math"/>
          </w:rPr>
          <m:t>1</m:t>
        </m:r>
        <m:r>
          <m:rPr>
            <m:sty m:val="p"/>
          </m:rPr>
          <w:rPr>
            <w:rFonts w:ascii="Cambria Math" w:hAnsi="Cambria Math"/>
          </w:rPr>
          <m:t>+</m:t>
        </m:r>
        <m:r>
          <w:rPr>
            <w:rFonts w:ascii="Cambria Math" w:hAnsi="Cambria Math"/>
          </w:rPr>
          <m:t>p</m:t>
        </m:r>
        <m:r>
          <m:rPr>
            <m:sty m:val="p"/>
          </m:rPr>
          <w:rPr>
            <w:rFonts w:ascii="Cambria Math" w:hAnsi="Cambria Math"/>
          </w:rPr>
          <m:t>)</m:t>
        </m:r>
      </m:oMath>
      <w:r>
        <w:t xml:space="preserve"> prediction of Appendix B. At the 0% condition </w:t>
      </w:r>
      <m:oMath>
        <m:sSub>
          <m:sSubPr>
            <m:ctrlPr>
              <w:rPr>
                <w:rFonts w:ascii="Cambria Math" w:hAnsi="Cambria Math"/>
              </w:rPr>
            </m:ctrlPr>
          </m:sSubPr>
          <m:e>
            <m:r>
              <w:rPr>
                <w:rFonts w:ascii="Cambria Math" w:hAnsi="Cambria Math"/>
              </w:rPr>
              <m:t>β</m:t>
            </m:r>
          </m:e>
          <m:sub>
            <m:r>
              <w:rPr>
                <w:rFonts w:ascii="Cambria Math" w:hAnsi="Cambria Math"/>
              </w:rPr>
              <m:t>0</m:t>
            </m:r>
          </m:sub>
        </m:sSub>
      </m:oMath>
      <w:r>
        <w:t xml:space="preserve"> is recovered close to its generating value (</w:t>
      </w:r>
      <m:oMath>
        <m:r>
          <m:rPr>
            <m:sty m:val="p"/>
          </m:rPr>
          <w:rPr>
            <w:rFonts w:ascii="Cambria Math" w:hAnsi="Cambria Math"/>
          </w:rPr>
          <m:t>-</m:t>
        </m:r>
        <m:r>
          <w:rPr>
            <w:rFonts w:ascii="Cambria Math" w:hAnsi="Cambria Math"/>
          </w:rPr>
          <m:t>5.02</m:t>
        </m:r>
      </m:oMath>
      <w:r>
        <w:t xml:space="preserve"> against </w:t>
      </w:r>
      <m:oMath>
        <m:r>
          <m:rPr>
            <m:sty m:val="p"/>
          </m:rPr>
          <w:rPr>
            <w:rFonts w:ascii="Cambria Math" w:hAnsi="Cambria Math"/>
          </w:rPr>
          <m:t>-</m:t>
        </m:r>
        <m:r>
          <w:rPr>
            <w:rFonts w:ascii="Cambria Math" w:hAnsi="Cambria Math"/>
          </w:rPr>
          <m:t>5.00</m:t>
        </m:r>
      </m:oMath>
      <w:r>
        <w:t xml:space="preserve">). As the multi-receiver proportion increases, the recovered </w:t>
      </w:r>
      <m:oMath>
        <m:sSub>
          <m:sSubPr>
            <m:ctrlPr>
              <w:rPr>
                <w:rFonts w:ascii="Cambria Math" w:hAnsi="Cambria Math"/>
              </w:rPr>
            </m:ctrlPr>
          </m:sSubPr>
          <m:e>
            <m:r>
              <w:rPr>
                <w:rFonts w:ascii="Cambria Math" w:hAnsi="Cambria Math"/>
              </w:rPr>
              <m:t>β</m:t>
            </m:r>
          </m:e>
          <m:sub>
            <m:r>
              <w:rPr>
                <w:rFonts w:ascii="Cambria Math" w:hAnsi="Cambria Math"/>
              </w:rPr>
              <m:t>0</m:t>
            </m:r>
          </m:sub>
        </m:sSub>
      </m:oMath>
      <w:r>
        <w:t xml:space="preserve"> rises monotonically, by </w:t>
      </w:r>
      <m:oMath>
        <m:r>
          <w:rPr>
            <w:rFonts w:ascii="Cambria Math" w:hAnsi="Cambria Math"/>
          </w:rPr>
          <m:t>0.106</m:t>
        </m:r>
      </m:oMath>
      <w:r>
        <w:t xml:space="preserve"> at 8% and </w:t>
      </w:r>
      <m:oMath>
        <m:r>
          <w:rPr>
            <w:rFonts w:ascii="Cambria Math" w:hAnsi="Cambria Math"/>
          </w:rPr>
          <m:t>0.276</m:t>
        </m:r>
      </m:oMath>
      <w:r>
        <w:t xml:space="preserve"> at 24% relative to the 0% mean. The first-order prediction </w:t>
      </w:r>
      <m:oMath>
        <m:r>
          <m:rPr>
            <m:sty m:val="p"/>
          </m:rPr>
          <w:rPr>
            <w:rFonts w:ascii="Cambria Math" w:hAnsi="Cambria Math"/>
          </w:rPr>
          <m:t>log(</m:t>
        </m:r>
        <m:r>
          <w:rPr>
            <w:rFonts w:ascii="Cambria Math" w:hAnsi="Cambria Math"/>
          </w:rPr>
          <m:t>1</m:t>
        </m:r>
        <m:r>
          <m:rPr>
            <m:sty m:val="p"/>
          </m:rPr>
          <w:rPr>
            <w:rFonts w:ascii="Cambria Math" w:hAnsi="Cambria Math"/>
          </w:rPr>
          <m:t>+</m:t>
        </m:r>
        <m:r>
          <w:rPr>
            <w:rFonts w:ascii="Cambria Math" w:hAnsi="Cambria Math"/>
          </w:rPr>
          <m:t>p</m:t>
        </m:r>
        <m:r>
          <m:rPr>
            <m:sty m:val="p"/>
          </m:rPr>
          <w:rPr>
            <w:rFonts w:ascii="Cambria Math" w:hAnsi="Cambria Math"/>
          </w:rPr>
          <m:t>)</m:t>
        </m:r>
      </m:oMath>
      <w:r>
        <w:t xml:space="preserve"> gives </w:t>
      </w:r>
      <m:oMath>
        <m:r>
          <w:rPr>
            <w:rFonts w:ascii="Cambria Math" w:hAnsi="Cambria Math"/>
          </w:rPr>
          <m:t>0.077</m:t>
        </m:r>
      </m:oMath>
      <w:r>
        <w:t xml:space="preserve"> and </w:t>
      </w:r>
      <m:oMath>
        <m:r>
          <w:rPr>
            <w:rFonts w:ascii="Cambria Math" w:hAnsi="Cambria Math"/>
          </w:rPr>
          <m:t>0.215</m:t>
        </m:r>
      </m:oMath>
      <w:r>
        <w:t xml:space="preserve"> at the same proportions, so the empirical shift has the predicted sign and shape but runs consistently above it, by about </w:t>
      </w:r>
      <m:oMath>
        <m:r>
          <w:rPr>
            <w:rFonts w:ascii="Cambria Math" w:hAnsi="Cambria Math"/>
          </w:rPr>
          <m:t>0.06</m:t>
        </m:r>
      </m:oMath>
      <w:r>
        <w:t xml:space="preserve"> at 24%. This over-shift is the expected consequence of the attenuation reported in Section </w:t>
      </w:r>
      <w:r w:rsidR="0040093F">
        <w:fldChar w:fldCharType="begin"/>
      </w:r>
      <w:r w:rsidR="0040093F">
        <w:instrText xml:space="preserve"> REF _Ref232774699 \r \h </w:instrText>
      </w:r>
      <w:r w:rsidR="0040093F">
        <w:fldChar w:fldCharType="separate"/>
      </w:r>
      <w:r w:rsidR="0040093F">
        <w:t>3.3</w:t>
      </w:r>
      <w:r w:rsidR="0040093F">
        <w:fldChar w:fldCharType="end"/>
      </w:r>
      <w:r>
        <w:t xml:space="preserve">: as the </w:t>
      </w:r>
      <w:proofErr w:type="gramStart"/>
      <w:r>
        <w:t>positively-signed</w:t>
      </w:r>
      <w:proofErr w:type="gramEnd"/>
      <w:r>
        <w:t xml:space="preserve"> effects shrink towards zero, their average contribution to the linear predictor falls, so </w:t>
      </w:r>
      <m:oMath>
        <m:sSub>
          <m:sSubPr>
            <m:ctrlPr>
              <w:rPr>
                <w:rFonts w:ascii="Cambria Math" w:hAnsi="Cambria Math"/>
              </w:rPr>
            </m:ctrlPr>
          </m:sSubPr>
          <m:e>
            <m:r>
              <w:rPr>
                <w:rFonts w:ascii="Cambria Math" w:hAnsi="Cambria Math"/>
              </w:rPr>
              <m:t>β</m:t>
            </m:r>
          </m:e>
          <m:sub>
            <m:r>
              <w:rPr>
                <w:rFonts w:ascii="Cambria Math" w:hAnsi="Cambria Math"/>
              </w:rPr>
              <m:t>0</m:t>
            </m:r>
          </m:sub>
        </m:sSub>
      </m:oMath>
      <w:r>
        <w:t xml:space="preserve"> </w:t>
      </w:r>
      <w:proofErr w:type="gramStart"/>
      <w:r>
        <w:t>has to</w:t>
      </w:r>
      <w:proofErr w:type="gramEnd"/>
      <w:r>
        <w:t xml:space="preserve"> rise beyond </w:t>
      </w:r>
      <m:oMath>
        <m:r>
          <m:rPr>
            <m:sty m:val="p"/>
          </m:rPr>
          <w:rPr>
            <w:rFonts w:ascii="Cambria Math" w:hAnsi="Cambria Math"/>
          </w:rPr>
          <m:t>log(</m:t>
        </m:r>
        <m:r>
          <w:rPr>
            <w:rFonts w:ascii="Cambria Math" w:hAnsi="Cambria Math"/>
          </w:rPr>
          <m:t>1</m:t>
        </m:r>
        <m:r>
          <m:rPr>
            <m:sty m:val="p"/>
          </m:rPr>
          <w:rPr>
            <w:rFonts w:ascii="Cambria Math" w:hAnsi="Cambria Math"/>
          </w:rPr>
          <m:t>+</m:t>
        </m:r>
        <m:r>
          <w:rPr>
            <w:rFonts w:ascii="Cambria Math" w:hAnsi="Cambria Math"/>
          </w:rPr>
          <m:t>p</m:t>
        </m:r>
        <m:r>
          <m:rPr>
            <m:sty m:val="p"/>
          </m:rPr>
          <w:rPr>
            <w:rFonts w:ascii="Cambria Math" w:hAnsi="Cambria Math"/>
          </w:rPr>
          <m:t>)</m:t>
        </m:r>
      </m:oMath>
      <w:r>
        <w:t xml:space="preserve"> to keep the fitted rate matched to the </w:t>
      </w:r>
      <m:oMath>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p</m:t>
        </m:r>
        <m:r>
          <m:rPr>
            <m:sty m:val="p"/>
          </m:rPr>
          <w:rPr>
            <w:rFonts w:ascii="Cambria Math" w:hAnsi="Cambria Math"/>
          </w:rPr>
          <m:t>)</m:t>
        </m:r>
        <m:r>
          <w:rPr>
            <w:rFonts w:ascii="Cambria Math" w:hAnsi="Cambria Math"/>
          </w:rPr>
          <m:t> M</m:t>
        </m:r>
      </m:oMath>
      <w:r>
        <w:t xml:space="preserve"> observed rows. The same-group attenuation alone, a drop of roughly </w:t>
      </w:r>
      <m:oMath>
        <m:r>
          <w:rPr>
            <w:rFonts w:ascii="Cambria Math" w:hAnsi="Cambria Math"/>
          </w:rPr>
          <m:t>0.11</m:t>
        </m:r>
      </m:oMath>
      <w:r>
        <w:t xml:space="preserve"> on an indicator with mean near </w:t>
      </w:r>
      <m:oMath>
        <m:r>
          <w:rPr>
            <w:rFonts w:ascii="Cambria Math" w:hAnsi="Cambria Math"/>
          </w:rPr>
          <m:t>0.5</m:t>
        </m:r>
      </m:oMath>
      <w:r>
        <w:t xml:space="preserve">, accounts for about </w:t>
      </w:r>
      <m:oMath>
        <m:r>
          <w:rPr>
            <w:rFonts w:ascii="Cambria Math" w:hAnsi="Cambria Math"/>
          </w:rPr>
          <m:t>0.05</m:t>
        </m:r>
      </m:oMath>
      <w:r>
        <w:t xml:space="preserve"> of the </w:t>
      </w:r>
      <m:oMath>
        <m:r>
          <w:rPr>
            <w:rFonts w:ascii="Cambria Math" w:hAnsi="Cambria Math"/>
          </w:rPr>
          <m:t>0.06</m:t>
        </m:r>
      </m:oMath>
      <w:r>
        <w:t xml:space="preserve"> over-shift at 24%. Folding the coefficient attenuation into the accounting argument of Appendix B therefore reproduces the trajectory, and the exclusion of </w:t>
      </w:r>
      <m:oMath>
        <m:sSub>
          <m:sSubPr>
            <m:ctrlPr>
              <w:rPr>
                <w:rFonts w:ascii="Cambria Math" w:hAnsi="Cambria Math"/>
              </w:rPr>
            </m:ctrlPr>
          </m:sSubPr>
          <m:e>
            <m:r>
              <w:rPr>
                <w:rFonts w:ascii="Cambria Math" w:hAnsi="Cambria Math"/>
              </w:rPr>
              <m:t>β</m:t>
            </m:r>
          </m:e>
          <m:sub>
            <m:r>
              <w:rPr>
                <w:rFonts w:ascii="Cambria Math" w:hAnsi="Cambria Math"/>
              </w:rPr>
              <m:t>0</m:t>
            </m:r>
          </m:sub>
        </m:sSub>
      </m:oMath>
      <w:r>
        <w:t xml:space="preserve"> from the threshold rule stands.</w:t>
      </w:r>
    </w:p>
    <w:p w14:paraId="4283D2C2" w14:textId="25688E56" w:rsidR="000406DD" w:rsidRDefault="000406DD" w:rsidP="00E426E5">
      <w:pPr>
        <w:pStyle w:val="Heading3"/>
      </w:pPr>
      <w:bookmarkStart w:id="84" w:name="sensitivity-to-the-acceptability-rule"/>
      <w:bookmarkStart w:id="85" w:name="_Toc233640848"/>
      <w:bookmarkEnd w:id="82"/>
      <w:r>
        <w:t>Sensitivity to the acceptability rule</w:t>
      </w:r>
      <w:bookmarkEnd w:id="85"/>
    </w:p>
    <w:p w14:paraId="56392588" w14:textId="69B8E95F" w:rsidR="000406DD" w:rsidRDefault="000406DD" w:rsidP="000406DD">
      <w:pPr>
        <w:pStyle w:val="FirstParagraph"/>
      </w:pPr>
      <w:r>
        <w:t xml:space="preserve">The headline threshold is reported under the per-effect recovery-noise band. Re-applying the earlier specification, a single absolute log-rate cap of </w:t>
      </w:r>
      <m:oMath>
        <m:r>
          <m:rPr>
            <m:sty m:val="p"/>
          </m:rPr>
          <w:rPr>
            <w:rFonts w:ascii="Cambria Math" w:hAnsi="Cambria Math"/>
          </w:rPr>
          <m:t>|</m:t>
        </m:r>
        <m:r>
          <m:rPr>
            <m:nor/>
          </m:rPr>
          <m:t>bias</m:t>
        </m:r>
        <m:r>
          <m:rPr>
            <m:sty m:val="p"/>
          </m:rPr>
          <w:rPr>
            <w:rFonts w:ascii="Cambria Math" w:hAnsi="Cambria Math"/>
          </w:rPr>
          <m:t>|≤</m:t>
        </m:r>
        <m:r>
          <w:rPr>
            <w:rFonts w:ascii="Cambria Math" w:hAnsi="Cambria Math"/>
          </w:rPr>
          <m:t>0.05</m:t>
        </m:r>
      </m:oMath>
      <w:r>
        <w:t xml:space="preserve"> across all effects (Section 2.7.3), returns the same grid threshold of 8%: at 8% the largest absolute bias is same-group homophily at </w:t>
      </w:r>
      <m:oMath>
        <m:r>
          <w:rPr>
            <w:rFonts w:ascii="Cambria Math" w:hAnsi="Cambria Math"/>
          </w:rPr>
          <m:t>0.050</m:t>
        </m:r>
      </m:oMath>
      <w:r>
        <w:t xml:space="preserve">, at the cap edge, and at 12% same-group homophily reaches </w:t>
      </w:r>
      <m:oMath>
        <m:r>
          <w:rPr>
            <w:rFonts w:ascii="Cambria Math" w:hAnsi="Cambria Math"/>
          </w:rPr>
          <m:t>0.064</m:t>
        </m:r>
      </m:oMath>
      <w:r>
        <w:t xml:space="preserve"> and fails the cap. The two rules therefore agree on the </w:t>
      </w:r>
      <w:r w:rsidR="00E875F0">
        <w:t>reliable</w:t>
      </w:r>
      <w:r>
        <w:t xml:space="preserve"> ceiling at 8% and agree that deterioration begins in the 8%–16% interval, with the cap rule failing at 12% where the band rule is marginal. The 8% threshold is robust to this change of rule.</w:t>
      </w:r>
    </w:p>
    <w:p w14:paraId="46DBEAD1" w14:textId="378827BC" w:rsidR="000406DD" w:rsidRDefault="000406DD" w:rsidP="00E426E5">
      <w:pPr>
        <w:pStyle w:val="Heading2"/>
      </w:pPr>
      <w:bookmarkStart w:id="86" w:name="conclusion-and-discussion"/>
      <w:bookmarkStart w:id="87" w:name="_Toc233640849"/>
      <w:bookmarkEnd w:id="84"/>
      <w:r>
        <w:t>Conclusion and Discussion</w:t>
      </w:r>
      <w:bookmarkEnd w:id="87"/>
    </w:p>
    <w:p w14:paraId="7DCC3BEC" w14:textId="77777777" w:rsidR="000406DD" w:rsidRDefault="000406DD" w:rsidP="000406DD">
      <w:pPr>
        <w:pStyle w:val="FirstParagraph"/>
      </w:pPr>
      <w:r>
        <w:t xml:space="preserve">The introduction set out a problem that applied researchers face whenever they work with communication data: the relational event model is dyadic, much real communication is multi-receiver, and the common workaround of replicating each multi-receiver event into several dyadic events is applied routinely but without a quantitative sense of when it stops being trustworthy. This thesis set out to close that gap by measuring, in a controlled simulation with known generating parameters, the multi-receiver </w:t>
      </w:r>
      <w:proofErr w:type="gramStart"/>
      <w:r>
        <w:t>share</w:t>
      </w:r>
      <w:proofErr w:type="gramEnd"/>
      <w:r>
        <w:t xml:space="preserve"> up to which the dyadic transformation still recovers those parameters. This chapter interprets what that measurement means, where it applies, and where it does not. It does not introduce new results; the numbers it refers to are reported in the Results chapter.</w:t>
      </w:r>
    </w:p>
    <w:p w14:paraId="1F23D16F" w14:textId="3C72AB50" w:rsidR="000406DD" w:rsidRDefault="000406DD" w:rsidP="00E426E5">
      <w:pPr>
        <w:pStyle w:val="Heading3"/>
      </w:pPr>
      <w:bookmarkStart w:id="88" w:name="_Ref232774808"/>
      <w:bookmarkStart w:id="89" w:name="X18afddcef9c7abf58b4728cf6836dba56af98ad"/>
      <w:bookmarkStart w:id="90" w:name="_Toc233640850"/>
      <w:r>
        <w:t>The multi-receiver threshold for parameter recovery</w:t>
      </w:r>
      <w:bookmarkEnd w:id="88"/>
      <w:bookmarkEnd w:id="90"/>
    </w:p>
    <w:p w14:paraId="3C265D2D" w14:textId="1F091DF0" w:rsidR="000406DD" w:rsidRDefault="000406DD" w:rsidP="000406DD">
      <w:pPr>
        <w:pStyle w:val="FirstParagraph"/>
      </w:pPr>
      <w:r>
        <w:t xml:space="preserve">The core finding is a threshold. Measured against the per-effect recovery-noise band over 28 independent baseline datasets, the dyadic transformation recovers the known generating parameters up to a multi-receiver share of about 8%, becomes borderline through roughly 12%, and is no longer reliable beyond it (Section </w:t>
      </w:r>
      <w:r w:rsidR="0040093F">
        <w:fldChar w:fldCharType="begin"/>
      </w:r>
      <w:r w:rsidR="0040093F">
        <w:instrText xml:space="preserve"> REF _Ref232774710 \r \h </w:instrText>
      </w:r>
      <w:r w:rsidR="0040093F">
        <w:fldChar w:fldCharType="separate"/>
      </w:r>
      <w:r w:rsidR="0040093F">
        <w:t>3.2</w:t>
      </w:r>
      <w:r w:rsidR="0040093F">
        <w:fldChar w:fldCharType="end"/>
      </w:r>
      <w:r>
        <w:t xml:space="preserve">, Section </w:t>
      </w:r>
      <w:r w:rsidR="0040093F">
        <w:fldChar w:fldCharType="begin"/>
      </w:r>
      <w:r w:rsidR="0040093F">
        <w:instrText xml:space="preserve"> REF _Ref232774716 \r \h </w:instrText>
      </w:r>
      <w:r w:rsidR="0040093F">
        <w:fldChar w:fldCharType="separate"/>
      </w:r>
      <w:r w:rsidR="0040093F">
        <w:t>3.3</w:t>
      </w:r>
      <w:r w:rsidR="0040093F">
        <w:fldChar w:fldCharType="end"/>
      </w:r>
      <w:r>
        <w:t>). What makes the finding more than a single number is the order in which the effects fail, which follows directly from how the transformation contaminates each statistic.</w:t>
      </w:r>
    </w:p>
    <w:p w14:paraId="26D156A0" w14:textId="77777777" w:rsidR="000406DD" w:rsidRDefault="000406DD" w:rsidP="000406DD">
      <w:pPr>
        <w:pStyle w:val="BodyText"/>
      </w:pPr>
      <w:r>
        <w:t>Outgoing two-paths is the first to leave its band, and it does so because it is triadic. Each injected sender-to-extra-receiver event creates a spurious two-path for every past event into that receiver, so triadic contamination accumulates faster than the contamination of any dyadic statistic and outruns its own very tight recovery noise first, despite only a small absolute bias. Same-group homophily attenuates next because the extra receiver is drawn at random and is group-agnostic, so it dilutes the homophily signal towards zero. Reciprocity picks up spurious returns whenever the extra receiver had previously messaged the sender, while inertia and the active-attribute difference are the most local to the original dyad and dilute slowest. The threshold is therefore not an arbitrary cut-off but the point at which the most contamination-prone statistic, the triadic one, can no longer be distinguished from its own recovery noise.</w:t>
      </w:r>
    </w:p>
    <w:p w14:paraId="47F4F258" w14:textId="34D7C382" w:rsidR="000406DD" w:rsidRDefault="000406DD" w:rsidP="00E426E5">
      <w:pPr>
        <w:pStyle w:val="Heading3"/>
      </w:pPr>
      <w:bookmarkStart w:id="91" w:name="_Ref232774687"/>
      <w:bookmarkStart w:id="92" w:name="Xfe9dfd041e7d1128c36ec0a589ca4a83b77570c"/>
      <w:bookmarkStart w:id="93" w:name="_Toc233640851"/>
      <w:bookmarkEnd w:id="89"/>
      <w:r>
        <w:t>A three-zone operating range and the recommendation for applied work</w:t>
      </w:r>
      <w:bookmarkEnd w:id="91"/>
      <w:bookmarkEnd w:id="93"/>
    </w:p>
    <w:p w14:paraId="1B01F8FB" w14:textId="7E1D108B" w:rsidR="000406DD" w:rsidRDefault="000406DD" w:rsidP="000406DD">
      <w:pPr>
        <w:pStyle w:val="FirstParagraph"/>
      </w:pPr>
      <w:r>
        <w:t xml:space="preserve">Section </w:t>
      </w:r>
      <w:r w:rsidR="0040093F">
        <w:fldChar w:fldCharType="begin"/>
      </w:r>
      <w:r w:rsidR="0040093F">
        <w:instrText xml:space="preserve"> REF _Ref232774725 \r \h </w:instrText>
      </w:r>
      <w:r w:rsidR="0040093F">
        <w:fldChar w:fldCharType="separate"/>
      </w:r>
      <w:r w:rsidR="0040093F">
        <w:t>1.5</w:t>
      </w:r>
      <w:r w:rsidR="0040093F">
        <w:fldChar w:fldCharType="end"/>
      </w:r>
      <w:r>
        <w:t xml:space="preserve"> asked up to what proportion of multi-receiver events the dyadic transformation preserves REM estimates close to the known generating parameters. The answer is best expressed as a three-zone operating range rather than a single cut-off. The transformation is reliable up to a multi-receiver share of about 8%, where every effect is comfortably within its band; borderline between 8% and roughly 12%, where the rule still passes but the binding statistic, outgoing two-paths, is within band-uncertainty of failing; and unreliable above roughly 12%, where outgoing two-paths crosses its band, with the breach unambiguous by 16% when same-group homophily moves clearly out of band as well.</w:t>
      </w:r>
    </w:p>
    <w:p w14:paraId="35B974F3" w14:textId="61B6122C" w:rsidR="000406DD" w:rsidRDefault="000406DD" w:rsidP="000406DD">
      <w:pPr>
        <w:pStyle w:val="BodyText"/>
      </w:pPr>
      <w:r>
        <w:t>The recommendation for applied work follows directly. For multi-receiver shares up to about 8% the dyadic transformation with a tie-breaking timestamp noise recovers the generating parameters well enough to be relied upon; in the 8%–12% range it should be used with caution, with the multi-receiver share reported alongside the estimates; and above roughly 12% a native multi-receiver model such as RHEM (</w:t>
      </w:r>
      <w:hyperlink w:anchor="ref_Lerner_2023" w:history="1">
        <w:r>
          <w:t>Lerner &amp; Lomi, 2023</w:t>
        </w:r>
      </w:hyperlink>
      <w:r>
        <w:t xml:space="preserve">), a restructuring of the data, or a different estimator should be used instead of the dyadic transformation. The contextual RHEM benchmark supports this directly: in exactly the range where the dyadic REM begins to attenuate, the native model holds its structural coefficients close to their baseline values (Section </w:t>
      </w:r>
      <w:r w:rsidR="0040093F">
        <w:fldChar w:fldCharType="begin"/>
      </w:r>
      <w:r w:rsidR="0040093F">
        <w:instrText xml:space="preserve"> REF _Ref232774734 \r \h </w:instrText>
      </w:r>
      <w:r w:rsidR="0040093F">
        <w:fldChar w:fldCharType="separate"/>
      </w:r>
      <w:r w:rsidR="0040093F">
        <w:t>3.4</w:t>
      </w:r>
      <w:r w:rsidR="0040093F">
        <w:fldChar w:fldCharType="end"/>
      </w:r>
      <w:r>
        <w:t>).</w:t>
      </w:r>
    </w:p>
    <w:p w14:paraId="26C857DC" w14:textId="1DD930A7" w:rsidR="000406DD" w:rsidRDefault="000406DD" w:rsidP="00E426E5">
      <w:pPr>
        <w:pStyle w:val="Heading3"/>
      </w:pPr>
      <w:bookmarkStart w:id="94" w:name="implications-for-the-applied-domain"/>
      <w:bookmarkStart w:id="95" w:name="_Toc233640852"/>
      <w:bookmarkEnd w:id="92"/>
      <w:r>
        <w:t>Implications for the applied domain</w:t>
      </w:r>
      <w:bookmarkEnd w:id="95"/>
    </w:p>
    <w:p w14:paraId="6EDF54A2" w14:textId="77777777" w:rsidR="000406DD" w:rsidRDefault="000406DD" w:rsidP="000406DD">
      <w:pPr>
        <w:pStyle w:val="FirstParagraph"/>
      </w:pPr>
      <w:r>
        <w:t xml:space="preserve">Within the range studied, the recommendation is a guardrail rather than a repair: above the borderline zone the dyadic transformation should be replaced, not patched, because the receiver-set composition lost in separating an event into dyads is not recoverable from the transformed data. The recommendation is also bounded above by the 24% grid, whose upper end already sits below the 31% multicast share that </w:t>
      </w:r>
      <w:hyperlink w:anchor="ref_Mulder_2024" w:history="1">
        <w:r>
          <w:t>Mulder and Hoff (2024)</w:t>
        </w:r>
      </w:hyperlink>
      <w:r>
        <w:t xml:space="preserve"> report for the Enron corpus; the experiment makes no claim about higher shares.</w:t>
      </w:r>
    </w:p>
    <w:p w14:paraId="08BEB029" w14:textId="48DF3D2D" w:rsidR="000406DD" w:rsidRDefault="000406DD" w:rsidP="000406DD">
      <w:pPr>
        <w:pStyle w:val="BodyText"/>
      </w:pPr>
      <w:r>
        <w:t xml:space="preserve">The behaviour of the baseline rate has a direct applied reading. Additive injection makes the long table genuinely larger, so the recovered pacing constant rises with it (Section </w:t>
      </w:r>
      <w:r w:rsidR="0040093F">
        <w:fldChar w:fldCharType="begin"/>
      </w:r>
      <w:r w:rsidR="0040093F">
        <w:instrText xml:space="preserve"> REF _Ref232774743 \r \h </w:instrText>
      </w:r>
      <w:r w:rsidR="0040093F">
        <w:fldChar w:fldCharType="separate"/>
      </w:r>
      <w:r w:rsidR="0040093F">
        <w:t>3.5</w:t>
      </w:r>
      <w:r w:rsidR="0040093F">
        <w:fldChar w:fldCharType="end"/>
      </w:r>
      <w:r>
        <w:t xml:space="preserve">); this is the in-vitro counterpart of the sample-size inflation that </w:t>
      </w:r>
      <w:hyperlink w:anchor="ref_Mulder_2024" w:history="1">
        <w:r>
          <w:t>Mulder and Hoff (2024)</w:t>
        </w:r>
      </w:hyperlink>
      <w:r>
        <w:t xml:space="preserve"> identify when carbon-copy lists are dyadically expanded. An analyst who dyadically expands real multicast data and reports the recovered baseline rate is therefore describing the expanded process, not the underlying multicast process, and should read it as such. The thesis recommendation concerns recovery of the tie-oriented coefficients, which carry the substantive content of an applied REM analysis.</w:t>
      </w:r>
    </w:p>
    <w:p w14:paraId="1678B830" w14:textId="77777777" w:rsidR="000406DD" w:rsidRDefault="000406DD" w:rsidP="000406DD">
      <w:pPr>
        <w:pStyle w:val="BodyText"/>
      </w:pPr>
      <w:r>
        <w:t xml:space="preserve">How far the 8% ceiling carries to real multicast data depends on how real multicast differs from the random-tagging design used here. The extra receivers in this design are drawn uniformly from non-participating actors and carry no covariate or history signal, which is arguably the most benign multicast structure available: it adds rows without introducing receiver-set composition that the dyadic REM cannot represent. On the a-fortiori reading, structured multicast can then only fare the same or worse, so a ceiling of about 8% even under maximally uninformative multicast is a defensible upper bound on where recovery remains safe. The competing reading is that structured multicast biases the dyadic statistics differently rather than simply more: correlated carbon-copy lists could, for instance, attenuate same-group homophily less if the co-receivers share the sender’s group, while fat-tailed receiver-set sizes would multiply exactly the spurious two-paths that already make outgoing two-paths the binding statistic. Because the binding statistic is triadic, and correlated receiver sets would plausibly create more spurious two-paths rather than fewer, we treat the a-fortiori reading as the </w:t>
      </w:r>
      <w:proofErr w:type="gramStart"/>
      <w:r>
        <w:t>load-bearing</w:t>
      </w:r>
      <w:proofErr w:type="gramEnd"/>
      <w:r>
        <w:t xml:space="preserve"> one for a conservative recommendation, while noting that a structured-multicast generator is the natural experiment to settle the direction.</w:t>
      </w:r>
    </w:p>
    <w:p w14:paraId="303ED21F" w14:textId="753E874B" w:rsidR="000406DD" w:rsidRDefault="000406DD" w:rsidP="00E426E5">
      <w:pPr>
        <w:pStyle w:val="Heading3"/>
      </w:pPr>
      <w:bookmarkStart w:id="96" w:name="_Ref232774753"/>
      <w:bookmarkStart w:id="97" w:name="limitations"/>
      <w:bookmarkStart w:id="98" w:name="_Toc233640853"/>
      <w:bookmarkEnd w:id="94"/>
      <w:r>
        <w:t>Limitations</w:t>
      </w:r>
      <w:bookmarkEnd w:id="96"/>
      <w:bookmarkEnd w:id="98"/>
    </w:p>
    <w:p w14:paraId="750FAA14" w14:textId="77777777" w:rsidR="000406DD" w:rsidRDefault="000406DD" w:rsidP="000406DD">
      <w:pPr>
        <w:pStyle w:val="FirstParagraph"/>
      </w:pPr>
      <w:r>
        <w:t>Several scope conditions bound the result. The simulation is run at a single configuration (</w:t>
      </w:r>
      <m:oMath>
        <m:r>
          <w:rPr>
            <w:rFonts w:ascii="Cambria Math" w:hAnsi="Cambria Math"/>
          </w:rPr>
          <m:t>N</m:t>
        </m:r>
        <m:r>
          <m:rPr>
            <m:sty m:val="p"/>
          </m:rPr>
          <w:rPr>
            <w:rFonts w:ascii="Cambria Math" w:hAnsi="Cambria Math"/>
          </w:rPr>
          <m:t>=</m:t>
        </m:r>
        <m:r>
          <w:rPr>
            <w:rFonts w:ascii="Cambria Math" w:hAnsi="Cambria Math"/>
          </w:rPr>
          <m:t>20</m:t>
        </m:r>
      </m:oMath>
      <w:r>
        <w:t xml:space="preserve"> actors, </w:t>
      </w:r>
      <m:oMath>
        <m:r>
          <w:rPr>
            <w:rFonts w:ascii="Cambria Math" w:hAnsi="Cambria Math"/>
          </w:rPr>
          <m:t>M</m:t>
        </m:r>
        <m:r>
          <m:rPr>
            <m:sty m:val="p"/>
          </m:rPr>
          <w:rPr>
            <w:rFonts w:ascii="Cambria Math" w:hAnsi="Cambria Math"/>
          </w:rPr>
          <m:t>=</m:t>
        </m:r>
        <m:r>
          <w:rPr>
            <w:rFonts w:ascii="Cambria Math" w:hAnsi="Cambria Math"/>
          </w:rPr>
          <m:t>2</m:t>
        </m:r>
        <m:r>
          <m:rPr>
            <m:sty m:val="p"/>
          </m:rPr>
          <w:rPr>
            <w:rFonts w:ascii="Cambria Math" w:hAnsi="Cambria Math"/>
          </w:rPr>
          <m:t>,</m:t>
        </m:r>
        <m:r>
          <w:rPr>
            <w:rFonts w:ascii="Cambria Math" w:hAnsi="Cambria Math"/>
          </w:rPr>
          <m:t>000</m:t>
        </m:r>
      </m:oMath>
      <w:r>
        <w:t xml:space="preserve"> events), so the threshold is conditional on this configuration. The dependence on </w:t>
      </w:r>
      <m:oMath>
        <m:r>
          <w:rPr>
            <w:rFonts w:ascii="Cambria Math" w:hAnsi="Cambria Math"/>
          </w:rPr>
          <m:t>M</m:t>
        </m:r>
      </m:oMath>
      <w:r>
        <w:t xml:space="preserve"> is not harmless: cumulative-count inertia is self-reinforcing, so the feasible inertia coefficient shrinks as </w:t>
      </w:r>
      <m:oMath>
        <m:r>
          <w:rPr>
            <w:rFonts w:ascii="Cambria Math" w:hAnsi="Cambria Math"/>
          </w:rPr>
          <m:t>M</m:t>
        </m:r>
      </m:oMath>
      <w:r>
        <w:t xml:space="preserve"> grows (Table 3), and an exploratory check at </w:t>
      </w:r>
      <m:oMath>
        <m:r>
          <w:rPr>
            <w:rFonts w:ascii="Cambria Math" w:hAnsi="Cambria Math"/>
          </w:rPr>
          <m:t>M</m:t>
        </m:r>
        <m:r>
          <m:rPr>
            <m:sty m:val="p"/>
          </m:rPr>
          <w:rPr>
            <w:rFonts w:ascii="Cambria Math" w:hAnsi="Cambria Math"/>
          </w:rPr>
          <m:t>=</m:t>
        </m:r>
        <m:r>
          <w:rPr>
            <w:rFonts w:ascii="Cambria Math" w:hAnsi="Cambria Math"/>
          </w:rPr>
          <m:t>3</m:t>
        </m:r>
        <m:r>
          <m:rPr>
            <m:sty m:val="p"/>
          </m:rPr>
          <w:rPr>
            <w:rFonts w:ascii="Cambria Math" w:hAnsi="Cambria Math"/>
          </w:rPr>
          <m:t>,</m:t>
        </m:r>
        <m:r>
          <w:rPr>
            <w:rFonts w:ascii="Cambria Math" w:hAnsi="Cambria Math"/>
          </w:rPr>
          <m:t>000</m:t>
        </m:r>
      </m:oMath>
      <w:r>
        <w:t xml:space="preserve"> made recovery worse across every effect through the same feedback. A larger event count is therefore not a route to a safer transformation, and the 8% ceiling should be re-derived for a substantially different </w:t>
      </w:r>
      <m:oMath>
        <m:r>
          <m:rPr>
            <m:sty m:val="p"/>
          </m:rPr>
          <w:rPr>
            <w:rFonts w:ascii="Cambria Math" w:hAnsi="Cambria Math"/>
          </w:rPr>
          <m:t>(</m:t>
        </m:r>
        <m:r>
          <w:rPr>
            <w:rFonts w:ascii="Cambria Math" w:hAnsi="Cambria Math"/>
          </w:rPr>
          <m:t>N</m:t>
        </m:r>
        <m:r>
          <m:rPr>
            <m:sty m:val="p"/>
          </m:rPr>
          <w:rPr>
            <w:rFonts w:ascii="Cambria Math" w:hAnsi="Cambria Math"/>
          </w:rPr>
          <m:t>,</m:t>
        </m:r>
        <m:r>
          <w:rPr>
            <w:rFonts w:ascii="Cambria Math" w:hAnsi="Cambria Math"/>
          </w:rPr>
          <m:t>M</m:t>
        </m:r>
        <m:r>
          <m:rPr>
            <m:sty m:val="p"/>
          </m:rPr>
          <w:rPr>
            <w:rFonts w:ascii="Cambria Math" w:hAnsi="Cambria Math"/>
          </w:rPr>
          <m:t>,</m:t>
        </m:r>
        <m:r>
          <m:rPr>
            <m:nor/>
          </m:rPr>
          <m:t>inertia</m:t>
        </m:r>
        <m:r>
          <m:rPr>
            <m:sty m:val="p"/>
          </m:rPr>
          <w:rPr>
            <w:rFonts w:ascii="Cambria Math" w:hAnsi="Cambria Math"/>
          </w:rPr>
          <m:t>)</m:t>
        </m:r>
      </m:oMath>
      <w:r>
        <w:t xml:space="preserve"> setting rather than transported a</w:t>
      </w:r>
      <w:proofErr w:type="spellStart"/>
      <w:r>
        <w:t>s</w:t>
      </w:r>
      <w:proofErr w:type="spellEnd"/>
      <w:r>
        <w:t xml:space="preserve"> a constant. Every multi-receiver event here has exactly two receivers, so receiver-set cardinality is not varied. The small generating value of inertia is a property of cumulative-count inertia specifically; a decaying-memory operationalisation would bound the statistic and tolerate larger </w:t>
      </w:r>
      <w:proofErr w:type="gramStart"/>
      <w:r>
        <w:t>coefficients, and</w:t>
      </w:r>
      <w:proofErr w:type="gramEnd"/>
      <w:r>
        <w:t xml:space="preserve"> is not exercised here. Finally, the simulation assumes constant generating parameters, whereas coefficients in real relational-event processes can drift over time, so the recommendation should be read as a statement about stationary parameter recovery rather than about tracking time-varying effects.</w:t>
      </w:r>
    </w:p>
    <w:p w14:paraId="74FCB1A8" w14:textId="04FE25D0" w:rsidR="000406DD" w:rsidRDefault="000406DD" w:rsidP="00E426E5">
      <w:pPr>
        <w:pStyle w:val="Heading3"/>
      </w:pPr>
      <w:bookmarkStart w:id="99" w:name="future-work"/>
      <w:bookmarkStart w:id="100" w:name="_Toc233640854"/>
      <w:bookmarkEnd w:id="97"/>
      <w:r>
        <w:t>Future work</w:t>
      </w:r>
      <w:bookmarkEnd w:id="100"/>
    </w:p>
    <w:p w14:paraId="1D38658E" w14:textId="341C56F9" w:rsidR="000406DD" w:rsidRDefault="000406DD" w:rsidP="000406DD">
      <w:pPr>
        <w:pStyle w:val="FirstParagraph"/>
      </w:pPr>
      <w:r>
        <w:t xml:space="preserve">Each limitation is a natural axis for future work. The most immediately informative is a structured-multicast generator, which would replace the uninformative random tagging with correlated carbon-copy lists and fat-tailed receiver-set sizes and so settle whether structured multicast shifts the threshold upward or downward. Beyond that, re-deriving the threshold across a grid of </w:t>
      </w:r>
      <m:oMath>
        <m:r>
          <m:rPr>
            <m:sty m:val="p"/>
          </m:rPr>
          <w:rPr>
            <w:rFonts w:ascii="Cambria Math" w:hAnsi="Cambria Math"/>
          </w:rPr>
          <m:t>(</m:t>
        </m:r>
        <m:r>
          <w:rPr>
            <w:rFonts w:ascii="Cambria Math" w:hAnsi="Cambria Math"/>
          </w:rPr>
          <m:t>N</m:t>
        </m:r>
        <m:r>
          <m:rPr>
            <m:sty m:val="p"/>
          </m:rPr>
          <w:rPr>
            <w:rFonts w:ascii="Cambria Math" w:hAnsi="Cambria Math"/>
          </w:rPr>
          <m:t>,</m:t>
        </m:r>
        <m:r>
          <w:rPr>
            <w:rFonts w:ascii="Cambria Math" w:hAnsi="Cambria Math"/>
          </w:rPr>
          <m:t>M</m:t>
        </m:r>
        <m:r>
          <m:rPr>
            <m:sty m:val="p"/>
          </m:rPr>
          <w:rPr>
            <w:rFonts w:ascii="Cambria Math" w:hAnsi="Cambria Math"/>
          </w:rPr>
          <m:t>)</m:t>
        </m:r>
      </m:oMath>
      <w:r>
        <w:t xml:space="preserve"> configurations would establish how it scales with network size and history length; varying receiver-set cardinality would extend the result beyond two-receiver events; and introducing time-varying generating parameters would connect the result to the dynamic REM extensions used in applied work.</w:t>
      </w:r>
    </w:p>
    <w:p w14:paraId="179CC53E" w14:textId="57E8EA69" w:rsidR="000406DD" w:rsidRDefault="000406DD" w:rsidP="00E426E5">
      <w:pPr>
        <w:pStyle w:val="Heading3"/>
      </w:pPr>
      <w:bookmarkStart w:id="101" w:name="ethical-implications-and-considerations"/>
      <w:bookmarkStart w:id="102" w:name="_Toc233640855"/>
      <w:bookmarkEnd w:id="99"/>
      <w:r>
        <w:t>Ethical implications and considerations</w:t>
      </w:r>
      <w:bookmarkEnd w:id="102"/>
    </w:p>
    <w:p w14:paraId="74478807" w14:textId="41D30DBB" w:rsidR="000406DD" w:rsidRDefault="000406DD" w:rsidP="000406DD">
      <w:pPr>
        <w:pStyle w:val="FirstParagraph"/>
      </w:pPr>
      <w:r>
        <w:t>The study itself raises no data-subject concerns: it uses only synthetic data, with no human participants, no personally identifiable information, and no restricted third-party data. The ethical weight of the work is in how its recommendation is used. Dyadic transformation inflates the apparent sample size, which deflates standard errors and can produce overconfident inferences (</w:t>
      </w:r>
      <w:hyperlink w:anchor="ref_Mulder_2024" w:history="1">
        <w:r>
          <w:t>Mulder &amp; Hoff, 2024</w:t>
        </w:r>
      </w:hyperlink>
      <w:r>
        <w:t xml:space="preserve">); an analyst who transforms heavily multi-receiver data and reads the result at face value risks reporting effects, and supporting decisions that rest on them, with more certainty than the data warrant. The threshold is a guardrail against this, and using it responsibly means reporting the multi-receiver share of a dataset and justifying the modelling choice against it rather than transforming silently. Because the evidence here comes from a single synthetic setting, the specific 8% figure should be treated as a calibrated guideline rather than a universal </w:t>
      </w:r>
      <w:proofErr w:type="gramStart"/>
      <w:r>
        <w:t>constant, and</w:t>
      </w:r>
      <w:proofErr w:type="gramEnd"/>
      <w:r>
        <w:t xml:space="preserve"> applied with the scope conditions of Section </w:t>
      </w:r>
      <w:r w:rsidR="0040093F">
        <w:fldChar w:fldCharType="begin"/>
      </w:r>
      <w:r w:rsidR="0040093F">
        <w:instrText xml:space="preserve"> REF _Ref232774753 \r \h </w:instrText>
      </w:r>
      <w:r w:rsidR="0040093F">
        <w:fldChar w:fldCharType="separate"/>
      </w:r>
      <w:r w:rsidR="0040093F">
        <w:t>4.4</w:t>
      </w:r>
      <w:r w:rsidR="0040093F">
        <w:fldChar w:fldCharType="end"/>
      </w:r>
      <w:r>
        <w:t>in view.</w:t>
      </w:r>
    </w:p>
    <w:p w14:paraId="773A70B2" w14:textId="73A9D39D" w:rsidR="000406DD" w:rsidRDefault="000406DD" w:rsidP="00E426E5">
      <w:pPr>
        <w:pStyle w:val="Heading3"/>
      </w:pPr>
      <w:bookmarkStart w:id="103" w:name="conclusion"/>
      <w:bookmarkStart w:id="104" w:name="_Toc233640856"/>
      <w:bookmarkEnd w:id="101"/>
      <w:r>
        <w:t>Conclusion</w:t>
      </w:r>
      <w:bookmarkEnd w:id="104"/>
    </w:p>
    <w:p w14:paraId="18025C1F" w14:textId="77777777" w:rsidR="000406DD" w:rsidRDefault="000406DD" w:rsidP="000406DD">
      <w:pPr>
        <w:pStyle w:val="FirstParagraph"/>
      </w:pPr>
      <w:r>
        <w:t xml:space="preserve">This thesis began with a gap that applied researchers routinely walk into without noticing: the dyadic transformation of multi-receiver communication data is convenient and widely used, yet there has been no quantitative sense of when it stops recovering the model that generated the data. By simulating from known parameters and judging recovery against a pre-specified per-effect band, the thesis turns that open question into a concrete operating range. Dyadic transformation with a tie-breaking timestamp noise is reliable up to a multi-receiver share of about 8%, becomes borderline up to roughly 12%, and should be replaced by a native multi-receiver model above it, with the triadic outgoing-two-paths effect the first to fail. The figure is a calibrated guideline rather than a universal constant, but the mechanism behind it, and the recommendation to report the multi-receiver share and choose the </w:t>
      </w:r>
      <w:proofErr w:type="gramStart"/>
      <w:r>
        <w:t>model</w:t>
      </w:r>
      <w:proofErr w:type="gramEnd"/>
      <w:r>
        <w:t xml:space="preserve"> accordingly, are general. The result gives applied researchers a defensible reason to either keep using the familiar dyadic toolchain or to step beyond it, and a clear marker for which side of that line a given dataset falls on.</w:t>
      </w:r>
    </w:p>
    <w:bookmarkEnd w:id="86"/>
    <w:bookmarkEnd w:id="103"/>
    <w:p w14:paraId="005E3F47" w14:textId="73D712EA" w:rsidR="00AC18D0" w:rsidRDefault="00AC18D0">
      <w:pPr>
        <w:jc w:val="left"/>
      </w:pPr>
      <w:r>
        <w:br w:type="page"/>
      </w:r>
    </w:p>
    <w:bookmarkEnd w:id="5" w:displacedByCustomXml="next"/>
    <w:bookmarkStart w:id="105" w:name="_Toc233640857" w:displacedByCustomXml="next"/>
    <w:sdt>
      <w:sdtPr>
        <w:rPr>
          <w:rFonts w:asciiTheme="minorHAnsi" w:eastAsiaTheme="minorEastAsia" w:hAnsiTheme="minorHAnsi" w:cstheme="minorBidi"/>
          <w:b w:val="0"/>
          <w:bCs w:val="0"/>
          <w:sz w:val="24"/>
          <w:szCs w:val="24"/>
        </w:rPr>
        <w:id w:val="1635135956"/>
        <w:docPartObj>
          <w:docPartGallery w:val="Bibliographies"/>
          <w:docPartUnique/>
        </w:docPartObj>
      </w:sdtPr>
      <w:sdtContent>
        <w:p w14:paraId="79295227" w14:textId="63618F16" w:rsidR="00420BFF" w:rsidRDefault="00420BFF" w:rsidP="00E426E5">
          <w:pPr>
            <w:pStyle w:val="Heading2"/>
            <w:numPr>
              <w:ilvl w:val="0"/>
              <w:numId w:val="0"/>
            </w:numPr>
            <w:ind w:left="397" w:hanging="397"/>
          </w:pPr>
          <w:r>
            <w:t>References</w:t>
          </w:r>
          <w:bookmarkEnd w:id="105"/>
        </w:p>
        <w:bookmarkStart w:id="106" w:name="ref_Arena_2023" w:displacedByCustomXml="next"/>
        <w:sdt>
          <w:sdtPr>
            <w:id w:val="-573587230"/>
            <w:bibliography/>
          </w:sdtPr>
          <w:sdtContent>
            <w:p w14:paraId="44AF2395" w14:textId="77777777" w:rsidR="00420BFF" w:rsidRPr="00420BFF" w:rsidRDefault="00420BFF" w:rsidP="00420BFF">
              <w:pPr>
                <w:pStyle w:val="Bibliography"/>
                <w:ind w:left="720" w:hanging="720"/>
                <w:rPr>
                  <w:noProof/>
                  <w:sz w:val="22"/>
                  <w:szCs w:val="22"/>
                </w:rPr>
              </w:pPr>
              <w:r w:rsidRPr="00420BFF">
                <w:rPr>
                  <w:sz w:val="22"/>
                  <w:szCs w:val="22"/>
                </w:rPr>
                <w:fldChar w:fldCharType="begin"/>
              </w:r>
              <w:r w:rsidRPr="00420BFF">
                <w:rPr>
                  <w:sz w:val="22"/>
                  <w:szCs w:val="22"/>
                </w:rPr>
                <w:instrText xml:space="preserve"> BIBLIOGRAPHY </w:instrText>
              </w:r>
              <w:r w:rsidRPr="00420BFF">
                <w:rPr>
                  <w:sz w:val="22"/>
                  <w:szCs w:val="22"/>
                </w:rPr>
                <w:fldChar w:fldCharType="separate"/>
              </w:r>
              <w:r w:rsidRPr="00420BFF">
                <w:rPr>
                  <w:noProof/>
                  <w:sz w:val="22"/>
                  <w:szCs w:val="22"/>
                </w:rPr>
                <w:t>Arena, G., Lakdawala, R., Meijerink-Bosman, M., Karimova, D., Generoso Vieira, F., Shafiee Kamalabad, M., . . . Mulder, J. (2023). remify: Processing and transforming REH to formats suitable for the remverse packages and more (R package version 3.0.0). R package. Retrieved from https://github.com/TilburgNetworkGroup/remify</w:t>
              </w:r>
              <w:bookmarkEnd w:id="106"/>
            </w:p>
            <w:p w14:paraId="0DF4F275" w14:textId="77777777" w:rsidR="00420BFF" w:rsidRPr="00420BFF" w:rsidRDefault="00420BFF" w:rsidP="00420BFF">
              <w:pPr>
                <w:pStyle w:val="Bibliography"/>
                <w:ind w:left="720" w:hanging="720"/>
                <w:rPr>
                  <w:noProof/>
                  <w:sz w:val="22"/>
                  <w:szCs w:val="22"/>
                </w:rPr>
              </w:pPr>
              <w:bookmarkStart w:id="107" w:name="ref_Arena_2024"/>
              <w:r w:rsidRPr="00420BFF">
                <w:rPr>
                  <w:noProof/>
                  <w:sz w:val="22"/>
                  <w:szCs w:val="22"/>
                </w:rPr>
                <w:t>Arena, G., Lakdawala, R., Meijerink-Bosman, M., Karimova, D., Generoso Vieira, F., Shafiee Kamalabad, M., . . . Mulder, J. (2024). remstimate: Optimization frameworks for tie-oriented and actor-oriented relational event models (R package). R package. Retrieved from https://github.com/TilburgNetworkGroup/remstimate</w:t>
              </w:r>
              <w:bookmarkEnd w:id="107"/>
            </w:p>
            <w:p w14:paraId="0906387E" w14:textId="77777777" w:rsidR="00420BFF" w:rsidRPr="00420BFF" w:rsidRDefault="00420BFF" w:rsidP="00420BFF">
              <w:pPr>
                <w:pStyle w:val="Bibliography"/>
                <w:ind w:left="720" w:hanging="720"/>
                <w:rPr>
                  <w:noProof/>
                  <w:sz w:val="22"/>
                  <w:szCs w:val="22"/>
                </w:rPr>
              </w:pPr>
              <w:bookmarkStart w:id="108" w:name="ref_Bianchi_2024"/>
              <w:r w:rsidRPr="00420BFF">
                <w:rPr>
                  <w:noProof/>
                  <w:sz w:val="22"/>
                  <w:szCs w:val="22"/>
                </w:rPr>
                <w:t xml:space="preserve">Bianchi, F., Filippi-Mazzola, E., Lomi, A., &amp; Wit, E. C. (2024). Relational event modelling. </w:t>
              </w:r>
              <w:r w:rsidRPr="00420BFF">
                <w:rPr>
                  <w:i/>
                  <w:iCs/>
                  <w:noProof/>
                  <w:sz w:val="22"/>
                  <w:szCs w:val="22"/>
                </w:rPr>
                <w:t>Annual Review of Statistics and Its Application, 11</w:t>
              </w:r>
              <w:r w:rsidRPr="00420BFF">
                <w:rPr>
                  <w:noProof/>
                  <w:sz w:val="22"/>
                  <w:szCs w:val="22"/>
                </w:rPr>
                <w:t>, 297-319. Retrieved from https://doi.org/10.1146/annurev-statistics-040722-060248</w:t>
              </w:r>
              <w:bookmarkEnd w:id="108"/>
            </w:p>
            <w:p w14:paraId="4EB1DFE9" w14:textId="77777777" w:rsidR="00420BFF" w:rsidRPr="00420BFF" w:rsidRDefault="00420BFF" w:rsidP="00420BFF">
              <w:pPr>
                <w:pStyle w:val="Bibliography"/>
                <w:ind w:left="720" w:hanging="720"/>
                <w:rPr>
                  <w:noProof/>
                  <w:sz w:val="22"/>
                  <w:szCs w:val="22"/>
                </w:rPr>
              </w:pPr>
              <w:bookmarkStart w:id="109" w:name="ref_Butts_2008"/>
              <w:r w:rsidRPr="00420BFF">
                <w:rPr>
                  <w:noProof/>
                  <w:sz w:val="22"/>
                  <w:szCs w:val="22"/>
                </w:rPr>
                <w:t xml:space="preserve">Butts, C. T. (2008). A relational event framework for social action. </w:t>
              </w:r>
              <w:r w:rsidRPr="00420BFF">
                <w:rPr>
                  <w:i/>
                  <w:iCs/>
                  <w:noProof/>
                  <w:sz w:val="22"/>
                  <w:szCs w:val="22"/>
                </w:rPr>
                <w:t>Sociological Methodology, 38</w:t>
              </w:r>
              <w:r w:rsidRPr="00420BFF">
                <w:rPr>
                  <w:noProof/>
                  <w:sz w:val="22"/>
                  <w:szCs w:val="22"/>
                </w:rPr>
                <w:t>(1), 155-200. Retrieved from https://doi.org/10.1111/j.1467-9531.2008.00203.x</w:t>
              </w:r>
              <w:bookmarkEnd w:id="109"/>
            </w:p>
            <w:p w14:paraId="18E7D8F2" w14:textId="77777777" w:rsidR="00420BFF" w:rsidRPr="00420BFF" w:rsidRDefault="00420BFF" w:rsidP="00420BFF">
              <w:pPr>
                <w:pStyle w:val="Bibliography"/>
                <w:ind w:left="720" w:hanging="720"/>
                <w:rPr>
                  <w:noProof/>
                  <w:sz w:val="22"/>
                  <w:szCs w:val="22"/>
                </w:rPr>
              </w:pPr>
              <w:bookmarkStart w:id="110" w:name="ref_Butts_2017"/>
              <w:r w:rsidRPr="00420BFF">
                <w:rPr>
                  <w:noProof/>
                  <w:sz w:val="22"/>
                  <w:szCs w:val="22"/>
                </w:rPr>
                <w:t xml:space="preserve">Butts, C. T., &amp; Marcum, C. S. (2017). A relational event approach to modelling behavioural dynamics. In A. Pilny, &amp; M. S. Poole (Eds.), </w:t>
              </w:r>
              <w:r w:rsidRPr="00420BFF">
                <w:rPr>
                  <w:i/>
                  <w:iCs/>
                  <w:noProof/>
                  <w:sz w:val="22"/>
                  <w:szCs w:val="22"/>
                </w:rPr>
                <w:t>Group processes: Data-driven computational approaches</w:t>
              </w:r>
              <w:r w:rsidRPr="00420BFF">
                <w:rPr>
                  <w:noProof/>
                  <w:sz w:val="22"/>
                  <w:szCs w:val="22"/>
                </w:rPr>
                <w:t xml:space="preserve"> (pp. 51-92). Springer. Retrieved from https://doi.org/10.1007/978-3-319-48941-4_4</w:t>
              </w:r>
              <w:bookmarkEnd w:id="110"/>
            </w:p>
            <w:p w14:paraId="117A7397" w14:textId="77777777" w:rsidR="00420BFF" w:rsidRPr="00420BFF" w:rsidRDefault="00420BFF" w:rsidP="00420BFF">
              <w:pPr>
                <w:pStyle w:val="Bibliography"/>
                <w:ind w:left="720" w:hanging="720"/>
                <w:rPr>
                  <w:noProof/>
                  <w:sz w:val="22"/>
                  <w:szCs w:val="22"/>
                </w:rPr>
              </w:pPr>
              <w:bookmarkStart w:id="111" w:name="ref_Carrington_2005"/>
              <w:r w:rsidRPr="00420BFF">
                <w:rPr>
                  <w:noProof/>
                  <w:sz w:val="22"/>
                  <w:szCs w:val="22"/>
                </w:rPr>
                <w:t xml:space="preserve">Carrington, P. J., Scott, J., &amp; Wasserman, S. (Eds.). (2005). </w:t>
              </w:r>
              <w:r w:rsidRPr="00420BFF">
                <w:rPr>
                  <w:i/>
                  <w:iCs/>
                  <w:noProof/>
                  <w:sz w:val="22"/>
                  <w:szCs w:val="22"/>
                </w:rPr>
                <w:t>Models and methods in social network analysis.</w:t>
              </w:r>
              <w:r w:rsidRPr="00420BFF">
                <w:rPr>
                  <w:noProof/>
                  <w:sz w:val="22"/>
                  <w:szCs w:val="22"/>
                </w:rPr>
                <w:t xml:space="preserve"> Cambridge University Press. Retrieved from https://doi.org/10.1017/cbo9780511811395</w:t>
              </w:r>
              <w:bookmarkEnd w:id="111"/>
            </w:p>
            <w:p w14:paraId="21B119C3" w14:textId="77777777" w:rsidR="00420BFF" w:rsidRPr="00420BFF" w:rsidRDefault="00420BFF" w:rsidP="00420BFF">
              <w:pPr>
                <w:pStyle w:val="Bibliography"/>
                <w:ind w:left="720" w:hanging="720"/>
                <w:rPr>
                  <w:noProof/>
                  <w:sz w:val="22"/>
                  <w:szCs w:val="22"/>
                </w:rPr>
              </w:pPr>
              <w:bookmarkStart w:id="112" w:name="ref_Gauvin_2018"/>
              <w:r w:rsidRPr="00420BFF">
                <w:rPr>
                  <w:noProof/>
                  <w:sz w:val="22"/>
                  <w:szCs w:val="22"/>
                </w:rPr>
                <w:t>Gauvin, L., Génois, M., Karsai, M., Kivelä, M., Takaguchi, T., Valdano, E., &amp; Vestergaard, C. L. (2018). Randomized reference models for temporal networks. HAL preprint hal-01817633v1; arXiv:1806.04032v1. Retrieved from https://hal.science/hal-01817633v1</w:t>
              </w:r>
              <w:bookmarkEnd w:id="112"/>
            </w:p>
            <w:p w14:paraId="22360045" w14:textId="77777777" w:rsidR="00420BFF" w:rsidRPr="00420BFF" w:rsidRDefault="00420BFF" w:rsidP="00420BFF">
              <w:pPr>
                <w:pStyle w:val="Bibliography"/>
                <w:ind w:left="720" w:hanging="720"/>
                <w:rPr>
                  <w:noProof/>
                  <w:sz w:val="22"/>
                  <w:szCs w:val="22"/>
                </w:rPr>
              </w:pPr>
              <w:bookmarkStart w:id="113" w:name="ref_Gibson_2003"/>
              <w:r w:rsidRPr="00420BFF">
                <w:rPr>
                  <w:noProof/>
                  <w:sz w:val="22"/>
                  <w:szCs w:val="22"/>
                </w:rPr>
                <w:t xml:space="preserve">Gibson, D. R. (2003). Participation shifts: Order and differentiation in group conversation. </w:t>
              </w:r>
              <w:r w:rsidRPr="00420BFF">
                <w:rPr>
                  <w:i/>
                  <w:iCs/>
                  <w:noProof/>
                  <w:sz w:val="22"/>
                  <w:szCs w:val="22"/>
                </w:rPr>
                <w:t>Social Forces, 81</w:t>
              </w:r>
              <w:r w:rsidRPr="00420BFF">
                <w:rPr>
                  <w:noProof/>
                  <w:sz w:val="22"/>
                  <w:szCs w:val="22"/>
                </w:rPr>
                <w:t>(4), 1335-1381. Retrieved from https://doi.org/10.1353/sof.2003.0055</w:t>
              </w:r>
              <w:bookmarkEnd w:id="113"/>
            </w:p>
            <w:p w14:paraId="0CB513E9" w14:textId="77777777" w:rsidR="00420BFF" w:rsidRPr="00420BFF" w:rsidRDefault="00420BFF" w:rsidP="00420BFF">
              <w:pPr>
                <w:pStyle w:val="Bibliography"/>
                <w:ind w:left="720" w:hanging="720"/>
                <w:rPr>
                  <w:noProof/>
                  <w:sz w:val="22"/>
                  <w:szCs w:val="22"/>
                </w:rPr>
              </w:pPr>
              <w:bookmarkStart w:id="114" w:name="ref_Lakdawala_2025"/>
              <w:r w:rsidRPr="00420BFF">
                <w:rPr>
                  <w:noProof/>
                  <w:sz w:val="22"/>
                  <w:szCs w:val="22"/>
                </w:rPr>
                <w:t xml:space="preserve">Lakdawala, R., Mulder, J., &amp; Leenders, R. (2025). Simulating relational event history data: Why and how. </w:t>
              </w:r>
              <w:r w:rsidRPr="00420BFF">
                <w:rPr>
                  <w:i/>
                  <w:iCs/>
                  <w:noProof/>
                  <w:sz w:val="22"/>
                  <w:szCs w:val="22"/>
                </w:rPr>
                <w:t>Journal of Computational Social Science, 8</w:t>
              </w:r>
              <w:r w:rsidRPr="00420BFF">
                <w:rPr>
                  <w:noProof/>
                  <w:sz w:val="22"/>
                  <w:szCs w:val="22"/>
                </w:rPr>
                <w:t>, 92. Retrieved from https://doi.org/10.1007/s42001-025-00427-2</w:t>
              </w:r>
              <w:bookmarkEnd w:id="114"/>
            </w:p>
            <w:p w14:paraId="19C99801" w14:textId="77777777" w:rsidR="00420BFF" w:rsidRPr="00420BFF" w:rsidRDefault="00420BFF" w:rsidP="00420BFF">
              <w:pPr>
                <w:pStyle w:val="Bibliography"/>
                <w:ind w:left="720" w:hanging="720"/>
                <w:rPr>
                  <w:noProof/>
                  <w:sz w:val="22"/>
                  <w:szCs w:val="22"/>
                </w:rPr>
              </w:pPr>
              <w:bookmarkStart w:id="115" w:name="ref_Lazer_2009"/>
              <w:r w:rsidRPr="00420BFF">
                <w:rPr>
                  <w:noProof/>
                  <w:sz w:val="22"/>
                  <w:szCs w:val="22"/>
                </w:rPr>
                <w:t xml:space="preserve">Lazer, D., Pentland, A., Adamic, L., Aral, S., Barabási, A.-L., Brewer, D., . . . Van Alstyne, M. (2009). Computational social science. </w:t>
              </w:r>
              <w:r w:rsidRPr="00420BFF">
                <w:rPr>
                  <w:i/>
                  <w:iCs/>
                  <w:noProof/>
                  <w:sz w:val="22"/>
                  <w:szCs w:val="22"/>
                </w:rPr>
                <w:t>Science, 323</w:t>
              </w:r>
              <w:r w:rsidRPr="00420BFF">
                <w:rPr>
                  <w:noProof/>
                  <w:sz w:val="22"/>
                  <w:szCs w:val="22"/>
                </w:rPr>
                <w:t>(5915), 721-723. Retrieved from https://doi.org/10.1126/science.1167742</w:t>
              </w:r>
              <w:bookmarkEnd w:id="115"/>
            </w:p>
            <w:p w14:paraId="65D92757" w14:textId="77777777" w:rsidR="00420BFF" w:rsidRPr="00420BFF" w:rsidRDefault="00420BFF" w:rsidP="00420BFF">
              <w:pPr>
                <w:pStyle w:val="Bibliography"/>
                <w:ind w:left="720" w:hanging="720"/>
                <w:rPr>
                  <w:noProof/>
                  <w:sz w:val="22"/>
                  <w:szCs w:val="22"/>
                </w:rPr>
              </w:pPr>
              <w:bookmarkStart w:id="116" w:name="ref_Lerner_2020"/>
              <w:r w:rsidRPr="00420BFF">
                <w:rPr>
                  <w:noProof/>
                  <w:sz w:val="22"/>
                  <w:szCs w:val="22"/>
                </w:rPr>
                <w:t xml:space="preserve">Lerner, J., &amp; Lomi, A. (2020). Reliability of relational event model estimates under sampling: How to fit a relational event model to 360 million dyadic events. </w:t>
              </w:r>
              <w:r w:rsidRPr="00420BFF">
                <w:rPr>
                  <w:i/>
                  <w:iCs/>
                  <w:noProof/>
                  <w:sz w:val="22"/>
                  <w:szCs w:val="22"/>
                </w:rPr>
                <w:t>Network Science, 8</w:t>
              </w:r>
              <w:r w:rsidRPr="00420BFF">
                <w:rPr>
                  <w:noProof/>
                  <w:sz w:val="22"/>
                  <w:szCs w:val="22"/>
                </w:rPr>
                <w:t>(1), 97-135. Retrieved from https://doi.org/10.1017/nws.2019.57</w:t>
              </w:r>
              <w:bookmarkEnd w:id="116"/>
            </w:p>
            <w:p w14:paraId="56C731A9" w14:textId="77777777" w:rsidR="00420BFF" w:rsidRPr="00420BFF" w:rsidRDefault="00420BFF" w:rsidP="00420BFF">
              <w:pPr>
                <w:pStyle w:val="Bibliography"/>
                <w:ind w:left="720" w:hanging="720"/>
                <w:rPr>
                  <w:noProof/>
                  <w:sz w:val="22"/>
                  <w:szCs w:val="22"/>
                </w:rPr>
              </w:pPr>
              <w:bookmarkStart w:id="117" w:name="ref_Lerner_2023"/>
              <w:r w:rsidRPr="00420BFF">
                <w:rPr>
                  <w:noProof/>
                  <w:sz w:val="22"/>
                  <w:szCs w:val="22"/>
                </w:rPr>
                <w:t xml:space="preserve">Lerner, J., &amp; Lomi, A. (2023). Relational hyperevent models for polyadic interaction networks. </w:t>
              </w:r>
              <w:r w:rsidRPr="00420BFF">
                <w:rPr>
                  <w:i/>
                  <w:iCs/>
                  <w:noProof/>
                  <w:sz w:val="22"/>
                  <w:szCs w:val="22"/>
                </w:rPr>
                <w:t>Journal of the Royal Statistical Society Series A: Statistics in Society, 186</w:t>
              </w:r>
              <w:r w:rsidRPr="00420BFF">
                <w:rPr>
                  <w:noProof/>
                  <w:sz w:val="22"/>
                  <w:szCs w:val="22"/>
                </w:rPr>
                <w:t>(3), 577-600. Retrieved from https://doi.org/10.1093/jrsssa/qnac012</w:t>
              </w:r>
              <w:bookmarkEnd w:id="117"/>
            </w:p>
            <w:p w14:paraId="32C9004E" w14:textId="77777777" w:rsidR="00420BFF" w:rsidRPr="00420BFF" w:rsidRDefault="00420BFF" w:rsidP="00420BFF">
              <w:pPr>
                <w:pStyle w:val="Bibliography"/>
                <w:ind w:left="720" w:hanging="720"/>
                <w:rPr>
                  <w:noProof/>
                  <w:sz w:val="22"/>
                  <w:szCs w:val="22"/>
                </w:rPr>
              </w:pPr>
              <w:bookmarkStart w:id="118" w:name="ref_Longa_2024"/>
              <w:r w:rsidRPr="00420BFF">
                <w:rPr>
                  <w:noProof/>
                  <w:sz w:val="22"/>
                  <w:szCs w:val="22"/>
                </w:rPr>
                <w:t xml:space="preserve">Longa, A., Cencetti, G., Lehmann, S., Passerini, A., &amp; Lepri, B. (2024). Generating fine-grained surrogate temporal networks. </w:t>
              </w:r>
              <w:r w:rsidRPr="00420BFF">
                <w:rPr>
                  <w:i/>
                  <w:iCs/>
                  <w:noProof/>
                  <w:sz w:val="22"/>
                  <w:szCs w:val="22"/>
                </w:rPr>
                <w:t>Communications Physics, 7</w:t>
              </w:r>
              <w:r w:rsidRPr="00420BFF">
                <w:rPr>
                  <w:noProof/>
                  <w:sz w:val="22"/>
                  <w:szCs w:val="22"/>
                </w:rPr>
                <w:t>, 22. Retrieved from https://doi.org/10.1038/s42005-023-01517-1</w:t>
              </w:r>
              <w:bookmarkEnd w:id="118"/>
            </w:p>
            <w:p w14:paraId="641D76FE" w14:textId="77777777" w:rsidR="00420BFF" w:rsidRPr="00420BFF" w:rsidRDefault="00420BFF" w:rsidP="00420BFF">
              <w:pPr>
                <w:pStyle w:val="Bibliography"/>
                <w:ind w:left="720" w:hanging="720"/>
                <w:rPr>
                  <w:noProof/>
                  <w:sz w:val="22"/>
                  <w:szCs w:val="22"/>
                </w:rPr>
              </w:pPr>
              <w:bookmarkStart w:id="119" w:name="ref_Marcum_2015"/>
              <w:r w:rsidRPr="00420BFF">
                <w:rPr>
                  <w:noProof/>
                  <w:sz w:val="22"/>
                  <w:szCs w:val="22"/>
                </w:rPr>
                <w:t xml:space="preserve">Marcum, C. S., &amp; Butts, C. T. (2015). Constructing and modifying sequence statistics for relevent using informR. </w:t>
              </w:r>
              <w:r w:rsidRPr="00420BFF">
                <w:rPr>
                  <w:i/>
                  <w:iCs/>
                  <w:noProof/>
                  <w:sz w:val="22"/>
                  <w:szCs w:val="22"/>
                </w:rPr>
                <w:t>Journal of Statistical Software, 64</w:t>
              </w:r>
              <w:r w:rsidRPr="00420BFF">
                <w:rPr>
                  <w:noProof/>
                  <w:sz w:val="22"/>
                  <w:szCs w:val="22"/>
                </w:rPr>
                <w:t>(5). Retrieved from https://doi.org/10.18637/jss.v064.i05</w:t>
              </w:r>
              <w:bookmarkEnd w:id="119"/>
            </w:p>
            <w:p w14:paraId="596AD320" w14:textId="77777777" w:rsidR="00420BFF" w:rsidRPr="00420BFF" w:rsidRDefault="00420BFF" w:rsidP="00420BFF">
              <w:pPr>
                <w:pStyle w:val="Bibliography"/>
                <w:ind w:left="720" w:hanging="720"/>
                <w:rPr>
                  <w:noProof/>
                  <w:sz w:val="22"/>
                  <w:szCs w:val="22"/>
                </w:rPr>
              </w:pPr>
              <w:bookmarkStart w:id="120" w:name="ref_MeijerinkBosman_2023"/>
              <w:r w:rsidRPr="00420BFF">
                <w:rPr>
                  <w:noProof/>
                  <w:sz w:val="22"/>
                  <w:szCs w:val="22"/>
                </w:rPr>
                <w:t>Meijerink-Bosman, M., Arena, G., Karimova, D., Lakdawala, R., Shafiee Kamalabad, M., &amp; Generoso Vieira, F. (2023). remstats: Computes statistics for relational event history data (R package). R package. Retrieved from https://rdrr.io/github/TilburgNetworkGroup/remstats/</w:t>
              </w:r>
              <w:bookmarkEnd w:id="120"/>
            </w:p>
            <w:p w14:paraId="72325F31" w14:textId="77777777" w:rsidR="00420BFF" w:rsidRPr="00420BFF" w:rsidRDefault="00420BFF" w:rsidP="00420BFF">
              <w:pPr>
                <w:pStyle w:val="Bibliography"/>
                <w:ind w:left="720" w:hanging="720"/>
                <w:rPr>
                  <w:noProof/>
                  <w:sz w:val="22"/>
                  <w:szCs w:val="22"/>
                </w:rPr>
              </w:pPr>
              <w:bookmarkStart w:id="121" w:name="ref_MeijerinkBosman_2022_Back"/>
              <w:r w:rsidRPr="00420BFF">
                <w:rPr>
                  <w:noProof/>
                  <w:sz w:val="22"/>
                  <w:szCs w:val="22"/>
                  <w:lang w:val="nl-NL"/>
                </w:rPr>
                <w:t xml:space="preserve">Meijerink-Bosman, M., Back, M., Geukes, K., Leenders, R., &amp; Mulder, J. (2022). </w:t>
              </w:r>
              <w:r w:rsidRPr="00420BFF">
                <w:rPr>
                  <w:noProof/>
                  <w:sz w:val="22"/>
                  <w:szCs w:val="22"/>
                </w:rPr>
                <w:t xml:space="preserve">Discovering trends of social interaction behaviour over time: An introduction to relational event modelling. </w:t>
              </w:r>
              <w:r w:rsidRPr="00420BFF">
                <w:rPr>
                  <w:i/>
                  <w:iCs/>
                  <w:noProof/>
                  <w:sz w:val="22"/>
                  <w:szCs w:val="22"/>
                </w:rPr>
                <w:t>Behavior Research Methods, 55</w:t>
              </w:r>
              <w:r w:rsidRPr="00420BFF">
                <w:rPr>
                  <w:noProof/>
                  <w:sz w:val="22"/>
                  <w:szCs w:val="22"/>
                </w:rPr>
                <w:t>, 997-1023. Retrieved from https://doi.org/10.3758/s13428-022-01821-8</w:t>
              </w:r>
              <w:bookmarkEnd w:id="121"/>
            </w:p>
            <w:p w14:paraId="117AE293" w14:textId="77777777" w:rsidR="00420BFF" w:rsidRPr="00420BFF" w:rsidRDefault="00420BFF" w:rsidP="00420BFF">
              <w:pPr>
                <w:pStyle w:val="Bibliography"/>
                <w:ind w:left="720" w:hanging="720"/>
                <w:rPr>
                  <w:noProof/>
                  <w:sz w:val="22"/>
                  <w:szCs w:val="22"/>
                </w:rPr>
              </w:pPr>
              <w:bookmarkStart w:id="122" w:name="ref_MeijerinkBosman_2022_Leenders"/>
              <w:r w:rsidRPr="00420BFF">
                <w:rPr>
                  <w:noProof/>
                  <w:sz w:val="22"/>
                  <w:szCs w:val="22"/>
                </w:rPr>
                <w:t xml:space="preserve">Meijerink-Bosman, M., Leenders, R., &amp; Mulder, J. (2022). Dynamic relational event modelling: Testing, exploring, and applying. </w:t>
              </w:r>
              <w:r w:rsidRPr="00420BFF">
                <w:rPr>
                  <w:i/>
                  <w:iCs/>
                  <w:noProof/>
                  <w:sz w:val="22"/>
                  <w:szCs w:val="22"/>
                </w:rPr>
                <w:t>PLOS ONE, 17</w:t>
              </w:r>
              <w:r w:rsidRPr="00420BFF">
                <w:rPr>
                  <w:noProof/>
                  <w:sz w:val="22"/>
                  <w:szCs w:val="22"/>
                </w:rPr>
                <w:t>(8), e0272309. Retrieved from https://doi.org/10.1371/journal.pone.0272309</w:t>
              </w:r>
              <w:bookmarkEnd w:id="122"/>
            </w:p>
            <w:p w14:paraId="3252D9F9" w14:textId="77777777" w:rsidR="00420BFF" w:rsidRPr="00420BFF" w:rsidRDefault="00420BFF" w:rsidP="00420BFF">
              <w:pPr>
                <w:pStyle w:val="Bibliography"/>
                <w:ind w:left="720" w:hanging="720"/>
                <w:rPr>
                  <w:noProof/>
                  <w:sz w:val="22"/>
                  <w:szCs w:val="22"/>
                  <w:lang w:val="nl-NL"/>
                </w:rPr>
              </w:pPr>
              <w:bookmarkStart w:id="123" w:name="ref_Mulder_2024"/>
              <w:r w:rsidRPr="00420BFF">
                <w:rPr>
                  <w:noProof/>
                  <w:sz w:val="22"/>
                  <w:szCs w:val="22"/>
                  <w:lang w:val="de-DE"/>
                </w:rPr>
                <w:t xml:space="preserve">Mulder, J., &amp; Hoff, P. D. (2024). </w:t>
              </w:r>
              <w:r w:rsidRPr="00420BFF">
                <w:rPr>
                  <w:noProof/>
                  <w:sz w:val="22"/>
                  <w:szCs w:val="22"/>
                </w:rPr>
                <w:t xml:space="preserve">A latent variable approach for modelling relational data with multiple receivers. </w:t>
              </w:r>
              <w:r w:rsidRPr="00420BFF">
                <w:rPr>
                  <w:noProof/>
                  <w:sz w:val="22"/>
                  <w:szCs w:val="22"/>
                  <w:lang w:val="nl-NL"/>
                </w:rPr>
                <w:t>Manuscript, arXiv:2101.05135v3 [stat.ME].</w:t>
              </w:r>
              <w:bookmarkEnd w:id="123"/>
            </w:p>
            <w:p w14:paraId="2F81049E" w14:textId="77777777" w:rsidR="00420BFF" w:rsidRPr="00420BFF" w:rsidRDefault="00420BFF" w:rsidP="00420BFF">
              <w:pPr>
                <w:pStyle w:val="Bibliography"/>
                <w:ind w:left="720" w:hanging="720"/>
                <w:rPr>
                  <w:noProof/>
                  <w:sz w:val="22"/>
                  <w:szCs w:val="22"/>
                </w:rPr>
              </w:pPr>
              <w:bookmarkStart w:id="124" w:name="ref_Mulder_2019"/>
              <w:r w:rsidRPr="00420BFF">
                <w:rPr>
                  <w:noProof/>
                  <w:sz w:val="22"/>
                  <w:szCs w:val="22"/>
                  <w:lang w:val="nl-NL"/>
                </w:rPr>
                <w:t xml:space="preserve">Mulder, J., &amp; Leenders, R. T. (2019). </w:t>
              </w:r>
              <w:r w:rsidRPr="00420BFF">
                <w:rPr>
                  <w:noProof/>
                  <w:sz w:val="22"/>
                  <w:szCs w:val="22"/>
                </w:rPr>
                <w:t xml:space="preserve">Modeling the evolution of interaction behaviour in social networks: A dynamic relational event approach for real-time analysis. </w:t>
              </w:r>
              <w:r w:rsidRPr="00420BFF">
                <w:rPr>
                  <w:i/>
                  <w:iCs/>
                  <w:noProof/>
                  <w:sz w:val="22"/>
                  <w:szCs w:val="22"/>
                </w:rPr>
                <w:t>Chaos, Solitons and Fractals, 119</w:t>
              </w:r>
              <w:r w:rsidRPr="00420BFF">
                <w:rPr>
                  <w:noProof/>
                  <w:sz w:val="22"/>
                  <w:szCs w:val="22"/>
                </w:rPr>
                <w:t>, 73-85. Retrieved from https://doi.org/10.1016/j.chaos.2018.11.027</w:t>
              </w:r>
              <w:bookmarkEnd w:id="124"/>
            </w:p>
            <w:p w14:paraId="039AEF1A" w14:textId="77777777" w:rsidR="00420BFF" w:rsidRPr="00420BFF" w:rsidRDefault="00420BFF" w:rsidP="00420BFF">
              <w:pPr>
                <w:pStyle w:val="Bibliography"/>
                <w:ind w:left="720" w:hanging="720"/>
                <w:rPr>
                  <w:noProof/>
                  <w:sz w:val="22"/>
                  <w:szCs w:val="22"/>
                </w:rPr>
              </w:pPr>
              <w:bookmarkStart w:id="125" w:name="ref_Newman_2018"/>
              <w:r w:rsidRPr="00420BFF">
                <w:rPr>
                  <w:noProof/>
                  <w:sz w:val="22"/>
                  <w:szCs w:val="22"/>
                </w:rPr>
                <w:t xml:space="preserve">Newman, M. E. (2018). </w:t>
              </w:r>
              <w:r w:rsidRPr="00420BFF">
                <w:rPr>
                  <w:i/>
                  <w:iCs/>
                  <w:noProof/>
                  <w:sz w:val="22"/>
                  <w:szCs w:val="22"/>
                </w:rPr>
                <w:t>Networks</w:t>
              </w:r>
              <w:r w:rsidRPr="00420BFF">
                <w:rPr>
                  <w:noProof/>
                  <w:sz w:val="22"/>
                  <w:szCs w:val="22"/>
                </w:rPr>
                <w:t xml:space="preserve"> (2nd ed.). Oxford University Press. Retrieved from https://doi.org/10.1093/oso/9780198805090.001.0001</w:t>
              </w:r>
              <w:bookmarkEnd w:id="125"/>
            </w:p>
            <w:p w14:paraId="69D379C8" w14:textId="77777777" w:rsidR="00420BFF" w:rsidRPr="00420BFF" w:rsidRDefault="00420BFF" w:rsidP="00420BFF">
              <w:pPr>
                <w:pStyle w:val="Bibliography"/>
                <w:ind w:left="720" w:hanging="720"/>
                <w:rPr>
                  <w:noProof/>
                  <w:sz w:val="22"/>
                  <w:szCs w:val="22"/>
                </w:rPr>
              </w:pPr>
              <w:bookmarkStart w:id="126" w:name="ref_Snijders_2001"/>
              <w:r w:rsidRPr="00420BFF">
                <w:rPr>
                  <w:noProof/>
                  <w:sz w:val="22"/>
                  <w:szCs w:val="22"/>
                </w:rPr>
                <w:t xml:space="preserve">Snijders, T. A. (2001). The statistical evaluation of social network dynamics. </w:t>
              </w:r>
              <w:r w:rsidRPr="00420BFF">
                <w:rPr>
                  <w:i/>
                  <w:iCs/>
                  <w:noProof/>
                  <w:sz w:val="22"/>
                  <w:szCs w:val="22"/>
                </w:rPr>
                <w:t>Sociological Methodology, 31</w:t>
              </w:r>
              <w:r w:rsidRPr="00420BFF">
                <w:rPr>
                  <w:noProof/>
                  <w:sz w:val="22"/>
                  <w:szCs w:val="22"/>
                </w:rPr>
                <w:t>(1), 361-395. Retrieved from https://doi.org/10.1111/0081-1750.00099</w:t>
              </w:r>
              <w:bookmarkEnd w:id="126"/>
            </w:p>
            <w:p w14:paraId="70F3D67A" w14:textId="77777777" w:rsidR="00420BFF" w:rsidRPr="00420BFF" w:rsidRDefault="00420BFF" w:rsidP="00420BFF">
              <w:pPr>
                <w:pStyle w:val="Bibliography"/>
                <w:ind w:left="720" w:hanging="720"/>
                <w:rPr>
                  <w:noProof/>
                  <w:sz w:val="22"/>
                  <w:szCs w:val="22"/>
                </w:rPr>
              </w:pPr>
              <w:bookmarkStart w:id="127" w:name="ref_Therneau_2023"/>
              <w:r w:rsidRPr="00420BFF">
                <w:rPr>
                  <w:noProof/>
                  <w:sz w:val="22"/>
                  <w:szCs w:val="22"/>
                </w:rPr>
                <w:t>Therneau, T. (2023). A package for survival analysis in R (R package version 3.5-5). R package. Retrieved from https://CRAN.R-project.org/package=survival</w:t>
              </w:r>
              <w:bookmarkEnd w:id="127"/>
            </w:p>
            <w:p w14:paraId="55780AF1" w14:textId="77777777" w:rsidR="00420BFF" w:rsidRPr="00420BFF" w:rsidRDefault="00420BFF" w:rsidP="00420BFF">
              <w:pPr>
                <w:pStyle w:val="Bibliography"/>
                <w:ind w:left="720" w:hanging="720"/>
                <w:rPr>
                  <w:noProof/>
                  <w:sz w:val="22"/>
                  <w:szCs w:val="22"/>
                </w:rPr>
              </w:pPr>
              <w:bookmarkStart w:id="128" w:name="ref_Wasserman_1994"/>
              <w:r w:rsidRPr="00420BFF">
                <w:rPr>
                  <w:noProof/>
                  <w:sz w:val="22"/>
                  <w:szCs w:val="22"/>
                </w:rPr>
                <w:t xml:space="preserve">Wasserman, S., &amp; Faust, K. (1994). </w:t>
              </w:r>
              <w:r w:rsidRPr="00420BFF">
                <w:rPr>
                  <w:i/>
                  <w:iCs/>
                  <w:noProof/>
                  <w:sz w:val="22"/>
                  <w:szCs w:val="22"/>
                </w:rPr>
                <w:t>Social network analysis: Methods and applications.</w:t>
              </w:r>
              <w:r w:rsidRPr="00420BFF">
                <w:rPr>
                  <w:noProof/>
                  <w:sz w:val="22"/>
                  <w:szCs w:val="22"/>
                </w:rPr>
                <w:t xml:space="preserve"> Cambridge University Press.</w:t>
              </w:r>
              <w:bookmarkEnd w:id="128"/>
            </w:p>
            <w:p w14:paraId="414199AE" w14:textId="0E335C1D" w:rsidR="00420BFF" w:rsidRDefault="00420BFF" w:rsidP="00420BFF">
              <w:r w:rsidRPr="00420BFF">
                <w:rPr>
                  <w:b/>
                  <w:bCs/>
                  <w:noProof/>
                  <w:sz w:val="22"/>
                  <w:szCs w:val="22"/>
                </w:rPr>
                <w:fldChar w:fldCharType="end"/>
              </w:r>
            </w:p>
          </w:sdtContent>
        </w:sdt>
      </w:sdtContent>
    </w:sdt>
    <w:p w14:paraId="1B05F39A" w14:textId="77777777" w:rsidR="00E67017" w:rsidRDefault="00E67017">
      <w:pPr>
        <w:jc w:val="left"/>
      </w:pPr>
      <w:r>
        <w:br w:type="page"/>
      </w:r>
    </w:p>
    <w:p w14:paraId="38C5A7A6" w14:textId="77777777" w:rsidR="00096EB2" w:rsidRDefault="00096EB2" w:rsidP="00E426E5">
      <w:pPr>
        <w:pStyle w:val="Heading2"/>
        <w:numPr>
          <w:ilvl w:val="0"/>
          <w:numId w:val="0"/>
        </w:numPr>
        <w:ind w:left="397" w:hanging="397"/>
      </w:pPr>
      <w:bookmarkStart w:id="129" w:name="Xda3e45e5656a73a30c0349908a7fadbced82d11"/>
      <w:bookmarkStart w:id="130" w:name="_Toc233640858"/>
      <w:r>
        <w:t>Appendix A. RHEM estimation configuration</w:t>
      </w:r>
      <w:bookmarkEnd w:id="130"/>
    </w:p>
    <w:p w14:paraId="11BD6765" w14:textId="1B3398BC" w:rsidR="00096EB2" w:rsidRDefault="00096EB2" w:rsidP="00096EB2">
      <w:pPr>
        <w:pStyle w:val="FirstParagraph"/>
      </w:pPr>
      <w:r>
        <w:t xml:space="preserve">This appendix records the </w:t>
      </w:r>
      <w:r>
        <w:rPr>
          <w:rStyle w:val="VerbatimChar"/>
        </w:rPr>
        <w:t>eventnet</w:t>
      </w:r>
      <w:r>
        <w:t xml:space="preserve"> and </w:t>
      </w:r>
      <w:r>
        <w:rPr>
          <w:rStyle w:val="VerbatimChar"/>
        </w:rPr>
        <w:t>survival</w:t>
      </w:r>
      <w:r>
        <w:t xml:space="preserve"> configuration that produces the RHEM coefficient estimates summarised at a higher level in Section </w:t>
      </w:r>
      <w:r w:rsidR="0040093F">
        <w:fldChar w:fldCharType="begin"/>
      </w:r>
      <w:r w:rsidR="0040093F">
        <w:instrText xml:space="preserve"> REF _Ref232774764 \r \h </w:instrText>
      </w:r>
      <w:r w:rsidR="0040093F">
        <w:fldChar w:fldCharType="separate"/>
      </w:r>
      <w:r w:rsidR="0040093F">
        <w:t>2.5</w:t>
      </w:r>
      <w:r w:rsidR="0040093F">
        <w:fldChar w:fldCharType="end"/>
      </w:r>
      <w:r>
        <w:t xml:space="preserve"> of the </w:t>
      </w:r>
      <w:r w:rsidR="0040093F">
        <w:fldChar w:fldCharType="begin"/>
      </w:r>
      <w:r w:rsidR="0040093F">
        <w:instrText xml:space="preserve"> REF _Ref232774773 \h </w:instrText>
      </w:r>
      <w:r w:rsidR="0040093F">
        <w:fldChar w:fldCharType="separate"/>
      </w:r>
      <w:r w:rsidR="0040093F">
        <w:t>Methodology</w:t>
      </w:r>
      <w:r w:rsidR="0040093F">
        <w:fldChar w:fldCharType="end"/>
      </w:r>
      <w:r>
        <w:t xml:space="preserve"> chapter.</w:t>
      </w:r>
    </w:p>
    <w:p w14:paraId="2A344A3C" w14:textId="44038399" w:rsidR="00096EB2" w:rsidRDefault="00096EB2" w:rsidP="00096EB2">
      <w:pPr>
        <w:pStyle w:val="BodyText"/>
      </w:pPr>
      <w:r>
        <w:t xml:space="preserve">The pipeline has two stages. In the first stage, the </w:t>
      </w:r>
      <w:r>
        <w:rPr>
          <w:rStyle w:val="VerbatimChar"/>
        </w:rPr>
        <w:t>eventnet</w:t>
      </w:r>
      <w:r>
        <w:t xml:space="preserve"> software (</w:t>
      </w:r>
      <w:hyperlink w:anchor="ref_Lerner_2023" w:history="1">
        <w:r>
          <w:t>Lerner &amp; Lomi, 2023</w:t>
        </w:r>
      </w:hyperlink>
      <w:r>
        <w:t xml:space="preserve">) enumerates the hyperedge risk set from the multi-receiver long table. For each observed hyperevent and a case-control sample of non-events, </w:t>
      </w:r>
      <w:r>
        <w:rPr>
          <w:rStyle w:val="VerbatimChar"/>
        </w:rPr>
        <w:t>eventnet</w:t>
      </w:r>
      <w:r>
        <w:t xml:space="preserve"> emits the hyperedge covariates that correspond to the five dyadic statistics fitted on the REM side: inertia, reciprocity, outgoing two-paths, dyadic attribute difference on the continuous attribute, and same-group homophily on the binary attribute. The mapping between the dyadic </w:t>
      </w:r>
      <w:r>
        <w:rPr>
          <w:rStyle w:val="VerbatimChar"/>
        </w:rPr>
        <w:t>remstats</w:t>
      </w:r>
      <w:r>
        <w:t xml:space="preserve"> definitions and the corresponding </w:t>
      </w:r>
      <w:r>
        <w:rPr>
          <w:rStyle w:val="VerbatimChar"/>
        </w:rPr>
        <w:t>eventnet</w:t>
      </w:r>
      <w:r>
        <w:t xml:space="preserve"> effect families is the one referenced in Section </w:t>
      </w:r>
      <w:r w:rsidR="0040093F">
        <w:fldChar w:fldCharType="begin"/>
      </w:r>
      <w:r w:rsidR="0040093F">
        <w:instrText xml:space="preserve"> REF _Ref232774783 \r \h </w:instrText>
      </w:r>
      <w:r w:rsidR="0040093F">
        <w:fldChar w:fldCharType="separate"/>
      </w:r>
      <w:r w:rsidR="0040093F">
        <w:t>1.4</w:t>
      </w:r>
      <w:r w:rsidR="0040093F">
        <w:fldChar w:fldCharType="end"/>
      </w:r>
      <w:r w:rsidR="0040093F">
        <w:t xml:space="preserve"> </w:t>
      </w:r>
      <w:r>
        <w:t>of the Introduction.</w:t>
      </w:r>
    </w:p>
    <w:p w14:paraId="3310B0A5" w14:textId="77777777" w:rsidR="00096EB2" w:rsidRDefault="00096EB2" w:rsidP="00096EB2">
      <w:pPr>
        <w:pStyle w:val="BodyText"/>
      </w:pPr>
      <w:r>
        <w:t xml:space="preserve">In the second stage, the model is fitted by stratified Cox regression in the </w:t>
      </w:r>
      <w:r>
        <w:rPr>
          <w:rStyle w:val="VerbatimChar"/>
        </w:rPr>
        <w:t>survival</w:t>
      </w:r>
      <w:r>
        <w:t xml:space="preserve"> package (</w:t>
      </w:r>
      <w:hyperlink w:anchor="ref_Therneau_2023" w:history="1">
        <w:r>
          <w:t>Therneau, 2023</w:t>
        </w:r>
      </w:hyperlink>
      <w:r>
        <w:t xml:space="preserve">). The stratification convention is the one used in the official multicast-RHEM tutorial of Lerner and Lomi: the </w:t>
      </w:r>
      <w:r>
        <w:rPr>
          <w:rStyle w:val="VerbatimChar"/>
        </w:rPr>
        <w:t>eventnet</w:t>
      </w:r>
      <w:r>
        <w:t xml:space="preserve"> output assigns one stratum per hyperevent through the </w:t>
      </w:r>
      <w:r>
        <w:rPr>
          <w:rStyle w:val="VerbatimChar"/>
        </w:rPr>
        <w:t>EVENT_INTERVAL</w:t>
      </w:r>
      <w:r>
        <w:t xml:space="preserve"> variable, and </w:t>
      </w:r>
      <w:proofErr w:type="spellStart"/>
      <w:r>
        <w:rPr>
          <w:rStyle w:val="VerbatimChar"/>
        </w:rPr>
        <w:t>coxph</w:t>
      </w:r>
      <w:proofErr w:type="spellEnd"/>
      <w:r>
        <w:t xml:space="preserve"> is called with </w:t>
      </w:r>
      <w:r>
        <w:rPr>
          <w:rStyle w:val="VerbatimChar"/>
        </w:rPr>
        <w:t>strata(EVENT_INTERVAL)</w:t>
      </w:r>
      <w:r>
        <w:t xml:space="preserve"> so that each case-control set of one observed hyperevent and its sampled non-events is matched within its own stratum, the convention that places the estimates on the RHEM coefficient scale of Lerner and Lomi (2020, 2023).</w:t>
      </w:r>
    </w:p>
    <w:p w14:paraId="22558368" w14:textId="77777777" w:rsidR="00096EB2" w:rsidRDefault="00096EB2" w:rsidP="00096EB2">
      <w:pPr>
        <w:pStyle w:val="BodyText"/>
      </w:pPr>
      <w:r>
        <w:t xml:space="preserve">One scale caveat applies to the outgoing-two-paths effect. The dyadic </w:t>
      </w:r>
      <w:r>
        <w:rPr>
          <w:rStyle w:val="VerbatimChar"/>
        </w:rPr>
        <w:t>remstats</w:t>
      </w:r>
      <w:r>
        <w:t xml:space="preserve"> outgoing-two-paths count and the hyperedge outgoing-two-paths count produced by </w:t>
      </w:r>
      <w:r>
        <w:rPr>
          <w:rStyle w:val="VerbatimChar"/>
        </w:rPr>
        <w:t>eventnet</w:t>
      </w:r>
      <w:r>
        <w:t xml:space="preserve"> are not on an exactly aligned raw scale: the two implementations differ in how they aggregate over intermediate actors when constructing the path count. A constant offset across MR levels would indicate a deterministic implementation difference, whereas variation with </w:t>
      </w:r>
      <m:oMath>
        <m:r>
          <w:rPr>
            <w:rFonts w:ascii="Cambria Math" w:hAnsi="Cambria Math"/>
          </w:rPr>
          <m:t>p</m:t>
        </m:r>
      </m:oMath>
      <w:r>
        <w:t xml:space="preserve"> would indicate a transformation-induced effect.</w:t>
      </w:r>
    </w:p>
    <w:p w14:paraId="459F01FA" w14:textId="77777777" w:rsidR="00096EB2" w:rsidRDefault="00096EB2" w:rsidP="00E426E5">
      <w:pPr>
        <w:pStyle w:val="Heading2"/>
        <w:numPr>
          <w:ilvl w:val="0"/>
          <w:numId w:val="0"/>
        </w:numPr>
        <w:ind w:left="397" w:hanging="397"/>
      </w:pPr>
      <w:bookmarkStart w:id="131" w:name="X399cb8240eceeb6171121b8050db68d5b2c94a1"/>
      <w:bookmarkStart w:id="132" w:name="_Toc233640859"/>
      <w:bookmarkEnd w:id="129"/>
      <w:r>
        <w:t xml:space="preserve">Appendix B. Derivation of the </w:t>
      </w:r>
      <m:oMath>
        <m:r>
          <m:rPr>
            <m:sty m:val="b"/>
          </m:rPr>
          <w:rPr>
            <w:rFonts w:ascii="Cambria Math" w:hAnsi="Cambria Math"/>
          </w:rPr>
          <m:t>log(</m:t>
        </m:r>
        <m:r>
          <m:rPr>
            <m:sty m:val="bi"/>
          </m:rPr>
          <w:rPr>
            <w:rFonts w:ascii="Cambria Math" w:hAnsi="Cambria Math"/>
          </w:rPr>
          <m:t>1</m:t>
        </m:r>
        <m:r>
          <m:rPr>
            <m:sty m:val="b"/>
          </m:rPr>
          <w:rPr>
            <w:rFonts w:ascii="Cambria Math" w:hAnsi="Cambria Math"/>
          </w:rPr>
          <m:t>+</m:t>
        </m:r>
        <m:r>
          <m:rPr>
            <m:sty m:val="bi"/>
          </m:rPr>
          <w:rPr>
            <w:rFonts w:ascii="Cambria Math" w:hAnsi="Cambria Math"/>
          </w:rPr>
          <m:t>p</m:t>
        </m:r>
        <m:r>
          <m:rPr>
            <m:sty m:val="b"/>
          </m:rPr>
          <w:rPr>
            <w:rFonts w:ascii="Cambria Math" w:hAnsi="Cambria Math"/>
          </w:rPr>
          <m:t>)</m:t>
        </m:r>
      </m:oMath>
      <w:r>
        <w:t xml:space="preserve"> shift in </w:t>
      </w:r>
      <m:oMath>
        <m:sSub>
          <m:sSubPr>
            <m:ctrlPr>
              <w:rPr>
                <w:rFonts w:ascii="Cambria Math" w:hAnsi="Cambria Math"/>
              </w:rPr>
            </m:ctrlPr>
          </m:sSubPr>
          <m:e>
            <m:r>
              <m:rPr>
                <m:sty m:val="bi"/>
              </m:rPr>
              <w:rPr>
                <w:rFonts w:ascii="Cambria Math" w:hAnsi="Cambria Math"/>
              </w:rPr>
              <m:t>β</m:t>
            </m:r>
          </m:e>
          <m:sub>
            <m:r>
              <m:rPr>
                <m:sty m:val="bi"/>
              </m:rPr>
              <w:rPr>
                <w:rFonts w:ascii="Cambria Math" w:hAnsi="Cambria Math"/>
              </w:rPr>
              <m:t>0</m:t>
            </m:r>
          </m:sub>
        </m:sSub>
      </m:oMath>
      <w:bookmarkEnd w:id="132"/>
    </w:p>
    <w:p w14:paraId="001B9B75" w14:textId="77777777" w:rsidR="00096EB2" w:rsidRDefault="00096EB2" w:rsidP="00096EB2">
      <w:pPr>
        <w:pStyle w:val="FirstParagraph"/>
      </w:pPr>
      <w:r>
        <w:t>This appendix gives the derivation summarised in Section 2.7.1 of the Methodology chapter.</w:t>
      </w:r>
    </w:p>
    <w:p w14:paraId="3E277D7E" w14:textId="338333CC" w:rsidR="00096EB2" w:rsidRDefault="00096EB2" w:rsidP="00096EB2">
      <w:pPr>
        <w:pStyle w:val="BodyText"/>
      </w:pPr>
      <w:r>
        <w:t xml:space="preserve">The additive multi-receiver construction of Section </w:t>
      </w:r>
      <w:r w:rsidR="0040093F">
        <w:fldChar w:fldCharType="begin"/>
      </w:r>
      <w:r w:rsidR="0040093F">
        <w:instrText xml:space="preserve"> REF _Ref232774791 \r \h </w:instrText>
      </w:r>
      <w:r w:rsidR="0040093F">
        <w:fldChar w:fldCharType="separate"/>
      </w:r>
      <w:r w:rsidR="0040093F">
        <w:t>2.2</w:t>
      </w:r>
      <w:r w:rsidR="0040093F">
        <w:fldChar w:fldCharType="end"/>
      </w:r>
      <w:r>
        <w:t xml:space="preserve"> leaves every baseline event in place and adds one extra row per tagged event, so at multi-receiver proportion </w:t>
      </w:r>
      <m:oMath>
        <m:r>
          <w:rPr>
            <w:rFonts w:ascii="Cambria Math" w:hAnsi="Cambria Math"/>
          </w:rPr>
          <m:t>p</m:t>
        </m:r>
      </m:oMath>
      <w:r>
        <w:t xml:space="preserve"> the long-table row count grows from </w:t>
      </w:r>
      <m:oMath>
        <m:r>
          <w:rPr>
            <w:rFonts w:ascii="Cambria Math" w:hAnsi="Cambria Math"/>
          </w:rPr>
          <m:t>M</m:t>
        </m:r>
      </m:oMath>
      <w:r>
        <w:t xml:space="preserve"> at </w:t>
      </w:r>
      <m:oMath>
        <m:r>
          <m:rPr>
            <m:sty m:val="p"/>
          </m:rPr>
          <w:rPr>
            <w:rFonts w:ascii="Cambria Math" w:hAnsi="Cambria Math"/>
          </w:rPr>
          <m:t>MR=</m:t>
        </m:r>
        <m:r>
          <w:rPr>
            <w:rFonts w:ascii="Cambria Math" w:hAnsi="Cambria Math"/>
          </w:rPr>
          <m:t>0</m:t>
        </m:r>
      </m:oMath>
      <w:r>
        <w:t xml:space="preserve"> to </w:t>
      </w:r>
      <m:oMath>
        <m:r>
          <w:rPr>
            <w:rFonts w:ascii="Cambria Math" w:hAnsi="Cambria Math"/>
          </w:rPr>
          <m:t>M</m:t>
        </m:r>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p</m:t>
        </m:r>
        <m:r>
          <m:rPr>
            <m:sty m:val="p"/>
          </m:rPr>
          <w:rPr>
            <w:rFonts w:ascii="Cambria Math" w:hAnsi="Cambria Math"/>
          </w:rPr>
          <m:t>)</m:t>
        </m:r>
      </m:oMath>
      <w:r>
        <w:t xml:space="preserve">. Over a fixed observation </w:t>
      </w:r>
      <w:proofErr w:type="gramStart"/>
      <w:r>
        <w:t>window</w:t>
      </w:r>
      <w:proofErr w:type="gramEnd"/>
      <w:r>
        <w:t xml:space="preserve"> the apparent per-dyad rate inflates by a factor of </w:t>
      </w:r>
      <m:oMath>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p</m:t>
        </m:r>
        <m:r>
          <m:rPr>
            <m:sty m:val="p"/>
          </m:rPr>
          <w:rPr>
            <w:rFonts w:ascii="Cambria Math" w:hAnsi="Cambria Math"/>
          </w:rPr>
          <m:t>)</m:t>
        </m:r>
      </m:oMath>
      <w:r>
        <w:t xml:space="preserve">, and to first order the recovered log baseline shifts by </w:t>
      </w:r>
      <m:oMath>
        <m:r>
          <m:rPr>
            <m:sty m:val="p"/>
          </m:rPr>
          <w:rPr>
            <w:rFonts w:ascii="Cambria Math" w:hAnsi="Cambria Math"/>
          </w:rPr>
          <m:t>log(</m:t>
        </m:r>
        <m:r>
          <w:rPr>
            <w:rFonts w:ascii="Cambria Math" w:hAnsi="Cambria Math"/>
          </w:rPr>
          <m:t>1</m:t>
        </m:r>
        <m:r>
          <m:rPr>
            <m:sty m:val="p"/>
          </m:rPr>
          <w:rPr>
            <w:rFonts w:ascii="Cambria Math" w:hAnsi="Cambria Math"/>
          </w:rPr>
          <m:t>+</m:t>
        </m:r>
        <m:r>
          <w:rPr>
            <w:rFonts w:ascii="Cambria Math" w:hAnsi="Cambria Math"/>
          </w:rPr>
          <m:t>p</m:t>
        </m:r>
        <m:r>
          <m:rPr>
            <m:sty m:val="p"/>
          </m:rPr>
          <w:rPr>
            <w:rFonts w:ascii="Cambria Math" w:hAnsi="Cambria Math"/>
          </w:rPr>
          <m:t>)</m:t>
        </m:r>
      </m:oMath>
      <w:r>
        <w:t xml:space="preserve">. Numerically, this predicts a shift of </w:t>
      </w:r>
      <m:oMath>
        <m:r>
          <m:rPr>
            <m:sty m:val="p"/>
          </m:rPr>
          <w:rPr>
            <w:rFonts w:ascii="Cambria Math" w:hAnsi="Cambria Math"/>
          </w:rPr>
          <m:t>log(</m:t>
        </m:r>
        <m:r>
          <w:rPr>
            <w:rFonts w:ascii="Cambria Math" w:hAnsi="Cambria Math"/>
          </w:rPr>
          <m:t>1.02</m:t>
        </m:r>
        <m:r>
          <m:rPr>
            <m:sty m:val="p"/>
          </m:rPr>
          <w:rPr>
            <w:rFonts w:ascii="Cambria Math" w:hAnsi="Cambria Math"/>
          </w:rPr>
          <m:t>)≈</m:t>
        </m:r>
        <m:r>
          <w:rPr>
            <w:rFonts w:ascii="Cambria Math" w:hAnsi="Cambria Math"/>
          </w:rPr>
          <m:t>0.020</m:t>
        </m:r>
      </m:oMath>
      <w:r>
        <w:t xml:space="preserve"> at </w:t>
      </w:r>
      <m:oMath>
        <m:r>
          <w:rPr>
            <w:rFonts w:ascii="Cambria Math" w:hAnsi="Cambria Math"/>
          </w:rPr>
          <m:t>p</m:t>
        </m:r>
        <m:r>
          <m:rPr>
            <m:sty m:val="p"/>
          </m:rPr>
          <w:rPr>
            <w:rFonts w:ascii="Cambria Math" w:hAnsi="Cambria Math"/>
          </w:rPr>
          <m:t>=</m:t>
        </m:r>
        <m:r>
          <w:rPr>
            <w:rFonts w:ascii="Cambria Math" w:hAnsi="Cambria Math"/>
          </w:rPr>
          <m:t>2</m:t>
        </m:r>
        <m:r>
          <m:rPr>
            <m:sty m:val="p"/>
          </m:rPr>
          <w:rPr>
            <w:rFonts w:ascii="Cambria Math" w:hAnsi="Cambria Math"/>
          </w:rPr>
          <m:t>%</m:t>
        </m:r>
      </m:oMath>
      <w:r>
        <w:t xml:space="preserve">, rising to </w:t>
      </w:r>
      <m:oMath>
        <m:r>
          <m:rPr>
            <m:sty m:val="p"/>
          </m:rPr>
          <w:rPr>
            <w:rFonts w:ascii="Cambria Math" w:hAnsi="Cambria Math"/>
          </w:rPr>
          <m:t>log(</m:t>
        </m:r>
        <m:r>
          <w:rPr>
            <w:rFonts w:ascii="Cambria Math" w:hAnsi="Cambria Math"/>
          </w:rPr>
          <m:t>1.24</m:t>
        </m:r>
        <m:r>
          <m:rPr>
            <m:sty m:val="p"/>
          </m:rPr>
          <w:rPr>
            <w:rFonts w:ascii="Cambria Math" w:hAnsi="Cambria Math"/>
          </w:rPr>
          <m:t>)≈</m:t>
        </m:r>
        <m:r>
          <w:rPr>
            <w:rFonts w:ascii="Cambria Math" w:hAnsi="Cambria Math"/>
          </w:rPr>
          <m:t>0.215</m:t>
        </m:r>
      </m:oMath>
      <w:r>
        <w:t xml:space="preserve"> at </w:t>
      </w:r>
      <m:oMath>
        <m:r>
          <w:rPr>
            <w:rFonts w:ascii="Cambria Math" w:hAnsi="Cambria Math"/>
          </w:rPr>
          <m:t>p</m:t>
        </m:r>
        <m:r>
          <m:rPr>
            <m:sty m:val="p"/>
          </m:rPr>
          <w:rPr>
            <w:rFonts w:ascii="Cambria Math" w:hAnsi="Cambria Math"/>
          </w:rPr>
          <m:t>=</m:t>
        </m:r>
        <m:r>
          <w:rPr>
            <w:rFonts w:ascii="Cambria Math" w:hAnsi="Cambria Math"/>
          </w:rPr>
          <m:t>24</m:t>
        </m:r>
        <m:r>
          <m:rPr>
            <m:sty m:val="p"/>
          </m:rPr>
          <w:rPr>
            <w:rFonts w:ascii="Cambria Math" w:hAnsi="Cambria Math"/>
          </w:rPr>
          <m:t>%</m:t>
        </m:r>
      </m:oMath>
      <w:r>
        <w:t>.</w:t>
      </w:r>
    </w:p>
    <w:p w14:paraId="0C062824" w14:textId="7A7C63D4" w:rsidR="00096EB2" w:rsidRDefault="00096EB2" w:rsidP="00096EB2">
      <w:pPr>
        <w:pStyle w:val="BodyText"/>
      </w:pPr>
      <w:r>
        <w:t xml:space="preserve">This first-order prediction is exact in the null model (every tie-oriented statistic identically zero), where there is no structural contribution to redistribute. Away from the null it is an approximation, because the injected events are not structurally inert. The extra receivers of the uninformative-receiver design of Section </w:t>
      </w:r>
      <w:r w:rsidR="0040093F">
        <w:fldChar w:fldCharType="begin"/>
      </w:r>
      <w:r w:rsidR="0040093F">
        <w:instrText xml:space="preserve"> REF _Ref232774797 \r \h </w:instrText>
      </w:r>
      <w:r w:rsidR="0040093F">
        <w:fldChar w:fldCharType="separate"/>
      </w:r>
      <w:r w:rsidR="0040093F">
        <w:t>2.2</w:t>
      </w:r>
      <w:r w:rsidR="0040093F">
        <w:fldChar w:fldCharType="end"/>
      </w:r>
      <w:r w:rsidR="0040093F">
        <w:t xml:space="preserve"> </w:t>
      </w:r>
      <w:r>
        <w:t xml:space="preserve">carry no covariate or history signal of their own, so they introduce no genuine new effect to estimate; but the act of injecting their events still mechanically contaminates the endogenous statistics, adding spurious two-paths and reciprocation and diluting the homophily signal (Section </w:t>
      </w:r>
      <w:r w:rsidR="0040093F">
        <w:fldChar w:fldCharType="begin"/>
      </w:r>
      <w:r w:rsidR="0040093F">
        <w:instrText xml:space="preserve"> REF _Ref232774808 \r \h </w:instrText>
      </w:r>
      <w:r w:rsidR="0040093F">
        <w:fldChar w:fldCharType="separate"/>
      </w:r>
      <w:r w:rsidR="0040093F">
        <w:t>4.1</w:t>
      </w:r>
      <w:r w:rsidR="0040093F">
        <w:fldChar w:fldCharType="end"/>
      </w:r>
      <w:r>
        <w:t xml:space="preserve">). The tie-oriented coefficients therefore attenuate towards zero (Section </w:t>
      </w:r>
      <w:r w:rsidR="0040093F">
        <w:fldChar w:fldCharType="begin"/>
      </w:r>
      <w:r w:rsidR="0040093F">
        <w:instrText xml:space="preserve"> REF _Ref232774814 \r \h </w:instrText>
      </w:r>
      <w:r w:rsidR="0040093F">
        <w:fldChar w:fldCharType="separate"/>
      </w:r>
      <w:r w:rsidR="0040093F">
        <w:t>3.3</w:t>
      </w:r>
      <w:r w:rsidR="0040093F">
        <w:fldChar w:fldCharType="end"/>
      </w:r>
      <w:r>
        <w:t xml:space="preserve">), and as their positive average contribution to the linear predictor shrinks, </w:t>
      </w:r>
      <m:oMath>
        <m:sSub>
          <m:sSubPr>
            <m:ctrlPr>
              <w:rPr>
                <w:rFonts w:ascii="Cambria Math" w:hAnsi="Cambria Math"/>
              </w:rPr>
            </m:ctrlPr>
          </m:sSubPr>
          <m:e>
            <m:r>
              <w:rPr>
                <w:rFonts w:ascii="Cambria Math" w:hAnsi="Cambria Math"/>
              </w:rPr>
              <m:t>β</m:t>
            </m:r>
          </m:e>
          <m:sub>
            <m:r>
              <w:rPr>
                <w:rFonts w:ascii="Cambria Math" w:hAnsi="Cambria Math"/>
              </w:rPr>
              <m:t>0</m:t>
            </m:r>
          </m:sub>
        </m:sSub>
      </m:oMath>
      <w:r>
        <w:t xml:space="preserve"> rises slightly beyond </w:t>
      </w:r>
      <m:oMath>
        <m:r>
          <m:rPr>
            <m:sty m:val="p"/>
          </m:rPr>
          <w:rPr>
            <w:rFonts w:ascii="Cambria Math" w:hAnsi="Cambria Math"/>
          </w:rPr>
          <m:t>log(</m:t>
        </m:r>
        <m:r>
          <w:rPr>
            <w:rFonts w:ascii="Cambria Math" w:hAnsi="Cambria Math"/>
          </w:rPr>
          <m:t>1</m:t>
        </m:r>
        <m:r>
          <m:rPr>
            <m:sty m:val="p"/>
          </m:rPr>
          <w:rPr>
            <w:rFonts w:ascii="Cambria Math" w:hAnsi="Cambria Math"/>
          </w:rPr>
          <m:t>+</m:t>
        </m:r>
        <m:r>
          <w:rPr>
            <w:rFonts w:ascii="Cambria Math" w:hAnsi="Cambria Math"/>
          </w:rPr>
          <m:t>p</m:t>
        </m:r>
        <m:r>
          <m:rPr>
            <m:sty m:val="p"/>
          </m:rPr>
          <w:rPr>
            <w:rFonts w:ascii="Cambria Math" w:hAnsi="Cambria Math"/>
          </w:rPr>
          <m:t>)</m:t>
        </m:r>
      </m:oMath>
      <w:r>
        <w:t xml:space="preserve"> to keep the fitted rate matched to the observed events (Section </w:t>
      </w:r>
      <w:r w:rsidR="0040093F">
        <w:fldChar w:fldCharType="begin"/>
      </w:r>
      <w:r w:rsidR="0040093F">
        <w:instrText xml:space="preserve"> REF _Ref232774820 \r \h </w:instrText>
      </w:r>
      <w:r w:rsidR="0040093F">
        <w:fldChar w:fldCharType="separate"/>
      </w:r>
      <w:r w:rsidR="0040093F">
        <w:t>3.5</w:t>
      </w:r>
      <w:r w:rsidR="0040093F">
        <w:fldChar w:fldCharType="end"/>
      </w:r>
      <w:r>
        <w:t xml:space="preserve">). The dominant share of the rate inflation is still absorbed by </w:t>
      </w:r>
      <m:oMath>
        <m:sSub>
          <m:sSubPr>
            <m:ctrlPr>
              <w:rPr>
                <w:rFonts w:ascii="Cambria Math" w:hAnsi="Cambria Math"/>
              </w:rPr>
            </m:ctrlPr>
          </m:sSubPr>
          <m:e>
            <m:r>
              <w:rPr>
                <w:rFonts w:ascii="Cambria Math" w:hAnsi="Cambria Math"/>
              </w:rPr>
              <m:t>β</m:t>
            </m:r>
          </m:e>
          <m:sub>
            <m:r>
              <w:rPr>
                <w:rFonts w:ascii="Cambria Math" w:hAnsi="Cambria Math"/>
              </w:rPr>
              <m:t>0</m:t>
            </m:r>
          </m:sub>
        </m:sSub>
      </m:oMath>
      <w:r>
        <w:t xml:space="preserve">, and the residual over-shift is a fingerprint of that attenuation rather than error in the </w:t>
      </w:r>
      <m:oMath>
        <m:r>
          <m:rPr>
            <m:sty m:val="p"/>
          </m:rPr>
          <w:rPr>
            <w:rFonts w:ascii="Cambria Math" w:hAnsi="Cambria Math"/>
          </w:rPr>
          <m:t>log(</m:t>
        </m:r>
        <m:r>
          <w:rPr>
            <w:rFonts w:ascii="Cambria Math" w:hAnsi="Cambria Math"/>
          </w:rPr>
          <m:t>1</m:t>
        </m:r>
        <m:r>
          <m:rPr>
            <m:sty m:val="p"/>
          </m:rPr>
          <w:rPr>
            <w:rFonts w:ascii="Cambria Math" w:hAnsi="Cambria Math"/>
          </w:rPr>
          <m:t>+</m:t>
        </m:r>
        <m:r>
          <w:rPr>
            <w:rFonts w:ascii="Cambria Math" w:hAnsi="Cambria Math"/>
          </w:rPr>
          <m:t>p</m:t>
        </m:r>
        <m:r>
          <m:rPr>
            <m:sty m:val="p"/>
          </m:rPr>
          <w:rPr>
            <w:rFonts w:ascii="Cambria Math" w:hAnsi="Cambria Math"/>
          </w:rPr>
          <m:t>)</m:t>
        </m:r>
      </m:oMath>
      <w:r>
        <w:t xml:space="preserve"> prediction. Under structured multicast the redistribution would be larger and could load onto </w:t>
      </w:r>
      <w:proofErr w:type="gramStart"/>
      <w:r>
        <w:t>particular tie-oriented</w:t>
      </w:r>
      <w:proofErr w:type="gramEnd"/>
      <w:r>
        <w:t xml:space="preserve"> coefficients (for example inertia, if the same group of receivers is addressed together repeatedly).</w:t>
      </w:r>
    </w:p>
    <w:p w14:paraId="633E9503" w14:textId="77777777" w:rsidR="00096EB2" w:rsidRDefault="00096EB2" w:rsidP="00096EB2">
      <w:pPr>
        <w:pStyle w:val="BodyText"/>
      </w:pPr>
      <w:r>
        <w:t xml:space="preserve">The shift is therefore an accounting consequence of additive injection, not a recovery failure of the dyadic REM under multi-receiver structure: </w:t>
      </w:r>
      <m:oMath>
        <m:sSub>
          <m:sSubPr>
            <m:ctrlPr>
              <w:rPr>
                <w:rFonts w:ascii="Cambria Math" w:hAnsi="Cambria Math"/>
              </w:rPr>
            </m:ctrlPr>
          </m:sSubPr>
          <m:e>
            <m:r>
              <w:rPr>
                <w:rFonts w:ascii="Cambria Math" w:hAnsi="Cambria Math"/>
              </w:rPr>
              <m:t>β</m:t>
            </m:r>
          </m:e>
          <m:sub>
            <m:r>
              <w:rPr>
                <w:rFonts w:ascii="Cambria Math" w:hAnsi="Cambria Math"/>
              </w:rPr>
              <m:t>0</m:t>
            </m:r>
          </m:sub>
        </m:sSub>
      </m:oMath>
      <w:r>
        <w:t xml:space="preserve"> is responding to a long table that genuinely contains </w:t>
      </w:r>
      <m:oMath>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p</m:t>
        </m:r>
        <m:r>
          <m:rPr>
            <m:sty m:val="p"/>
          </m:rPr>
          <w:rPr>
            <w:rFonts w:ascii="Cambria Math" w:hAnsi="Cambria Math"/>
          </w:rPr>
          <m:t>)</m:t>
        </m:r>
        <m:r>
          <w:rPr>
            <w:rFonts w:ascii="Cambria Math" w:hAnsi="Cambria Math"/>
          </w:rPr>
          <m:t>M</m:t>
        </m:r>
      </m:oMath>
      <w:r>
        <w:t xml:space="preserve"> events, and it recovers the pacing constant of that augmented process. Including </w:t>
      </w:r>
      <m:oMath>
        <m:sSub>
          <m:sSubPr>
            <m:ctrlPr>
              <w:rPr>
                <w:rFonts w:ascii="Cambria Math" w:hAnsi="Cambria Math"/>
              </w:rPr>
            </m:ctrlPr>
          </m:sSubPr>
          <m:e>
            <m:r>
              <w:rPr>
                <w:rFonts w:ascii="Cambria Math" w:hAnsi="Cambria Math"/>
              </w:rPr>
              <m:t>β</m:t>
            </m:r>
          </m:e>
          <m:sub>
            <m:r>
              <w:rPr>
                <w:rFonts w:ascii="Cambria Math" w:hAnsi="Cambria Math"/>
              </w:rPr>
              <m:t>0</m:t>
            </m:r>
          </m:sub>
        </m:sSub>
      </m:oMath>
      <w:r>
        <w:t xml:space="preserve"> in the rule would answer a different question (how much does the dyadic event count inflate per extra receiver?) than the one this thesis poses (when does the dyadic REM stop recovering the multi-receiver-perturbed generating process?). The empirical </w:t>
      </w:r>
      <m:oMath>
        <m:sSub>
          <m:sSubPr>
            <m:ctrlPr>
              <w:rPr>
                <w:rFonts w:ascii="Cambria Math" w:hAnsi="Cambria Math"/>
              </w:rPr>
            </m:ctrlPr>
          </m:sSubPr>
          <m:e>
            <m:r>
              <w:rPr>
                <w:rFonts w:ascii="Cambria Math" w:hAnsi="Cambria Math"/>
              </w:rPr>
              <m:t>β</m:t>
            </m:r>
          </m:e>
          <m:sub>
            <m:r>
              <w:rPr>
                <w:rFonts w:ascii="Cambria Math" w:hAnsi="Cambria Math"/>
              </w:rPr>
              <m:t>0</m:t>
            </m:r>
          </m:sub>
        </m:sSub>
      </m:oMath>
      <w:r>
        <w:t xml:space="preserve"> trajectory is reported in the Results chapter as a check on the </w:t>
      </w:r>
      <m:oMath>
        <m:r>
          <m:rPr>
            <m:sty m:val="p"/>
          </m:rPr>
          <w:rPr>
            <w:rFonts w:ascii="Cambria Math" w:hAnsi="Cambria Math"/>
          </w:rPr>
          <m:t>log(</m:t>
        </m:r>
        <m:r>
          <w:rPr>
            <w:rFonts w:ascii="Cambria Math" w:hAnsi="Cambria Math"/>
          </w:rPr>
          <m:t>1</m:t>
        </m:r>
        <m:r>
          <m:rPr>
            <m:sty m:val="p"/>
          </m:rPr>
          <w:rPr>
            <w:rFonts w:ascii="Cambria Math" w:hAnsi="Cambria Math"/>
          </w:rPr>
          <m:t>+</m:t>
        </m:r>
        <m:r>
          <w:rPr>
            <w:rFonts w:ascii="Cambria Math" w:hAnsi="Cambria Math"/>
          </w:rPr>
          <m:t>p</m:t>
        </m:r>
        <m:r>
          <m:rPr>
            <m:sty m:val="p"/>
          </m:rPr>
          <w:rPr>
            <w:rFonts w:ascii="Cambria Math" w:hAnsi="Cambria Math"/>
          </w:rPr>
          <m:t>)</m:t>
        </m:r>
      </m:oMath>
      <w:r>
        <w:t xml:space="preserve"> prediction and on the uninformative-receiver assumption, but it does not enter the threshold.</w:t>
      </w:r>
    </w:p>
    <w:p w14:paraId="72E78D2C" w14:textId="77777777" w:rsidR="00096EB2" w:rsidRDefault="00096EB2" w:rsidP="00E426E5">
      <w:pPr>
        <w:pStyle w:val="Heading2"/>
        <w:numPr>
          <w:ilvl w:val="0"/>
          <w:numId w:val="0"/>
        </w:numPr>
        <w:ind w:left="397" w:hanging="397"/>
      </w:pPr>
      <w:bookmarkStart w:id="133" w:name="appendix-c.-code-and-data-availability"/>
      <w:bookmarkStart w:id="134" w:name="_Toc233640860"/>
      <w:bookmarkEnd w:id="131"/>
      <w:r>
        <w:t>Appendix C. Code and data availability</w:t>
      </w:r>
      <w:bookmarkEnd w:id="134"/>
    </w:p>
    <w:p w14:paraId="3493690A" w14:textId="414B1877" w:rsidR="00E67017" w:rsidRDefault="00096EB2" w:rsidP="0040093F">
      <w:pPr>
        <w:pStyle w:val="FirstParagraph"/>
      </w:pPr>
      <w:r>
        <w:t>All code used in this thesis is publicly available in the project repository at</w:t>
      </w:r>
      <w:r w:rsidR="00875C79">
        <w:t xml:space="preserve"> </w:t>
      </w:r>
      <w:hyperlink r:id="rId11" w:history="1">
        <w:r w:rsidR="00875C79" w:rsidRPr="00875C79">
          <w:rPr>
            <w:rStyle w:val="Hyperlink"/>
          </w:rPr>
          <w:t>https://github.com/GabrielSC92/Thesis-MSc-ADS-42</w:t>
        </w:r>
        <w:r w:rsidR="00875C79" w:rsidRPr="00875C79">
          <w:rPr>
            <w:rStyle w:val="Hyperlink"/>
          </w:rPr>
          <w:t>6</w:t>
        </w:r>
        <w:r w:rsidR="00875C79" w:rsidRPr="00875C79">
          <w:rPr>
            <w:rStyle w:val="Hyperlink"/>
          </w:rPr>
          <w:t>6390</w:t>
        </w:r>
      </w:hyperlink>
      <w:r>
        <w:t xml:space="preserve">. The repository contains the synthetic data-generation scripts (the baseline data-generating process and the multi-receiver construction), the tie-breaking transformation, the dyadic REM and RHEM estimation pipelines, the cross-dataset replication harness, and the analysis notebooks that derive the per-effect bands, apply the acceptability rule, and produce every table and figure reported here. Because the full pipeline is deterministic in the baseline seed (Section </w:t>
      </w:r>
      <w:r w:rsidR="0040093F">
        <w:fldChar w:fldCharType="begin"/>
      </w:r>
      <w:r w:rsidR="0040093F">
        <w:instrText xml:space="preserve"> REF _Ref232774832 \r \h </w:instrText>
      </w:r>
      <w:r w:rsidR="0040093F">
        <w:fldChar w:fldCharType="separate"/>
      </w:r>
      <w:r w:rsidR="0040093F">
        <w:t>2.6</w:t>
      </w:r>
      <w:r w:rsidR="0040093F">
        <w:fldChar w:fldCharType="end"/>
      </w:r>
      <w:r>
        <w:t>), every number in the Results chapter can be regenerated from the seed list alone.</w:t>
      </w:r>
      <w:bookmarkEnd w:id="133"/>
    </w:p>
    <w:p w14:paraId="713B6442" w14:textId="0DCC8CA4" w:rsidR="001608C5" w:rsidRPr="00432EC8" w:rsidRDefault="001608C5" w:rsidP="001608C5">
      <w:pPr>
        <w:pStyle w:val="Heading2"/>
        <w:numPr>
          <w:ilvl w:val="0"/>
          <w:numId w:val="0"/>
        </w:numPr>
        <w:ind w:left="397" w:hanging="397"/>
      </w:pPr>
      <w:bookmarkStart w:id="135" w:name="_Toc233640861"/>
      <w:r w:rsidRPr="00432EC8">
        <w:t xml:space="preserve">Appendix D. </w:t>
      </w:r>
      <w:bookmarkEnd w:id="135"/>
      <w:r w:rsidR="00432EC8" w:rsidRPr="00432EC8">
        <w:t>Model AI Disclo</w:t>
      </w:r>
      <w:r w:rsidR="00432EC8">
        <w:t>sure Statement</w:t>
      </w:r>
    </w:p>
    <w:p w14:paraId="11E03E6F" w14:textId="6836DC85" w:rsidR="001608C5" w:rsidRPr="001608C5" w:rsidRDefault="00875C79" w:rsidP="001608C5">
      <w:pPr>
        <w:pStyle w:val="BodyText"/>
      </w:pPr>
      <w:r w:rsidRPr="00875C79">
        <w:drawing>
          <wp:inline distT="0" distB="0" distL="0" distR="0" wp14:anchorId="1BB6C59E" wp14:editId="1C8028EE">
            <wp:extent cx="5943600" cy="6743700"/>
            <wp:effectExtent l="19050" t="19050" r="19050" b="19050"/>
            <wp:docPr id="11222261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2226106" name=""/>
                    <pic:cNvPicPr/>
                  </pic:nvPicPr>
                  <pic:blipFill rotWithShape="1">
                    <a:blip r:embed="rId12"/>
                    <a:srcRect t="2120"/>
                    <a:stretch>
                      <a:fillRect/>
                    </a:stretch>
                  </pic:blipFill>
                  <pic:spPr bwMode="auto">
                    <a:xfrm>
                      <a:off x="0" y="0"/>
                      <a:ext cx="5943600" cy="6743700"/>
                    </a:xfrm>
                    <a:prstGeom prst="rect">
                      <a:avLst/>
                    </a:prstGeom>
                    <a:ln w="9525" cap="flat" cmpd="sng" algn="ctr">
                      <a:solidFill>
                        <a:sysClr val="windowText" lastClr="000000"/>
                      </a:solidFill>
                      <a:prstDash val="solid"/>
                      <a:round/>
                      <a:headEnd type="none" w="med" len="med"/>
                      <a:tailEnd type="none" w="med" len="med"/>
                      <a:extLst>
                        <a:ext uri="{C807C97D-BFC1-408E-A445-0C87EB9F89A2}">
                          <ask:lineSketchStyleProps xmlns:ask="http://schemas.microsoft.com/office/drawing/2018/sketchyshapes" sd="0">
                            <a:custGeom>
                              <a:avLst/>
                              <a:gdLst/>
                              <a:ahLst/>
                              <a:cxnLst/>
                              <a:rect l="0" t="0" r="0" b="0"/>
                              <a:pathLst/>
                            </a:custGeom>
                            <ask:type/>
                          </ask:lineSketchStyleProps>
                        </a:ext>
                      </a:extLst>
                    </a:ln>
                    <a:extLst>
                      <a:ext uri="{53640926-AAD7-44D8-BBD7-CCE9431645EC}">
                        <a14:shadowObscured xmlns:a14="http://schemas.microsoft.com/office/drawing/2010/main"/>
                      </a:ext>
                    </a:extLst>
                  </pic:spPr>
                </pic:pic>
              </a:graphicData>
            </a:graphic>
          </wp:inline>
        </w:drawing>
      </w:r>
    </w:p>
    <w:sectPr w:rsidR="001608C5" w:rsidRPr="001608C5" w:rsidSect="00DB728C">
      <w:footerReference w:type="default" r:id="rId13"/>
      <w:headerReference w:type="first" r:id="rId14"/>
      <w:footerReference w:type="first" r:id="rId15"/>
      <w:footnotePr>
        <w:numRestart w:val="eachSect"/>
      </w:footnotePr>
      <w:pgSz w:w="12240" w:h="15840"/>
      <w:pgMar w:top="1440" w:right="1440" w:bottom="1440" w:left="1440" w:header="720" w:footer="720" w:gutter="0"/>
      <w:pgNumType w:start="0"/>
      <w:cols w:space="720"/>
      <w:titlePg/>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58B5610" w14:textId="77777777" w:rsidR="00EB39E4" w:rsidRPr="00890670" w:rsidRDefault="00EB39E4" w:rsidP="00FF3141">
      <w:r w:rsidRPr="00890670">
        <w:separator/>
      </w:r>
    </w:p>
  </w:endnote>
  <w:endnote w:type="continuationSeparator" w:id="0">
    <w:p w14:paraId="79B415E2" w14:textId="77777777" w:rsidR="00EB39E4" w:rsidRPr="00890670" w:rsidRDefault="00EB39E4" w:rsidP="00FF3141">
      <w:r w:rsidRPr="00890670">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602106304"/>
      <w:docPartObj>
        <w:docPartGallery w:val="Page Numbers (Bottom of Page)"/>
        <w:docPartUnique/>
      </w:docPartObj>
    </w:sdtPr>
    <w:sdtContent>
      <w:sdt>
        <w:sdtPr>
          <w:id w:val="-1769616900"/>
          <w:docPartObj>
            <w:docPartGallery w:val="Page Numbers (Top of Page)"/>
            <w:docPartUnique/>
          </w:docPartObj>
        </w:sdtPr>
        <w:sdtContent>
          <w:p w14:paraId="69BB070F" w14:textId="19FBDB0A" w:rsidR="00FF3141" w:rsidRPr="00890670" w:rsidRDefault="00FF3141">
            <w:pPr>
              <w:pStyle w:val="Footer"/>
              <w:jc w:val="right"/>
            </w:pPr>
            <w:r w:rsidRPr="00890670">
              <w:t xml:space="preserve">Page </w:t>
            </w:r>
            <w:r w:rsidRPr="00890670">
              <w:rPr>
                <w:b/>
                <w:bCs/>
              </w:rPr>
              <w:fldChar w:fldCharType="begin"/>
            </w:r>
            <w:r w:rsidRPr="00890670">
              <w:rPr>
                <w:b/>
                <w:bCs/>
              </w:rPr>
              <w:instrText xml:space="preserve"> PAGE </w:instrText>
            </w:r>
            <w:r w:rsidRPr="00890670">
              <w:rPr>
                <w:b/>
                <w:bCs/>
              </w:rPr>
              <w:fldChar w:fldCharType="separate"/>
            </w:r>
            <w:r w:rsidRPr="00890670">
              <w:rPr>
                <w:b/>
                <w:bCs/>
              </w:rPr>
              <w:t>2</w:t>
            </w:r>
            <w:r w:rsidRPr="00890670">
              <w:rPr>
                <w:b/>
                <w:bCs/>
              </w:rPr>
              <w:fldChar w:fldCharType="end"/>
            </w:r>
            <w:r w:rsidRPr="00890670">
              <w:t xml:space="preserve"> of </w:t>
            </w:r>
            <w:r w:rsidRPr="00890670">
              <w:rPr>
                <w:b/>
                <w:bCs/>
              </w:rPr>
              <w:fldChar w:fldCharType="begin"/>
            </w:r>
            <w:r w:rsidRPr="00890670">
              <w:rPr>
                <w:b/>
                <w:bCs/>
              </w:rPr>
              <w:instrText xml:space="preserve"> NUMPAGES  </w:instrText>
            </w:r>
            <w:r w:rsidRPr="00890670">
              <w:rPr>
                <w:b/>
                <w:bCs/>
              </w:rPr>
              <w:fldChar w:fldCharType="separate"/>
            </w:r>
            <w:r w:rsidRPr="00890670">
              <w:rPr>
                <w:b/>
                <w:bCs/>
              </w:rPr>
              <w:t>2</w:t>
            </w:r>
            <w:r w:rsidRPr="00890670">
              <w:rPr>
                <w:b/>
                <w:bCs/>
              </w:rPr>
              <w:fldChar w:fldCharType="end"/>
            </w:r>
          </w:p>
        </w:sdtContent>
      </w:sdt>
    </w:sdtContent>
  </w:sdt>
  <w:p w14:paraId="138F5B63" w14:textId="77777777" w:rsidR="00B34C5F" w:rsidRPr="00890670" w:rsidRDefault="00B34C5F" w:rsidP="00FF314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D721906" w14:textId="0F4C667F" w:rsidR="00B34C5F" w:rsidRPr="00890670" w:rsidRDefault="00B34C5F" w:rsidP="00FF3141">
    <w:pPr>
      <w:pStyle w:val="Footer"/>
    </w:pPr>
  </w:p>
  <w:p w14:paraId="376F0F07" w14:textId="77777777" w:rsidR="00B34C5F" w:rsidRPr="00890670" w:rsidRDefault="00B34C5F" w:rsidP="00FF314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47AB29B" w14:textId="77777777" w:rsidR="00EB39E4" w:rsidRPr="00890670" w:rsidRDefault="00EB39E4" w:rsidP="00FF3141">
      <w:r w:rsidRPr="00890670">
        <w:separator/>
      </w:r>
    </w:p>
  </w:footnote>
  <w:footnote w:type="continuationSeparator" w:id="0">
    <w:p w14:paraId="43E68E89" w14:textId="77777777" w:rsidR="00EB39E4" w:rsidRPr="00890670" w:rsidRDefault="00EB39E4" w:rsidP="00FF3141">
      <w:r w:rsidRPr="00890670">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146E438" w14:textId="77777777" w:rsidR="00A83005" w:rsidRDefault="00A83005">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C75CC920"/>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15:restartNumberingAfterBreak="0">
    <w:nsid w:val="029A0162"/>
    <w:multiLevelType w:val="hybridMultilevel"/>
    <w:tmpl w:val="6EBA409C"/>
    <w:lvl w:ilvl="0" w:tplc="6DE21066">
      <w:start w:val="1"/>
      <w:numFmt w:val="decimal"/>
      <w:lvlText w:val="%1."/>
      <w:lvlJc w:val="left"/>
      <w:pPr>
        <w:ind w:left="720" w:hanging="360"/>
      </w:pPr>
      <w:rPr>
        <w:rFonts w:hint="default"/>
      </w:rPr>
    </w:lvl>
    <w:lvl w:ilvl="1" w:tplc="10000019" w:tentative="1">
      <w:start w:val="1"/>
      <w:numFmt w:val="lowerLetter"/>
      <w:lvlText w:val="%2."/>
      <w:lvlJc w:val="left"/>
      <w:pPr>
        <w:ind w:left="1440" w:hanging="360"/>
      </w:pPr>
    </w:lvl>
    <w:lvl w:ilvl="2" w:tplc="1000001B" w:tentative="1">
      <w:start w:val="1"/>
      <w:numFmt w:val="lowerRoman"/>
      <w:lvlText w:val="%3."/>
      <w:lvlJc w:val="right"/>
      <w:pPr>
        <w:ind w:left="2160" w:hanging="180"/>
      </w:pPr>
    </w:lvl>
    <w:lvl w:ilvl="3" w:tplc="1000000F" w:tentative="1">
      <w:start w:val="1"/>
      <w:numFmt w:val="decimal"/>
      <w:lvlText w:val="%4."/>
      <w:lvlJc w:val="left"/>
      <w:pPr>
        <w:ind w:left="2880" w:hanging="360"/>
      </w:pPr>
    </w:lvl>
    <w:lvl w:ilvl="4" w:tplc="10000019" w:tentative="1">
      <w:start w:val="1"/>
      <w:numFmt w:val="lowerLetter"/>
      <w:lvlText w:val="%5."/>
      <w:lvlJc w:val="left"/>
      <w:pPr>
        <w:ind w:left="3600" w:hanging="360"/>
      </w:pPr>
    </w:lvl>
    <w:lvl w:ilvl="5" w:tplc="1000001B" w:tentative="1">
      <w:start w:val="1"/>
      <w:numFmt w:val="lowerRoman"/>
      <w:lvlText w:val="%6."/>
      <w:lvlJc w:val="right"/>
      <w:pPr>
        <w:ind w:left="4320" w:hanging="180"/>
      </w:pPr>
    </w:lvl>
    <w:lvl w:ilvl="6" w:tplc="1000000F" w:tentative="1">
      <w:start w:val="1"/>
      <w:numFmt w:val="decimal"/>
      <w:lvlText w:val="%7."/>
      <w:lvlJc w:val="left"/>
      <w:pPr>
        <w:ind w:left="5040" w:hanging="360"/>
      </w:pPr>
    </w:lvl>
    <w:lvl w:ilvl="7" w:tplc="10000019" w:tentative="1">
      <w:start w:val="1"/>
      <w:numFmt w:val="lowerLetter"/>
      <w:lvlText w:val="%8."/>
      <w:lvlJc w:val="left"/>
      <w:pPr>
        <w:ind w:left="5760" w:hanging="360"/>
      </w:pPr>
    </w:lvl>
    <w:lvl w:ilvl="8" w:tplc="1000001B" w:tentative="1">
      <w:start w:val="1"/>
      <w:numFmt w:val="lowerRoman"/>
      <w:lvlText w:val="%9."/>
      <w:lvlJc w:val="right"/>
      <w:pPr>
        <w:ind w:left="6480" w:hanging="180"/>
      </w:pPr>
    </w:lvl>
  </w:abstractNum>
  <w:abstractNum w:abstractNumId="2" w15:restartNumberingAfterBreak="0">
    <w:nsid w:val="7A322D4F"/>
    <w:multiLevelType w:val="multilevel"/>
    <w:tmpl w:val="8E1A1228"/>
    <w:lvl w:ilvl="0">
      <w:start w:val="1"/>
      <w:numFmt w:val="decimal"/>
      <w:pStyle w:val="Heading2"/>
      <w:lvlText w:val="%1."/>
      <w:lvlJc w:val="left"/>
      <w:pPr>
        <w:ind w:left="397" w:hanging="397"/>
      </w:pPr>
      <w:rPr>
        <w:rFonts w:hint="default"/>
      </w:rPr>
    </w:lvl>
    <w:lvl w:ilvl="1">
      <w:start w:val="1"/>
      <w:numFmt w:val="decimal"/>
      <w:pStyle w:val="Heading3"/>
      <w:isLgl/>
      <w:lvlText w:val="%1.%2"/>
      <w:lvlJc w:val="left"/>
      <w:pPr>
        <w:ind w:left="567" w:hanging="567"/>
      </w:pPr>
      <w:rPr>
        <w:rFonts w:hint="default"/>
      </w:rPr>
    </w:lvl>
    <w:lvl w:ilvl="2">
      <w:start w:val="1"/>
      <w:numFmt w:val="decimal"/>
      <w:isLgl/>
      <w:lvlText w:val="%1.%2.%3"/>
      <w:lvlJc w:val="left"/>
      <w:pPr>
        <w:ind w:left="720" w:hanging="720"/>
      </w:pPr>
      <w:rPr>
        <w:rFonts w:hint="default"/>
      </w:rPr>
    </w:lvl>
    <w:lvl w:ilvl="3">
      <w:start w:val="1"/>
      <w:numFmt w:val="decimal"/>
      <w:isLgl/>
      <w:lvlText w:val="%1.%2.%3.%4"/>
      <w:lvlJc w:val="left"/>
      <w:pPr>
        <w:ind w:left="1080" w:hanging="1080"/>
      </w:pPr>
      <w:rPr>
        <w:rFonts w:hint="default"/>
      </w:rPr>
    </w:lvl>
    <w:lvl w:ilvl="4">
      <w:start w:val="1"/>
      <w:numFmt w:val="decimal"/>
      <w:isLgl/>
      <w:lvlText w:val="%1.%2.%3.%4.%5"/>
      <w:lvlJc w:val="left"/>
      <w:pPr>
        <w:ind w:left="1440" w:hanging="1440"/>
      </w:pPr>
      <w:rPr>
        <w:rFonts w:hint="default"/>
      </w:rPr>
    </w:lvl>
    <w:lvl w:ilvl="5">
      <w:start w:val="1"/>
      <w:numFmt w:val="decimal"/>
      <w:isLgl/>
      <w:lvlText w:val="%1.%2.%3.%4.%5.%6"/>
      <w:lvlJc w:val="left"/>
      <w:pPr>
        <w:ind w:left="1440" w:hanging="1440"/>
      </w:pPr>
      <w:rPr>
        <w:rFonts w:hint="default"/>
      </w:rPr>
    </w:lvl>
    <w:lvl w:ilvl="6">
      <w:start w:val="1"/>
      <w:numFmt w:val="decimal"/>
      <w:isLgl/>
      <w:lvlText w:val="%1.%2.%3.%4.%5.%6.%7"/>
      <w:lvlJc w:val="left"/>
      <w:pPr>
        <w:ind w:left="1800" w:hanging="1800"/>
      </w:pPr>
      <w:rPr>
        <w:rFonts w:hint="default"/>
      </w:rPr>
    </w:lvl>
    <w:lvl w:ilvl="7">
      <w:start w:val="1"/>
      <w:numFmt w:val="decimal"/>
      <w:isLgl/>
      <w:lvlText w:val="%1.%2.%3.%4.%5.%6.%7.%8"/>
      <w:lvlJc w:val="left"/>
      <w:pPr>
        <w:ind w:left="1800" w:hanging="1800"/>
      </w:pPr>
      <w:rPr>
        <w:rFonts w:hint="default"/>
      </w:rPr>
    </w:lvl>
    <w:lvl w:ilvl="8">
      <w:start w:val="1"/>
      <w:numFmt w:val="decimal"/>
      <w:isLgl/>
      <w:lvlText w:val="%1.%2.%3.%4.%5.%6.%7.%8.%9"/>
      <w:lvlJc w:val="left"/>
      <w:pPr>
        <w:ind w:left="2160" w:hanging="2160"/>
      </w:pPr>
      <w:rPr>
        <w:rFonts w:hint="default"/>
      </w:rPr>
    </w:lvl>
  </w:abstractNum>
  <w:num w:numId="1" w16cid:durableId="1445036030">
    <w:abstractNumId w:val="0"/>
  </w:num>
  <w:num w:numId="2" w16cid:durableId="270623588">
    <w:abstractNumId w:val="2"/>
  </w:num>
  <w:num w:numId="3" w16cid:durableId="656034935">
    <w:abstractNumId w:val="1"/>
  </w:num>
  <w:num w:numId="4" w16cid:durableId="1432773976">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activeWritingStyle w:appName="MSWord" w:lang="en-GB" w:vendorID="64" w:dllVersion="0" w:nlCheck="1" w:checkStyle="0"/>
  <w:activeWritingStyle w:appName="MSWord" w:lang="fr-FR" w:vendorID="64" w:dllVersion="0" w:nlCheck="1" w:checkStyle="0"/>
  <w:activeWritingStyle w:appName="MSWord" w:lang="nl-NL" w:vendorID="64" w:dllVersion="0" w:nlCheck="1" w:checkStyle="0"/>
  <w:activeWritingStyle w:appName="MSWord" w:lang="en-US" w:vendorID="64" w:dllVersion="0" w:nlCheck="1" w:checkStyle="0"/>
  <w:activeWritingStyle w:appName="MSWord" w:lang="de-DE" w:vendorID="64" w:dllVersion="0" w:nlCheck="1" w:checkStyle="0"/>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efaultTabStop w:val="720"/>
  <w:drawingGridHorizontalSpacing w:val="360"/>
  <w:drawingGridVerticalSpacing w:val="360"/>
  <w:displayHorizontalDrawingGridEvery w:val="0"/>
  <w:displayVerticalDrawingGridEvery w:val="0"/>
  <w:characterSpacingControl w:val="doNotCompress"/>
  <w:savePreviewPicture/>
  <w:footnotePr>
    <w:numRestart w:val="eachSect"/>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5175B"/>
    <w:rsid w:val="0003542D"/>
    <w:rsid w:val="00036FD9"/>
    <w:rsid w:val="000406DD"/>
    <w:rsid w:val="00051344"/>
    <w:rsid w:val="000733E1"/>
    <w:rsid w:val="00084432"/>
    <w:rsid w:val="00096476"/>
    <w:rsid w:val="00096EB2"/>
    <w:rsid w:val="00097E92"/>
    <w:rsid w:val="000B0FF8"/>
    <w:rsid w:val="000C3504"/>
    <w:rsid w:val="000C3CBE"/>
    <w:rsid w:val="000D69B1"/>
    <w:rsid w:val="000E2849"/>
    <w:rsid w:val="000F548B"/>
    <w:rsid w:val="00110B2A"/>
    <w:rsid w:val="00116326"/>
    <w:rsid w:val="00123B34"/>
    <w:rsid w:val="00130E11"/>
    <w:rsid w:val="001608C5"/>
    <w:rsid w:val="001634B1"/>
    <w:rsid w:val="0018750F"/>
    <w:rsid w:val="001A50E4"/>
    <w:rsid w:val="001E3783"/>
    <w:rsid w:val="001F10A1"/>
    <w:rsid w:val="001F48E7"/>
    <w:rsid w:val="00244ECF"/>
    <w:rsid w:val="0025386F"/>
    <w:rsid w:val="00256A1D"/>
    <w:rsid w:val="0026249A"/>
    <w:rsid w:val="00263D85"/>
    <w:rsid w:val="00295897"/>
    <w:rsid w:val="00296DFE"/>
    <w:rsid w:val="002A0DE3"/>
    <w:rsid w:val="002B5E3E"/>
    <w:rsid w:val="002C39E3"/>
    <w:rsid w:val="002D3C02"/>
    <w:rsid w:val="002E7412"/>
    <w:rsid w:val="002F1288"/>
    <w:rsid w:val="002F7B26"/>
    <w:rsid w:val="00301E6C"/>
    <w:rsid w:val="0031110B"/>
    <w:rsid w:val="00344089"/>
    <w:rsid w:val="00387184"/>
    <w:rsid w:val="003A6631"/>
    <w:rsid w:val="003C4F4C"/>
    <w:rsid w:val="003E2272"/>
    <w:rsid w:val="003E4F78"/>
    <w:rsid w:val="003F090A"/>
    <w:rsid w:val="0040093F"/>
    <w:rsid w:val="004102A4"/>
    <w:rsid w:val="00415C54"/>
    <w:rsid w:val="00420BFF"/>
    <w:rsid w:val="00425E2C"/>
    <w:rsid w:val="00432EC8"/>
    <w:rsid w:val="004358C7"/>
    <w:rsid w:val="0048398C"/>
    <w:rsid w:val="00485A3E"/>
    <w:rsid w:val="004B69A2"/>
    <w:rsid w:val="004C73A1"/>
    <w:rsid w:val="004F43A2"/>
    <w:rsid w:val="004F4FE1"/>
    <w:rsid w:val="00503A93"/>
    <w:rsid w:val="00511BBD"/>
    <w:rsid w:val="00567B9B"/>
    <w:rsid w:val="0059492F"/>
    <w:rsid w:val="0059694E"/>
    <w:rsid w:val="005C3094"/>
    <w:rsid w:val="0060482C"/>
    <w:rsid w:val="00682131"/>
    <w:rsid w:val="006A606B"/>
    <w:rsid w:val="006C4C57"/>
    <w:rsid w:val="006D3FBD"/>
    <w:rsid w:val="0070144E"/>
    <w:rsid w:val="00716DB5"/>
    <w:rsid w:val="00717407"/>
    <w:rsid w:val="00726FDF"/>
    <w:rsid w:val="00744196"/>
    <w:rsid w:val="007A622E"/>
    <w:rsid w:val="007C326E"/>
    <w:rsid w:val="007D0B39"/>
    <w:rsid w:val="007F3C2A"/>
    <w:rsid w:val="00841DB9"/>
    <w:rsid w:val="00872B7B"/>
    <w:rsid w:val="00875C79"/>
    <w:rsid w:val="00890670"/>
    <w:rsid w:val="008A4FB6"/>
    <w:rsid w:val="008B0442"/>
    <w:rsid w:val="008B4B20"/>
    <w:rsid w:val="008B6CCA"/>
    <w:rsid w:val="008C47B8"/>
    <w:rsid w:val="008D0161"/>
    <w:rsid w:val="008E3453"/>
    <w:rsid w:val="0092116A"/>
    <w:rsid w:val="00932979"/>
    <w:rsid w:val="00956F70"/>
    <w:rsid w:val="00966584"/>
    <w:rsid w:val="009A166D"/>
    <w:rsid w:val="009B62F0"/>
    <w:rsid w:val="009C2B99"/>
    <w:rsid w:val="00A15E4D"/>
    <w:rsid w:val="00A40D01"/>
    <w:rsid w:val="00A73F1F"/>
    <w:rsid w:val="00A83005"/>
    <w:rsid w:val="00AA7EFD"/>
    <w:rsid w:val="00AC18D0"/>
    <w:rsid w:val="00B05FE9"/>
    <w:rsid w:val="00B34C5F"/>
    <w:rsid w:val="00B51BB7"/>
    <w:rsid w:val="00B5656C"/>
    <w:rsid w:val="00B74356"/>
    <w:rsid w:val="00B845DC"/>
    <w:rsid w:val="00B96AE3"/>
    <w:rsid w:val="00BC4C6C"/>
    <w:rsid w:val="00BE7541"/>
    <w:rsid w:val="00BF1D19"/>
    <w:rsid w:val="00C2036D"/>
    <w:rsid w:val="00C31B88"/>
    <w:rsid w:val="00C34F0D"/>
    <w:rsid w:val="00C5175B"/>
    <w:rsid w:val="00C84D2A"/>
    <w:rsid w:val="00CA5D09"/>
    <w:rsid w:val="00CD3962"/>
    <w:rsid w:val="00CE08E3"/>
    <w:rsid w:val="00CE2BF3"/>
    <w:rsid w:val="00CF19C8"/>
    <w:rsid w:val="00CF35D1"/>
    <w:rsid w:val="00D00C6B"/>
    <w:rsid w:val="00D15CAE"/>
    <w:rsid w:val="00D30EC7"/>
    <w:rsid w:val="00D5514E"/>
    <w:rsid w:val="00D948CF"/>
    <w:rsid w:val="00D9755D"/>
    <w:rsid w:val="00DB728C"/>
    <w:rsid w:val="00DC3D27"/>
    <w:rsid w:val="00DE6C89"/>
    <w:rsid w:val="00E172F1"/>
    <w:rsid w:val="00E26024"/>
    <w:rsid w:val="00E3271D"/>
    <w:rsid w:val="00E426E5"/>
    <w:rsid w:val="00E67017"/>
    <w:rsid w:val="00E875F0"/>
    <w:rsid w:val="00EB24BD"/>
    <w:rsid w:val="00EB39E4"/>
    <w:rsid w:val="00EE2CC8"/>
    <w:rsid w:val="00F10435"/>
    <w:rsid w:val="00F248D6"/>
    <w:rsid w:val="00F32658"/>
    <w:rsid w:val="00F4237F"/>
    <w:rsid w:val="00F46868"/>
    <w:rsid w:val="00F623DB"/>
    <w:rsid w:val="00FC6CFB"/>
    <w:rsid w:val="00FD06BB"/>
    <w:rsid w:val="00FF314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9E98F55"/>
  <w15:docId w15:val="{64E861B9-010E-493A-8AEB-AF035631E27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US" w:eastAsia="zh-CN" w:bidi="ar-SA"/>
      </w:rPr>
    </w:rPrDefault>
    <w:pPrDefault>
      <w:pPr>
        <w:spacing w:after="200"/>
      </w:pPr>
    </w:pPrDefault>
  </w:docDefaults>
  <w:latentStyles w:defLockedState="0" w:defUIPriority="0" w:defSemiHidden="0" w:defUnhideWhenUsed="0" w:defQFormat="0" w:count="376">
    <w:lsdException w:name="toc 2" w:uiPriority="39"/>
    <w:lsdException w:name="toc 3" w:uiPriority="39"/>
    <w:lsdException w:name="footer" w:uiPriority="99"/>
    <w:lsdException w:name="Hyperlink" w:uiPriority="99"/>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No Spacing" w:uiPriority="1" w:qFormat="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FF3141"/>
    <w:pPr>
      <w:jc w:val="both"/>
    </w:pPr>
    <w:rPr>
      <w:lang w:val="en-GB"/>
    </w:rPr>
  </w:style>
  <w:style w:type="paragraph" w:styleId="Heading1">
    <w:name w:val="heading 1"/>
    <w:basedOn w:val="Normal"/>
    <w:next w:val="BodyText"/>
    <w:link w:val="Heading1Char"/>
    <w:uiPriority w:val="9"/>
    <w:qFormat/>
    <w:rsid w:val="00A10F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BodyText"/>
    <w:link w:val="Heading2Char"/>
    <w:uiPriority w:val="9"/>
    <w:unhideWhenUsed/>
    <w:qFormat/>
    <w:rsid w:val="00E426E5"/>
    <w:pPr>
      <w:keepNext/>
      <w:keepLines/>
      <w:numPr>
        <w:numId w:val="2"/>
      </w:numPr>
      <w:spacing w:before="160" w:after="80"/>
      <w:outlineLvl w:val="1"/>
    </w:pPr>
    <w:rPr>
      <w:rFonts w:asciiTheme="majorHAnsi" w:eastAsiaTheme="majorEastAsia" w:hAnsiTheme="majorHAnsi" w:cstheme="majorBidi"/>
      <w:b/>
      <w:bCs/>
      <w:sz w:val="32"/>
      <w:szCs w:val="32"/>
    </w:rPr>
  </w:style>
  <w:style w:type="paragraph" w:styleId="Heading3">
    <w:name w:val="heading 3"/>
    <w:basedOn w:val="Normal"/>
    <w:next w:val="BodyText"/>
    <w:link w:val="Heading3Char"/>
    <w:uiPriority w:val="9"/>
    <w:unhideWhenUsed/>
    <w:qFormat/>
    <w:rsid w:val="00E426E5"/>
    <w:pPr>
      <w:keepNext/>
      <w:keepLines/>
      <w:numPr>
        <w:ilvl w:val="1"/>
        <w:numId w:val="2"/>
      </w:numPr>
      <w:spacing w:before="160" w:after="80"/>
      <w:outlineLvl w:val="2"/>
    </w:pPr>
    <w:rPr>
      <w:rFonts w:eastAsiaTheme="majorEastAsia" w:cstheme="majorBidi"/>
      <w:b/>
      <w:bCs/>
      <w:sz w:val="28"/>
      <w:szCs w:val="28"/>
    </w:rPr>
  </w:style>
  <w:style w:type="paragraph" w:styleId="Heading4">
    <w:name w:val="heading 4"/>
    <w:basedOn w:val="Normal"/>
    <w:next w:val="BodyText"/>
    <w:link w:val="Heading4Char"/>
    <w:uiPriority w:val="9"/>
    <w:unhideWhenUsed/>
    <w:qFormat/>
    <w:rsid w:val="00263D85"/>
    <w:pPr>
      <w:keepNext/>
      <w:keepLines/>
      <w:spacing w:before="80" w:after="40"/>
      <w:outlineLvl w:val="3"/>
    </w:pPr>
    <w:rPr>
      <w:rFonts w:eastAsiaTheme="majorEastAsia" w:cstheme="majorBidi"/>
      <w:b/>
      <w:bCs/>
      <w:i/>
      <w:iCs/>
    </w:rPr>
  </w:style>
  <w:style w:type="paragraph" w:styleId="Heading5">
    <w:name w:val="heading 5"/>
    <w:basedOn w:val="Normal"/>
    <w:next w:val="BodyText"/>
    <w:link w:val="Heading5Ch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A10FD9"/>
    <w:pPr>
      <w:spacing w:after="80"/>
      <w:contextualSpacing/>
      <w:jc w:val="center"/>
    </w:pPr>
    <w:rPr>
      <w:rFonts w:asciiTheme="majorHAnsi" w:eastAsiaTheme="majorEastAsia" w:hAnsiTheme="majorHAnsi" w:cstheme="majorBidi"/>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z w:val="56"/>
      <w:szCs w:val="56"/>
    </w:rPr>
  </w:style>
  <w:style w:type="paragraph" w:styleId="Subtitle">
    <w:name w:val="Subtitle"/>
    <w:basedOn w:val="Title"/>
    <w:next w:val="BodyText"/>
    <w:link w:val="SubtitleChar"/>
    <w:uiPriority w:val="11"/>
    <w:qFormat/>
    <w:rsid w:val="00A10FD9"/>
    <w:pPr>
      <w:numPr>
        <w:ilvl w:val="1"/>
      </w:numPr>
    </w:pPr>
    <w:rPr>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basedOn w:val="Title"/>
    <w:next w:val="BodyText"/>
    <w:qFormat/>
    <w:pPr>
      <w:keepNext/>
      <w:keepLines/>
    </w:pPr>
    <w:rPr>
      <w:sz w:val="24"/>
      <w:szCs w:val="24"/>
    </w:rPr>
  </w:style>
  <w:style w:type="paragraph" w:styleId="Date">
    <w:name w:val="Date"/>
    <w:basedOn w:val="Title"/>
    <w:next w:val="BodyText"/>
    <w:qFormat/>
    <w:pPr>
      <w:keepNext/>
      <w:keepLines/>
    </w:pPr>
    <w:rPr>
      <w:sz w:val="24"/>
      <w:szCs w:val="24"/>
    </w:r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E426E5"/>
    <w:rPr>
      <w:rFonts w:asciiTheme="majorHAnsi" w:eastAsiaTheme="majorEastAsia" w:hAnsiTheme="majorHAnsi" w:cstheme="majorBidi"/>
      <w:b/>
      <w:bCs/>
      <w:sz w:val="32"/>
      <w:szCs w:val="32"/>
      <w:lang w:val="en-GB"/>
    </w:rPr>
  </w:style>
  <w:style w:type="character" w:customStyle="1" w:styleId="Heading3Char">
    <w:name w:val="Heading 3 Char"/>
    <w:basedOn w:val="DefaultParagraphFont"/>
    <w:link w:val="Heading3"/>
    <w:uiPriority w:val="9"/>
    <w:rsid w:val="00E426E5"/>
    <w:rPr>
      <w:rFonts w:eastAsiaTheme="majorEastAsia" w:cstheme="majorBidi"/>
      <w:b/>
      <w:bCs/>
      <w:sz w:val="28"/>
      <w:szCs w:val="28"/>
      <w:lang w:val="en-GB"/>
    </w:rPr>
  </w:style>
  <w:style w:type="character" w:customStyle="1" w:styleId="Heading4Char">
    <w:name w:val="Heading 4 Char"/>
    <w:basedOn w:val="DefaultParagraphFont"/>
    <w:link w:val="Heading4"/>
    <w:uiPriority w:val="9"/>
    <w:rsid w:val="00263D85"/>
    <w:rPr>
      <w:rFonts w:eastAsiaTheme="majorEastAsia" w:cstheme="majorBidi"/>
      <w:b/>
      <w:bCs/>
      <w:i/>
      <w:iCs/>
      <w:lang w:val="en-GB"/>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paragraph" w:customStyle="1" w:styleId="FootnoteBlockText">
    <w:name w:val="Footnote Block Text"/>
    <w:basedOn w:val="FootnoteText"/>
    <w:next w:val="FootnoteText"/>
    <w:uiPriority w:val="9"/>
    <w:unhideWhenUsed/>
    <w:qFormat/>
    <w:pPr>
      <w:spacing w:before="100" w:after="100"/>
      <w:ind w:left="480" w:right="480"/>
    </w:pPr>
  </w:style>
  <w:style w:type="table" w:customStyle="1" w:styleId="Table">
    <w:name w:val="Table"/>
    <w:unhideWhenUsed/>
    <w:qFormat/>
    <w:tblPr>
      <w:tblInd w:w="0" w:type="dxa"/>
      <w:tblCellMar>
        <w:top w:w="0" w:type="dxa"/>
        <w:left w:w="108" w:type="dxa"/>
        <w:bottom w:w="0" w:type="dxa"/>
        <w:right w:w="108" w:type="dxa"/>
      </w:tblCellMar>
    </w:tblPr>
    <w:tblStylePr w:type="firstRow">
      <w:tbl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uiPriority w:val="99"/>
    <w:rPr>
      <w:color w:val="156082" w:themeColor="accent1"/>
    </w:rPr>
  </w:style>
  <w:style w:type="paragraph" w:styleId="TOCHeading">
    <w:name w:val="TOC Heading"/>
    <w:basedOn w:val="Heading1"/>
    <w:next w:val="BodyText"/>
    <w:uiPriority w:val="39"/>
    <w:unhideWhenUsed/>
    <w:qFormat/>
    <w:pPr>
      <w:spacing w:before="240" w:line="259" w:lineRule="auto"/>
      <w:outlineLvl w:val="9"/>
    </w:pPr>
  </w:style>
  <w:style w:type="paragraph" w:customStyle="1" w:styleId="SourceCode">
    <w:name w:val="Source Code"/>
    <w:basedOn w:val="Normal"/>
    <w:link w:val="VerbatimChar"/>
    <w:pPr>
      <w:shd w:val="clear" w:color="auto" w:fill="F8F8F8"/>
      <w:wordWrap w:val="0"/>
    </w:pPr>
  </w:style>
  <w:style w:type="character" w:customStyle="1" w:styleId="KeywordTok">
    <w:name w:val="KeywordTok"/>
    <w:basedOn w:val="VerbatimChar"/>
    <w:rPr>
      <w:rFonts w:ascii="Consolas" w:hAnsi="Consolas"/>
      <w:b/>
      <w:color w:val="204A87"/>
      <w:sz w:val="22"/>
      <w:shd w:val="clear" w:color="auto" w:fill="F8F8F8"/>
    </w:rPr>
  </w:style>
  <w:style w:type="character" w:customStyle="1" w:styleId="DataTypeTok">
    <w:name w:val="DataTypeTok"/>
    <w:basedOn w:val="VerbatimChar"/>
    <w:rPr>
      <w:rFonts w:ascii="Consolas" w:hAnsi="Consolas"/>
      <w:color w:val="204A87"/>
      <w:sz w:val="22"/>
      <w:shd w:val="clear" w:color="auto" w:fill="F8F8F8"/>
    </w:rPr>
  </w:style>
  <w:style w:type="character" w:customStyle="1" w:styleId="DecValTok">
    <w:name w:val="DecValTok"/>
    <w:basedOn w:val="VerbatimChar"/>
    <w:rPr>
      <w:rFonts w:ascii="Consolas" w:hAnsi="Consolas"/>
      <w:color w:val="0000CF"/>
      <w:sz w:val="22"/>
      <w:shd w:val="clear" w:color="auto" w:fill="F8F8F8"/>
    </w:rPr>
  </w:style>
  <w:style w:type="character" w:customStyle="1" w:styleId="BaseNTok">
    <w:name w:val="BaseNTok"/>
    <w:basedOn w:val="VerbatimChar"/>
    <w:rPr>
      <w:rFonts w:ascii="Consolas" w:hAnsi="Consolas"/>
      <w:color w:val="0000CF"/>
      <w:sz w:val="22"/>
      <w:shd w:val="clear" w:color="auto" w:fill="F8F8F8"/>
    </w:rPr>
  </w:style>
  <w:style w:type="character" w:customStyle="1" w:styleId="FloatTok">
    <w:name w:val="FloatTok"/>
    <w:basedOn w:val="VerbatimChar"/>
    <w:rPr>
      <w:rFonts w:ascii="Consolas" w:hAnsi="Consolas"/>
      <w:color w:val="0000CF"/>
      <w:sz w:val="22"/>
      <w:shd w:val="clear" w:color="auto" w:fill="F8F8F8"/>
    </w:rPr>
  </w:style>
  <w:style w:type="character" w:customStyle="1" w:styleId="ConstantTok">
    <w:name w:val="ConstantTok"/>
    <w:basedOn w:val="VerbatimChar"/>
    <w:rPr>
      <w:rFonts w:ascii="Consolas" w:hAnsi="Consolas"/>
      <w:color w:val="8F5902"/>
      <w:sz w:val="22"/>
      <w:shd w:val="clear" w:color="auto" w:fill="F8F8F8"/>
    </w:rPr>
  </w:style>
  <w:style w:type="character" w:customStyle="1" w:styleId="CharTok">
    <w:name w:val="CharTok"/>
    <w:basedOn w:val="VerbatimChar"/>
    <w:rPr>
      <w:rFonts w:ascii="Consolas" w:hAnsi="Consolas"/>
      <w:color w:val="4E9A06"/>
      <w:sz w:val="22"/>
      <w:shd w:val="clear" w:color="auto" w:fill="F8F8F8"/>
    </w:rPr>
  </w:style>
  <w:style w:type="character" w:customStyle="1" w:styleId="SpecialCharTok">
    <w:name w:val="SpecialCharTok"/>
    <w:basedOn w:val="VerbatimChar"/>
    <w:rPr>
      <w:rFonts w:ascii="Consolas" w:hAnsi="Consolas"/>
      <w:b/>
      <w:color w:val="CE5C00"/>
      <w:sz w:val="22"/>
      <w:shd w:val="clear" w:color="auto" w:fill="F8F8F8"/>
    </w:rPr>
  </w:style>
  <w:style w:type="character" w:customStyle="1" w:styleId="StringTok">
    <w:name w:val="StringTok"/>
    <w:basedOn w:val="VerbatimChar"/>
    <w:rPr>
      <w:rFonts w:ascii="Consolas" w:hAnsi="Consolas"/>
      <w:color w:val="4E9A06"/>
      <w:sz w:val="22"/>
      <w:shd w:val="clear" w:color="auto" w:fill="F8F8F8"/>
    </w:rPr>
  </w:style>
  <w:style w:type="character" w:customStyle="1" w:styleId="VerbatimStringTok">
    <w:name w:val="VerbatimStringTok"/>
    <w:basedOn w:val="VerbatimChar"/>
    <w:rPr>
      <w:rFonts w:ascii="Consolas" w:hAnsi="Consolas"/>
      <w:color w:val="4E9A06"/>
      <w:sz w:val="22"/>
      <w:shd w:val="clear" w:color="auto" w:fill="F8F8F8"/>
    </w:rPr>
  </w:style>
  <w:style w:type="character" w:customStyle="1" w:styleId="SpecialStringTok">
    <w:name w:val="SpecialStringTok"/>
    <w:basedOn w:val="VerbatimChar"/>
    <w:rPr>
      <w:rFonts w:ascii="Consolas" w:hAnsi="Consolas"/>
      <w:color w:val="4E9A06"/>
      <w:sz w:val="22"/>
      <w:shd w:val="clear" w:color="auto" w:fill="F8F8F8"/>
    </w:rPr>
  </w:style>
  <w:style w:type="character" w:customStyle="1" w:styleId="ImportTok">
    <w:name w:val="ImportTok"/>
    <w:basedOn w:val="VerbatimChar"/>
    <w:rPr>
      <w:rFonts w:ascii="Consolas" w:hAnsi="Consolas"/>
      <w:sz w:val="22"/>
      <w:shd w:val="clear" w:color="auto" w:fill="F8F8F8"/>
    </w:rPr>
  </w:style>
  <w:style w:type="character" w:customStyle="1" w:styleId="CommentTok">
    <w:name w:val="CommentTok"/>
    <w:basedOn w:val="VerbatimChar"/>
    <w:rPr>
      <w:rFonts w:ascii="Consolas" w:hAnsi="Consolas"/>
      <w:i/>
      <w:color w:val="8F5902"/>
      <w:sz w:val="22"/>
      <w:shd w:val="clear" w:color="auto" w:fill="F8F8F8"/>
    </w:rPr>
  </w:style>
  <w:style w:type="character" w:customStyle="1" w:styleId="DocumentationTok">
    <w:name w:val="DocumentationTok"/>
    <w:basedOn w:val="VerbatimChar"/>
    <w:rPr>
      <w:rFonts w:ascii="Consolas" w:hAnsi="Consolas"/>
      <w:b/>
      <w:i/>
      <w:color w:val="8F5902"/>
      <w:sz w:val="22"/>
      <w:shd w:val="clear" w:color="auto" w:fill="F8F8F8"/>
    </w:rPr>
  </w:style>
  <w:style w:type="character" w:customStyle="1" w:styleId="AnnotationTok">
    <w:name w:val="AnnotationTok"/>
    <w:basedOn w:val="VerbatimChar"/>
    <w:rPr>
      <w:rFonts w:ascii="Consolas" w:hAnsi="Consolas"/>
      <w:b/>
      <w:i/>
      <w:color w:val="8F5902"/>
      <w:sz w:val="22"/>
      <w:shd w:val="clear" w:color="auto" w:fill="F8F8F8"/>
    </w:rPr>
  </w:style>
  <w:style w:type="character" w:customStyle="1" w:styleId="CommentVarTok">
    <w:name w:val="CommentVarTok"/>
    <w:basedOn w:val="VerbatimChar"/>
    <w:rPr>
      <w:rFonts w:ascii="Consolas" w:hAnsi="Consolas"/>
      <w:b/>
      <w:i/>
      <w:color w:val="8F5902"/>
      <w:sz w:val="22"/>
      <w:shd w:val="clear" w:color="auto" w:fill="F8F8F8"/>
    </w:rPr>
  </w:style>
  <w:style w:type="character" w:customStyle="1" w:styleId="OtherTok">
    <w:name w:val="OtherTok"/>
    <w:basedOn w:val="VerbatimChar"/>
    <w:rPr>
      <w:rFonts w:ascii="Consolas" w:hAnsi="Consolas"/>
      <w:color w:val="8F5902"/>
      <w:sz w:val="22"/>
      <w:shd w:val="clear" w:color="auto" w:fill="F8F8F8"/>
    </w:rPr>
  </w:style>
  <w:style w:type="character" w:customStyle="1" w:styleId="FunctionTok">
    <w:name w:val="FunctionTok"/>
    <w:basedOn w:val="VerbatimChar"/>
    <w:rPr>
      <w:rFonts w:ascii="Consolas" w:hAnsi="Consolas"/>
      <w:b/>
      <w:color w:val="204A87"/>
      <w:sz w:val="22"/>
      <w:shd w:val="clear" w:color="auto" w:fill="F8F8F8"/>
    </w:rPr>
  </w:style>
  <w:style w:type="character" w:customStyle="1" w:styleId="VariableTok">
    <w:name w:val="VariableTok"/>
    <w:basedOn w:val="VerbatimChar"/>
    <w:rPr>
      <w:rFonts w:ascii="Consolas" w:hAnsi="Consolas"/>
      <w:color w:val="000000"/>
      <w:sz w:val="22"/>
      <w:shd w:val="clear" w:color="auto" w:fill="F8F8F8"/>
    </w:rPr>
  </w:style>
  <w:style w:type="character" w:customStyle="1" w:styleId="ControlFlowTok">
    <w:name w:val="ControlFlowTok"/>
    <w:basedOn w:val="VerbatimChar"/>
    <w:rPr>
      <w:rFonts w:ascii="Consolas" w:hAnsi="Consolas"/>
      <w:b/>
      <w:color w:val="204A87"/>
      <w:sz w:val="22"/>
      <w:shd w:val="clear" w:color="auto" w:fill="F8F8F8"/>
    </w:rPr>
  </w:style>
  <w:style w:type="character" w:customStyle="1" w:styleId="OperatorTok">
    <w:name w:val="OperatorTok"/>
    <w:basedOn w:val="VerbatimChar"/>
    <w:rPr>
      <w:rFonts w:ascii="Consolas" w:hAnsi="Consolas"/>
      <w:b/>
      <w:color w:val="CE5C00"/>
      <w:sz w:val="22"/>
      <w:shd w:val="clear" w:color="auto" w:fill="F8F8F8"/>
    </w:rPr>
  </w:style>
  <w:style w:type="character" w:customStyle="1" w:styleId="BuiltInTok">
    <w:name w:val="BuiltInTok"/>
    <w:basedOn w:val="VerbatimChar"/>
    <w:rPr>
      <w:rFonts w:ascii="Consolas" w:hAnsi="Consolas"/>
      <w:sz w:val="22"/>
      <w:shd w:val="clear" w:color="auto" w:fill="F8F8F8"/>
    </w:rPr>
  </w:style>
  <w:style w:type="character" w:customStyle="1" w:styleId="ExtensionTok">
    <w:name w:val="ExtensionTok"/>
    <w:basedOn w:val="VerbatimChar"/>
    <w:rPr>
      <w:rFonts w:ascii="Consolas" w:hAnsi="Consolas"/>
      <w:sz w:val="22"/>
      <w:shd w:val="clear" w:color="auto" w:fill="F8F8F8"/>
    </w:rPr>
  </w:style>
  <w:style w:type="character" w:customStyle="1" w:styleId="PreprocessorTok">
    <w:name w:val="PreprocessorTok"/>
    <w:basedOn w:val="VerbatimChar"/>
    <w:rPr>
      <w:rFonts w:ascii="Consolas" w:hAnsi="Consolas"/>
      <w:i/>
      <w:color w:val="8F5902"/>
      <w:sz w:val="22"/>
      <w:shd w:val="clear" w:color="auto" w:fill="F8F8F8"/>
    </w:rPr>
  </w:style>
  <w:style w:type="character" w:customStyle="1" w:styleId="AttributeTok">
    <w:name w:val="AttributeTok"/>
    <w:basedOn w:val="VerbatimChar"/>
    <w:rPr>
      <w:rFonts w:ascii="Consolas" w:hAnsi="Consolas"/>
      <w:color w:val="204A87"/>
      <w:sz w:val="22"/>
      <w:shd w:val="clear" w:color="auto" w:fill="F8F8F8"/>
    </w:rPr>
  </w:style>
  <w:style w:type="character" w:customStyle="1" w:styleId="RegionMarkerTok">
    <w:name w:val="RegionMarkerTok"/>
    <w:basedOn w:val="VerbatimChar"/>
    <w:rPr>
      <w:rFonts w:ascii="Consolas" w:hAnsi="Consolas"/>
      <w:sz w:val="22"/>
      <w:shd w:val="clear" w:color="auto" w:fill="F8F8F8"/>
    </w:rPr>
  </w:style>
  <w:style w:type="character" w:customStyle="1" w:styleId="InformationTok">
    <w:name w:val="InformationTok"/>
    <w:basedOn w:val="VerbatimChar"/>
    <w:rPr>
      <w:rFonts w:ascii="Consolas" w:hAnsi="Consolas"/>
      <w:b/>
      <w:i/>
      <w:color w:val="8F5902"/>
      <w:sz w:val="22"/>
      <w:shd w:val="clear" w:color="auto" w:fill="F8F8F8"/>
    </w:rPr>
  </w:style>
  <w:style w:type="character" w:customStyle="1" w:styleId="WarningTok">
    <w:name w:val="WarningTok"/>
    <w:basedOn w:val="VerbatimChar"/>
    <w:rPr>
      <w:rFonts w:ascii="Consolas" w:hAnsi="Consolas"/>
      <w:b/>
      <w:i/>
      <w:color w:val="8F5902"/>
      <w:sz w:val="22"/>
      <w:shd w:val="clear" w:color="auto" w:fill="F8F8F8"/>
    </w:rPr>
  </w:style>
  <w:style w:type="character" w:customStyle="1" w:styleId="AlertTok">
    <w:name w:val="AlertTok"/>
    <w:basedOn w:val="VerbatimChar"/>
    <w:rPr>
      <w:rFonts w:ascii="Consolas" w:hAnsi="Consolas"/>
      <w:color w:val="EF2929"/>
      <w:sz w:val="22"/>
      <w:shd w:val="clear" w:color="auto" w:fill="F8F8F8"/>
    </w:rPr>
  </w:style>
  <w:style w:type="character" w:customStyle="1" w:styleId="ErrorTok">
    <w:name w:val="ErrorTok"/>
    <w:basedOn w:val="VerbatimChar"/>
    <w:rPr>
      <w:rFonts w:ascii="Consolas" w:hAnsi="Consolas"/>
      <w:b/>
      <w:color w:val="A40000"/>
      <w:sz w:val="22"/>
      <w:shd w:val="clear" w:color="auto" w:fill="F8F8F8"/>
    </w:rPr>
  </w:style>
  <w:style w:type="character" w:customStyle="1" w:styleId="NormalTok">
    <w:name w:val="NormalTok"/>
    <w:basedOn w:val="VerbatimChar"/>
    <w:rPr>
      <w:rFonts w:ascii="Consolas" w:hAnsi="Consolas"/>
      <w:sz w:val="22"/>
      <w:shd w:val="clear" w:color="auto" w:fill="F8F8F8"/>
    </w:rPr>
  </w:style>
  <w:style w:type="character" w:customStyle="1" w:styleId="BodyTextChar">
    <w:name w:val="Body Text Char"/>
    <w:basedOn w:val="DefaultParagraphFont"/>
    <w:link w:val="BodyText"/>
    <w:rsid w:val="00966584"/>
  </w:style>
  <w:style w:type="paragraph" w:styleId="NoSpacing">
    <w:name w:val="No Spacing"/>
    <w:link w:val="NoSpacingChar"/>
    <w:uiPriority w:val="1"/>
    <w:qFormat/>
    <w:rsid w:val="00DB728C"/>
    <w:pPr>
      <w:spacing w:after="0"/>
    </w:pPr>
    <w:rPr>
      <w:sz w:val="22"/>
      <w:szCs w:val="22"/>
      <w:lang w:eastAsia="en-US"/>
    </w:rPr>
  </w:style>
  <w:style w:type="character" w:customStyle="1" w:styleId="NoSpacingChar">
    <w:name w:val="No Spacing Char"/>
    <w:basedOn w:val="DefaultParagraphFont"/>
    <w:link w:val="NoSpacing"/>
    <w:uiPriority w:val="1"/>
    <w:rsid w:val="00DB728C"/>
    <w:rPr>
      <w:sz w:val="22"/>
      <w:szCs w:val="22"/>
      <w:lang w:eastAsia="en-US"/>
    </w:rPr>
  </w:style>
  <w:style w:type="paragraph" w:styleId="TOC2">
    <w:name w:val="toc 2"/>
    <w:basedOn w:val="Normal"/>
    <w:next w:val="Normal"/>
    <w:autoRedefine/>
    <w:uiPriority w:val="39"/>
    <w:rsid w:val="0026249A"/>
    <w:pPr>
      <w:spacing w:after="100"/>
      <w:ind w:left="240"/>
    </w:pPr>
  </w:style>
  <w:style w:type="paragraph" w:styleId="TOC3">
    <w:name w:val="toc 3"/>
    <w:basedOn w:val="Normal"/>
    <w:next w:val="Normal"/>
    <w:autoRedefine/>
    <w:uiPriority w:val="39"/>
    <w:rsid w:val="0026249A"/>
    <w:pPr>
      <w:spacing w:after="100"/>
      <w:ind w:left="480"/>
    </w:pPr>
  </w:style>
  <w:style w:type="paragraph" w:styleId="Header">
    <w:name w:val="header"/>
    <w:basedOn w:val="Normal"/>
    <w:link w:val="HeaderChar"/>
    <w:rsid w:val="00B34C5F"/>
    <w:pPr>
      <w:tabs>
        <w:tab w:val="center" w:pos="4513"/>
        <w:tab w:val="right" w:pos="9026"/>
      </w:tabs>
      <w:spacing w:after="0"/>
    </w:pPr>
  </w:style>
  <w:style w:type="character" w:customStyle="1" w:styleId="HeaderChar">
    <w:name w:val="Header Char"/>
    <w:basedOn w:val="DefaultParagraphFont"/>
    <w:link w:val="Header"/>
    <w:rsid w:val="00B34C5F"/>
    <w:rPr>
      <w:lang w:val="en-GB"/>
    </w:rPr>
  </w:style>
  <w:style w:type="paragraph" w:styleId="Footer">
    <w:name w:val="footer"/>
    <w:basedOn w:val="Normal"/>
    <w:link w:val="FooterChar"/>
    <w:uiPriority w:val="99"/>
    <w:rsid w:val="00B34C5F"/>
    <w:pPr>
      <w:tabs>
        <w:tab w:val="center" w:pos="4513"/>
        <w:tab w:val="right" w:pos="9026"/>
      </w:tabs>
      <w:spacing w:after="0"/>
    </w:pPr>
  </w:style>
  <w:style w:type="character" w:customStyle="1" w:styleId="FooterChar">
    <w:name w:val="Footer Char"/>
    <w:basedOn w:val="DefaultParagraphFont"/>
    <w:link w:val="Footer"/>
    <w:uiPriority w:val="99"/>
    <w:rsid w:val="00B34C5F"/>
    <w:rPr>
      <w:lang w:val="en-GB"/>
    </w:rPr>
  </w:style>
  <w:style w:type="character" w:styleId="CommentReference">
    <w:name w:val="annotation reference"/>
    <w:basedOn w:val="DefaultParagraphFont"/>
    <w:rsid w:val="003A6631"/>
    <w:rPr>
      <w:sz w:val="16"/>
      <w:szCs w:val="16"/>
    </w:rPr>
  </w:style>
  <w:style w:type="paragraph" w:styleId="CommentText">
    <w:name w:val="annotation text"/>
    <w:basedOn w:val="Normal"/>
    <w:link w:val="CommentTextChar"/>
    <w:rsid w:val="003A6631"/>
    <w:rPr>
      <w:sz w:val="20"/>
      <w:szCs w:val="20"/>
    </w:rPr>
  </w:style>
  <w:style w:type="character" w:customStyle="1" w:styleId="CommentTextChar">
    <w:name w:val="Comment Text Char"/>
    <w:basedOn w:val="DefaultParagraphFont"/>
    <w:link w:val="CommentText"/>
    <w:rsid w:val="003A6631"/>
    <w:rPr>
      <w:sz w:val="20"/>
      <w:szCs w:val="20"/>
      <w:lang w:val="en-GB"/>
    </w:rPr>
  </w:style>
  <w:style w:type="paragraph" w:styleId="CommentSubject">
    <w:name w:val="annotation subject"/>
    <w:basedOn w:val="CommentText"/>
    <w:next w:val="CommentText"/>
    <w:link w:val="CommentSubjectChar"/>
    <w:rsid w:val="003A6631"/>
    <w:rPr>
      <w:b/>
      <w:bCs/>
    </w:rPr>
  </w:style>
  <w:style w:type="character" w:customStyle="1" w:styleId="CommentSubjectChar">
    <w:name w:val="Comment Subject Char"/>
    <w:basedOn w:val="CommentTextChar"/>
    <w:link w:val="CommentSubject"/>
    <w:rsid w:val="003A6631"/>
    <w:rPr>
      <w:b/>
      <w:bCs/>
      <w:sz w:val="20"/>
      <w:szCs w:val="20"/>
      <w:lang w:val="en-GB"/>
    </w:rPr>
  </w:style>
  <w:style w:type="character" w:styleId="PlaceholderText">
    <w:name w:val="Placeholder Text"/>
    <w:basedOn w:val="DefaultParagraphFont"/>
    <w:rsid w:val="0025386F"/>
    <w:rPr>
      <w:color w:val="666666"/>
    </w:rPr>
  </w:style>
  <w:style w:type="table" w:styleId="GridTable1Light">
    <w:name w:val="Grid Table 1 Light"/>
    <w:basedOn w:val="TableNormal"/>
    <w:rsid w:val="00387184"/>
    <w:pPr>
      <w:spacing w:after="0"/>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paragraph" w:styleId="TOC1">
    <w:name w:val="toc 1"/>
    <w:basedOn w:val="Normal"/>
    <w:next w:val="Normal"/>
    <w:autoRedefine/>
    <w:rsid w:val="00E426E5"/>
    <w:pPr>
      <w:spacing w:after="100"/>
    </w:pPr>
  </w:style>
  <w:style w:type="character" w:styleId="UnresolvedMention">
    <w:name w:val="Unresolved Mention"/>
    <w:basedOn w:val="DefaultParagraphFont"/>
    <w:uiPriority w:val="99"/>
    <w:semiHidden/>
    <w:unhideWhenUsed/>
    <w:rsid w:val="00875C79"/>
    <w:rPr>
      <w:color w:val="605E5C"/>
      <w:shd w:val="clear" w:color="auto" w:fill="E1DFDD"/>
    </w:rPr>
  </w:style>
  <w:style w:type="character" w:styleId="FollowedHyperlink">
    <w:name w:val="FollowedHyperlink"/>
    <w:basedOn w:val="DefaultParagraphFont"/>
    <w:rsid w:val="00875C79"/>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9866430">
      <w:bodyDiv w:val="1"/>
      <w:marLeft w:val="0"/>
      <w:marRight w:val="0"/>
      <w:marTop w:val="0"/>
      <w:marBottom w:val="0"/>
      <w:divBdr>
        <w:top w:val="none" w:sz="0" w:space="0" w:color="auto"/>
        <w:left w:val="none" w:sz="0" w:space="0" w:color="auto"/>
        <w:bottom w:val="none" w:sz="0" w:space="0" w:color="auto"/>
        <w:right w:val="none" w:sz="0" w:space="0" w:color="auto"/>
      </w:divBdr>
    </w:div>
    <w:div w:id="71122827">
      <w:bodyDiv w:val="1"/>
      <w:marLeft w:val="0"/>
      <w:marRight w:val="0"/>
      <w:marTop w:val="0"/>
      <w:marBottom w:val="0"/>
      <w:divBdr>
        <w:top w:val="none" w:sz="0" w:space="0" w:color="auto"/>
        <w:left w:val="none" w:sz="0" w:space="0" w:color="auto"/>
        <w:bottom w:val="none" w:sz="0" w:space="0" w:color="auto"/>
        <w:right w:val="none" w:sz="0" w:space="0" w:color="auto"/>
      </w:divBdr>
    </w:div>
    <w:div w:id="76177448">
      <w:bodyDiv w:val="1"/>
      <w:marLeft w:val="0"/>
      <w:marRight w:val="0"/>
      <w:marTop w:val="0"/>
      <w:marBottom w:val="0"/>
      <w:divBdr>
        <w:top w:val="none" w:sz="0" w:space="0" w:color="auto"/>
        <w:left w:val="none" w:sz="0" w:space="0" w:color="auto"/>
        <w:bottom w:val="none" w:sz="0" w:space="0" w:color="auto"/>
        <w:right w:val="none" w:sz="0" w:space="0" w:color="auto"/>
      </w:divBdr>
    </w:div>
    <w:div w:id="77480860">
      <w:bodyDiv w:val="1"/>
      <w:marLeft w:val="0"/>
      <w:marRight w:val="0"/>
      <w:marTop w:val="0"/>
      <w:marBottom w:val="0"/>
      <w:divBdr>
        <w:top w:val="none" w:sz="0" w:space="0" w:color="auto"/>
        <w:left w:val="none" w:sz="0" w:space="0" w:color="auto"/>
        <w:bottom w:val="none" w:sz="0" w:space="0" w:color="auto"/>
        <w:right w:val="none" w:sz="0" w:space="0" w:color="auto"/>
      </w:divBdr>
    </w:div>
    <w:div w:id="79758340">
      <w:bodyDiv w:val="1"/>
      <w:marLeft w:val="0"/>
      <w:marRight w:val="0"/>
      <w:marTop w:val="0"/>
      <w:marBottom w:val="0"/>
      <w:divBdr>
        <w:top w:val="none" w:sz="0" w:space="0" w:color="auto"/>
        <w:left w:val="none" w:sz="0" w:space="0" w:color="auto"/>
        <w:bottom w:val="none" w:sz="0" w:space="0" w:color="auto"/>
        <w:right w:val="none" w:sz="0" w:space="0" w:color="auto"/>
      </w:divBdr>
    </w:div>
    <w:div w:id="105851842">
      <w:bodyDiv w:val="1"/>
      <w:marLeft w:val="0"/>
      <w:marRight w:val="0"/>
      <w:marTop w:val="0"/>
      <w:marBottom w:val="0"/>
      <w:divBdr>
        <w:top w:val="none" w:sz="0" w:space="0" w:color="auto"/>
        <w:left w:val="none" w:sz="0" w:space="0" w:color="auto"/>
        <w:bottom w:val="none" w:sz="0" w:space="0" w:color="auto"/>
        <w:right w:val="none" w:sz="0" w:space="0" w:color="auto"/>
      </w:divBdr>
    </w:div>
    <w:div w:id="112484724">
      <w:bodyDiv w:val="1"/>
      <w:marLeft w:val="0"/>
      <w:marRight w:val="0"/>
      <w:marTop w:val="0"/>
      <w:marBottom w:val="0"/>
      <w:divBdr>
        <w:top w:val="none" w:sz="0" w:space="0" w:color="auto"/>
        <w:left w:val="none" w:sz="0" w:space="0" w:color="auto"/>
        <w:bottom w:val="none" w:sz="0" w:space="0" w:color="auto"/>
        <w:right w:val="none" w:sz="0" w:space="0" w:color="auto"/>
      </w:divBdr>
    </w:div>
    <w:div w:id="114521824">
      <w:bodyDiv w:val="1"/>
      <w:marLeft w:val="0"/>
      <w:marRight w:val="0"/>
      <w:marTop w:val="0"/>
      <w:marBottom w:val="0"/>
      <w:divBdr>
        <w:top w:val="none" w:sz="0" w:space="0" w:color="auto"/>
        <w:left w:val="none" w:sz="0" w:space="0" w:color="auto"/>
        <w:bottom w:val="none" w:sz="0" w:space="0" w:color="auto"/>
        <w:right w:val="none" w:sz="0" w:space="0" w:color="auto"/>
      </w:divBdr>
    </w:div>
    <w:div w:id="123231078">
      <w:bodyDiv w:val="1"/>
      <w:marLeft w:val="0"/>
      <w:marRight w:val="0"/>
      <w:marTop w:val="0"/>
      <w:marBottom w:val="0"/>
      <w:divBdr>
        <w:top w:val="none" w:sz="0" w:space="0" w:color="auto"/>
        <w:left w:val="none" w:sz="0" w:space="0" w:color="auto"/>
        <w:bottom w:val="none" w:sz="0" w:space="0" w:color="auto"/>
        <w:right w:val="none" w:sz="0" w:space="0" w:color="auto"/>
      </w:divBdr>
    </w:div>
    <w:div w:id="133985584">
      <w:bodyDiv w:val="1"/>
      <w:marLeft w:val="0"/>
      <w:marRight w:val="0"/>
      <w:marTop w:val="0"/>
      <w:marBottom w:val="0"/>
      <w:divBdr>
        <w:top w:val="none" w:sz="0" w:space="0" w:color="auto"/>
        <w:left w:val="none" w:sz="0" w:space="0" w:color="auto"/>
        <w:bottom w:val="none" w:sz="0" w:space="0" w:color="auto"/>
        <w:right w:val="none" w:sz="0" w:space="0" w:color="auto"/>
      </w:divBdr>
    </w:div>
    <w:div w:id="140122893">
      <w:bodyDiv w:val="1"/>
      <w:marLeft w:val="0"/>
      <w:marRight w:val="0"/>
      <w:marTop w:val="0"/>
      <w:marBottom w:val="0"/>
      <w:divBdr>
        <w:top w:val="none" w:sz="0" w:space="0" w:color="auto"/>
        <w:left w:val="none" w:sz="0" w:space="0" w:color="auto"/>
        <w:bottom w:val="none" w:sz="0" w:space="0" w:color="auto"/>
        <w:right w:val="none" w:sz="0" w:space="0" w:color="auto"/>
      </w:divBdr>
    </w:div>
    <w:div w:id="147673000">
      <w:bodyDiv w:val="1"/>
      <w:marLeft w:val="0"/>
      <w:marRight w:val="0"/>
      <w:marTop w:val="0"/>
      <w:marBottom w:val="0"/>
      <w:divBdr>
        <w:top w:val="none" w:sz="0" w:space="0" w:color="auto"/>
        <w:left w:val="none" w:sz="0" w:space="0" w:color="auto"/>
        <w:bottom w:val="none" w:sz="0" w:space="0" w:color="auto"/>
        <w:right w:val="none" w:sz="0" w:space="0" w:color="auto"/>
      </w:divBdr>
    </w:div>
    <w:div w:id="149561920">
      <w:bodyDiv w:val="1"/>
      <w:marLeft w:val="0"/>
      <w:marRight w:val="0"/>
      <w:marTop w:val="0"/>
      <w:marBottom w:val="0"/>
      <w:divBdr>
        <w:top w:val="none" w:sz="0" w:space="0" w:color="auto"/>
        <w:left w:val="none" w:sz="0" w:space="0" w:color="auto"/>
        <w:bottom w:val="none" w:sz="0" w:space="0" w:color="auto"/>
        <w:right w:val="none" w:sz="0" w:space="0" w:color="auto"/>
      </w:divBdr>
    </w:div>
    <w:div w:id="157044139">
      <w:bodyDiv w:val="1"/>
      <w:marLeft w:val="0"/>
      <w:marRight w:val="0"/>
      <w:marTop w:val="0"/>
      <w:marBottom w:val="0"/>
      <w:divBdr>
        <w:top w:val="none" w:sz="0" w:space="0" w:color="auto"/>
        <w:left w:val="none" w:sz="0" w:space="0" w:color="auto"/>
        <w:bottom w:val="none" w:sz="0" w:space="0" w:color="auto"/>
        <w:right w:val="none" w:sz="0" w:space="0" w:color="auto"/>
      </w:divBdr>
    </w:div>
    <w:div w:id="168717343">
      <w:bodyDiv w:val="1"/>
      <w:marLeft w:val="0"/>
      <w:marRight w:val="0"/>
      <w:marTop w:val="0"/>
      <w:marBottom w:val="0"/>
      <w:divBdr>
        <w:top w:val="none" w:sz="0" w:space="0" w:color="auto"/>
        <w:left w:val="none" w:sz="0" w:space="0" w:color="auto"/>
        <w:bottom w:val="none" w:sz="0" w:space="0" w:color="auto"/>
        <w:right w:val="none" w:sz="0" w:space="0" w:color="auto"/>
      </w:divBdr>
    </w:div>
    <w:div w:id="182210439">
      <w:bodyDiv w:val="1"/>
      <w:marLeft w:val="0"/>
      <w:marRight w:val="0"/>
      <w:marTop w:val="0"/>
      <w:marBottom w:val="0"/>
      <w:divBdr>
        <w:top w:val="none" w:sz="0" w:space="0" w:color="auto"/>
        <w:left w:val="none" w:sz="0" w:space="0" w:color="auto"/>
        <w:bottom w:val="none" w:sz="0" w:space="0" w:color="auto"/>
        <w:right w:val="none" w:sz="0" w:space="0" w:color="auto"/>
      </w:divBdr>
    </w:div>
    <w:div w:id="223835520">
      <w:bodyDiv w:val="1"/>
      <w:marLeft w:val="0"/>
      <w:marRight w:val="0"/>
      <w:marTop w:val="0"/>
      <w:marBottom w:val="0"/>
      <w:divBdr>
        <w:top w:val="none" w:sz="0" w:space="0" w:color="auto"/>
        <w:left w:val="none" w:sz="0" w:space="0" w:color="auto"/>
        <w:bottom w:val="none" w:sz="0" w:space="0" w:color="auto"/>
        <w:right w:val="none" w:sz="0" w:space="0" w:color="auto"/>
      </w:divBdr>
    </w:div>
    <w:div w:id="232081045">
      <w:bodyDiv w:val="1"/>
      <w:marLeft w:val="0"/>
      <w:marRight w:val="0"/>
      <w:marTop w:val="0"/>
      <w:marBottom w:val="0"/>
      <w:divBdr>
        <w:top w:val="none" w:sz="0" w:space="0" w:color="auto"/>
        <w:left w:val="none" w:sz="0" w:space="0" w:color="auto"/>
        <w:bottom w:val="none" w:sz="0" w:space="0" w:color="auto"/>
        <w:right w:val="none" w:sz="0" w:space="0" w:color="auto"/>
      </w:divBdr>
    </w:div>
    <w:div w:id="248194616">
      <w:bodyDiv w:val="1"/>
      <w:marLeft w:val="0"/>
      <w:marRight w:val="0"/>
      <w:marTop w:val="0"/>
      <w:marBottom w:val="0"/>
      <w:divBdr>
        <w:top w:val="none" w:sz="0" w:space="0" w:color="auto"/>
        <w:left w:val="none" w:sz="0" w:space="0" w:color="auto"/>
        <w:bottom w:val="none" w:sz="0" w:space="0" w:color="auto"/>
        <w:right w:val="none" w:sz="0" w:space="0" w:color="auto"/>
      </w:divBdr>
    </w:div>
    <w:div w:id="253785539">
      <w:bodyDiv w:val="1"/>
      <w:marLeft w:val="0"/>
      <w:marRight w:val="0"/>
      <w:marTop w:val="0"/>
      <w:marBottom w:val="0"/>
      <w:divBdr>
        <w:top w:val="none" w:sz="0" w:space="0" w:color="auto"/>
        <w:left w:val="none" w:sz="0" w:space="0" w:color="auto"/>
        <w:bottom w:val="none" w:sz="0" w:space="0" w:color="auto"/>
        <w:right w:val="none" w:sz="0" w:space="0" w:color="auto"/>
      </w:divBdr>
    </w:div>
    <w:div w:id="259678818">
      <w:bodyDiv w:val="1"/>
      <w:marLeft w:val="0"/>
      <w:marRight w:val="0"/>
      <w:marTop w:val="0"/>
      <w:marBottom w:val="0"/>
      <w:divBdr>
        <w:top w:val="none" w:sz="0" w:space="0" w:color="auto"/>
        <w:left w:val="none" w:sz="0" w:space="0" w:color="auto"/>
        <w:bottom w:val="none" w:sz="0" w:space="0" w:color="auto"/>
        <w:right w:val="none" w:sz="0" w:space="0" w:color="auto"/>
      </w:divBdr>
    </w:div>
    <w:div w:id="260383017">
      <w:bodyDiv w:val="1"/>
      <w:marLeft w:val="0"/>
      <w:marRight w:val="0"/>
      <w:marTop w:val="0"/>
      <w:marBottom w:val="0"/>
      <w:divBdr>
        <w:top w:val="none" w:sz="0" w:space="0" w:color="auto"/>
        <w:left w:val="none" w:sz="0" w:space="0" w:color="auto"/>
        <w:bottom w:val="none" w:sz="0" w:space="0" w:color="auto"/>
        <w:right w:val="none" w:sz="0" w:space="0" w:color="auto"/>
      </w:divBdr>
    </w:div>
    <w:div w:id="294876507">
      <w:bodyDiv w:val="1"/>
      <w:marLeft w:val="0"/>
      <w:marRight w:val="0"/>
      <w:marTop w:val="0"/>
      <w:marBottom w:val="0"/>
      <w:divBdr>
        <w:top w:val="none" w:sz="0" w:space="0" w:color="auto"/>
        <w:left w:val="none" w:sz="0" w:space="0" w:color="auto"/>
        <w:bottom w:val="none" w:sz="0" w:space="0" w:color="auto"/>
        <w:right w:val="none" w:sz="0" w:space="0" w:color="auto"/>
      </w:divBdr>
    </w:div>
    <w:div w:id="297033740">
      <w:bodyDiv w:val="1"/>
      <w:marLeft w:val="0"/>
      <w:marRight w:val="0"/>
      <w:marTop w:val="0"/>
      <w:marBottom w:val="0"/>
      <w:divBdr>
        <w:top w:val="none" w:sz="0" w:space="0" w:color="auto"/>
        <w:left w:val="none" w:sz="0" w:space="0" w:color="auto"/>
        <w:bottom w:val="none" w:sz="0" w:space="0" w:color="auto"/>
        <w:right w:val="none" w:sz="0" w:space="0" w:color="auto"/>
      </w:divBdr>
    </w:div>
    <w:div w:id="313027286">
      <w:bodyDiv w:val="1"/>
      <w:marLeft w:val="0"/>
      <w:marRight w:val="0"/>
      <w:marTop w:val="0"/>
      <w:marBottom w:val="0"/>
      <w:divBdr>
        <w:top w:val="none" w:sz="0" w:space="0" w:color="auto"/>
        <w:left w:val="none" w:sz="0" w:space="0" w:color="auto"/>
        <w:bottom w:val="none" w:sz="0" w:space="0" w:color="auto"/>
        <w:right w:val="none" w:sz="0" w:space="0" w:color="auto"/>
      </w:divBdr>
    </w:div>
    <w:div w:id="314843907">
      <w:bodyDiv w:val="1"/>
      <w:marLeft w:val="0"/>
      <w:marRight w:val="0"/>
      <w:marTop w:val="0"/>
      <w:marBottom w:val="0"/>
      <w:divBdr>
        <w:top w:val="none" w:sz="0" w:space="0" w:color="auto"/>
        <w:left w:val="none" w:sz="0" w:space="0" w:color="auto"/>
        <w:bottom w:val="none" w:sz="0" w:space="0" w:color="auto"/>
        <w:right w:val="none" w:sz="0" w:space="0" w:color="auto"/>
      </w:divBdr>
    </w:div>
    <w:div w:id="361824331">
      <w:bodyDiv w:val="1"/>
      <w:marLeft w:val="0"/>
      <w:marRight w:val="0"/>
      <w:marTop w:val="0"/>
      <w:marBottom w:val="0"/>
      <w:divBdr>
        <w:top w:val="none" w:sz="0" w:space="0" w:color="auto"/>
        <w:left w:val="none" w:sz="0" w:space="0" w:color="auto"/>
        <w:bottom w:val="none" w:sz="0" w:space="0" w:color="auto"/>
        <w:right w:val="none" w:sz="0" w:space="0" w:color="auto"/>
      </w:divBdr>
    </w:div>
    <w:div w:id="378939487">
      <w:bodyDiv w:val="1"/>
      <w:marLeft w:val="0"/>
      <w:marRight w:val="0"/>
      <w:marTop w:val="0"/>
      <w:marBottom w:val="0"/>
      <w:divBdr>
        <w:top w:val="none" w:sz="0" w:space="0" w:color="auto"/>
        <w:left w:val="none" w:sz="0" w:space="0" w:color="auto"/>
        <w:bottom w:val="none" w:sz="0" w:space="0" w:color="auto"/>
        <w:right w:val="none" w:sz="0" w:space="0" w:color="auto"/>
      </w:divBdr>
    </w:div>
    <w:div w:id="383338384">
      <w:bodyDiv w:val="1"/>
      <w:marLeft w:val="0"/>
      <w:marRight w:val="0"/>
      <w:marTop w:val="0"/>
      <w:marBottom w:val="0"/>
      <w:divBdr>
        <w:top w:val="none" w:sz="0" w:space="0" w:color="auto"/>
        <w:left w:val="none" w:sz="0" w:space="0" w:color="auto"/>
        <w:bottom w:val="none" w:sz="0" w:space="0" w:color="auto"/>
        <w:right w:val="none" w:sz="0" w:space="0" w:color="auto"/>
      </w:divBdr>
    </w:div>
    <w:div w:id="393507491">
      <w:bodyDiv w:val="1"/>
      <w:marLeft w:val="0"/>
      <w:marRight w:val="0"/>
      <w:marTop w:val="0"/>
      <w:marBottom w:val="0"/>
      <w:divBdr>
        <w:top w:val="none" w:sz="0" w:space="0" w:color="auto"/>
        <w:left w:val="none" w:sz="0" w:space="0" w:color="auto"/>
        <w:bottom w:val="none" w:sz="0" w:space="0" w:color="auto"/>
        <w:right w:val="none" w:sz="0" w:space="0" w:color="auto"/>
      </w:divBdr>
    </w:div>
    <w:div w:id="400642672">
      <w:bodyDiv w:val="1"/>
      <w:marLeft w:val="0"/>
      <w:marRight w:val="0"/>
      <w:marTop w:val="0"/>
      <w:marBottom w:val="0"/>
      <w:divBdr>
        <w:top w:val="none" w:sz="0" w:space="0" w:color="auto"/>
        <w:left w:val="none" w:sz="0" w:space="0" w:color="auto"/>
        <w:bottom w:val="none" w:sz="0" w:space="0" w:color="auto"/>
        <w:right w:val="none" w:sz="0" w:space="0" w:color="auto"/>
      </w:divBdr>
    </w:div>
    <w:div w:id="417792965">
      <w:bodyDiv w:val="1"/>
      <w:marLeft w:val="0"/>
      <w:marRight w:val="0"/>
      <w:marTop w:val="0"/>
      <w:marBottom w:val="0"/>
      <w:divBdr>
        <w:top w:val="none" w:sz="0" w:space="0" w:color="auto"/>
        <w:left w:val="none" w:sz="0" w:space="0" w:color="auto"/>
        <w:bottom w:val="none" w:sz="0" w:space="0" w:color="auto"/>
        <w:right w:val="none" w:sz="0" w:space="0" w:color="auto"/>
      </w:divBdr>
    </w:div>
    <w:div w:id="419912099">
      <w:bodyDiv w:val="1"/>
      <w:marLeft w:val="0"/>
      <w:marRight w:val="0"/>
      <w:marTop w:val="0"/>
      <w:marBottom w:val="0"/>
      <w:divBdr>
        <w:top w:val="none" w:sz="0" w:space="0" w:color="auto"/>
        <w:left w:val="none" w:sz="0" w:space="0" w:color="auto"/>
        <w:bottom w:val="none" w:sz="0" w:space="0" w:color="auto"/>
        <w:right w:val="none" w:sz="0" w:space="0" w:color="auto"/>
      </w:divBdr>
    </w:div>
    <w:div w:id="453452483">
      <w:bodyDiv w:val="1"/>
      <w:marLeft w:val="0"/>
      <w:marRight w:val="0"/>
      <w:marTop w:val="0"/>
      <w:marBottom w:val="0"/>
      <w:divBdr>
        <w:top w:val="none" w:sz="0" w:space="0" w:color="auto"/>
        <w:left w:val="none" w:sz="0" w:space="0" w:color="auto"/>
        <w:bottom w:val="none" w:sz="0" w:space="0" w:color="auto"/>
        <w:right w:val="none" w:sz="0" w:space="0" w:color="auto"/>
      </w:divBdr>
    </w:div>
    <w:div w:id="456920277">
      <w:bodyDiv w:val="1"/>
      <w:marLeft w:val="0"/>
      <w:marRight w:val="0"/>
      <w:marTop w:val="0"/>
      <w:marBottom w:val="0"/>
      <w:divBdr>
        <w:top w:val="none" w:sz="0" w:space="0" w:color="auto"/>
        <w:left w:val="none" w:sz="0" w:space="0" w:color="auto"/>
        <w:bottom w:val="none" w:sz="0" w:space="0" w:color="auto"/>
        <w:right w:val="none" w:sz="0" w:space="0" w:color="auto"/>
      </w:divBdr>
    </w:div>
    <w:div w:id="459343624">
      <w:bodyDiv w:val="1"/>
      <w:marLeft w:val="0"/>
      <w:marRight w:val="0"/>
      <w:marTop w:val="0"/>
      <w:marBottom w:val="0"/>
      <w:divBdr>
        <w:top w:val="none" w:sz="0" w:space="0" w:color="auto"/>
        <w:left w:val="none" w:sz="0" w:space="0" w:color="auto"/>
        <w:bottom w:val="none" w:sz="0" w:space="0" w:color="auto"/>
        <w:right w:val="none" w:sz="0" w:space="0" w:color="auto"/>
      </w:divBdr>
    </w:div>
    <w:div w:id="462624954">
      <w:bodyDiv w:val="1"/>
      <w:marLeft w:val="0"/>
      <w:marRight w:val="0"/>
      <w:marTop w:val="0"/>
      <w:marBottom w:val="0"/>
      <w:divBdr>
        <w:top w:val="none" w:sz="0" w:space="0" w:color="auto"/>
        <w:left w:val="none" w:sz="0" w:space="0" w:color="auto"/>
        <w:bottom w:val="none" w:sz="0" w:space="0" w:color="auto"/>
        <w:right w:val="none" w:sz="0" w:space="0" w:color="auto"/>
      </w:divBdr>
    </w:div>
    <w:div w:id="474877593">
      <w:bodyDiv w:val="1"/>
      <w:marLeft w:val="0"/>
      <w:marRight w:val="0"/>
      <w:marTop w:val="0"/>
      <w:marBottom w:val="0"/>
      <w:divBdr>
        <w:top w:val="none" w:sz="0" w:space="0" w:color="auto"/>
        <w:left w:val="none" w:sz="0" w:space="0" w:color="auto"/>
        <w:bottom w:val="none" w:sz="0" w:space="0" w:color="auto"/>
        <w:right w:val="none" w:sz="0" w:space="0" w:color="auto"/>
      </w:divBdr>
    </w:div>
    <w:div w:id="480972630">
      <w:bodyDiv w:val="1"/>
      <w:marLeft w:val="0"/>
      <w:marRight w:val="0"/>
      <w:marTop w:val="0"/>
      <w:marBottom w:val="0"/>
      <w:divBdr>
        <w:top w:val="none" w:sz="0" w:space="0" w:color="auto"/>
        <w:left w:val="none" w:sz="0" w:space="0" w:color="auto"/>
        <w:bottom w:val="none" w:sz="0" w:space="0" w:color="auto"/>
        <w:right w:val="none" w:sz="0" w:space="0" w:color="auto"/>
      </w:divBdr>
    </w:div>
    <w:div w:id="490484272">
      <w:bodyDiv w:val="1"/>
      <w:marLeft w:val="0"/>
      <w:marRight w:val="0"/>
      <w:marTop w:val="0"/>
      <w:marBottom w:val="0"/>
      <w:divBdr>
        <w:top w:val="none" w:sz="0" w:space="0" w:color="auto"/>
        <w:left w:val="none" w:sz="0" w:space="0" w:color="auto"/>
        <w:bottom w:val="none" w:sz="0" w:space="0" w:color="auto"/>
        <w:right w:val="none" w:sz="0" w:space="0" w:color="auto"/>
      </w:divBdr>
    </w:div>
    <w:div w:id="504712270">
      <w:bodyDiv w:val="1"/>
      <w:marLeft w:val="0"/>
      <w:marRight w:val="0"/>
      <w:marTop w:val="0"/>
      <w:marBottom w:val="0"/>
      <w:divBdr>
        <w:top w:val="none" w:sz="0" w:space="0" w:color="auto"/>
        <w:left w:val="none" w:sz="0" w:space="0" w:color="auto"/>
        <w:bottom w:val="none" w:sz="0" w:space="0" w:color="auto"/>
        <w:right w:val="none" w:sz="0" w:space="0" w:color="auto"/>
      </w:divBdr>
    </w:div>
    <w:div w:id="511459781">
      <w:bodyDiv w:val="1"/>
      <w:marLeft w:val="0"/>
      <w:marRight w:val="0"/>
      <w:marTop w:val="0"/>
      <w:marBottom w:val="0"/>
      <w:divBdr>
        <w:top w:val="none" w:sz="0" w:space="0" w:color="auto"/>
        <w:left w:val="none" w:sz="0" w:space="0" w:color="auto"/>
        <w:bottom w:val="none" w:sz="0" w:space="0" w:color="auto"/>
        <w:right w:val="none" w:sz="0" w:space="0" w:color="auto"/>
      </w:divBdr>
    </w:div>
    <w:div w:id="537937794">
      <w:bodyDiv w:val="1"/>
      <w:marLeft w:val="0"/>
      <w:marRight w:val="0"/>
      <w:marTop w:val="0"/>
      <w:marBottom w:val="0"/>
      <w:divBdr>
        <w:top w:val="none" w:sz="0" w:space="0" w:color="auto"/>
        <w:left w:val="none" w:sz="0" w:space="0" w:color="auto"/>
        <w:bottom w:val="none" w:sz="0" w:space="0" w:color="auto"/>
        <w:right w:val="none" w:sz="0" w:space="0" w:color="auto"/>
      </w:divBdr>
    </w:div>
    <w:div w:id="540438390">
      <w:bodyDiv w:val="1"/>
      <w:marLeft w:val="0"/>
      <w:marRight w:val="0"/>
      <w:marTop w:val="0"/>
      <w:marBottom w:val="0"/>
      <w:divBdr>
        <w:top w:val="none" w:sz="0" w:space="0" w:color="auto"/>
        <w:left w:val="none" w:sz="0" w:space="0" w:color="auto"/>
        <w:bottom w:val="none" w:sz="0" w:space="0" w:color="auto"/>
        <w:right w:val="none" w:sz="0" w:space="0" w:color="auto"/>
      </w:divBdr>
    </w:div>
    <w:div w:id="583998709">
      <w:bodyDiv w:val="1"/>
      <w:marLeft w:val="0"/>
      <w:marRight w:val="0"/>
      <w:marTop w:val="0"/>
      <w:marBottom w:val="0"/>
      <w:divBdr>
        <w:top w:val="none" w:sz="0" w:space="0" w:color="auto"/>
        <w:left w:val="none" w:sz="0" w:space="0" w:color="auto"/>
        <w:bottom w:val="none" w:sz="0" w:space="0" w:color="auto"/>
        <w:right w:val="none" w:sz="0" w:space="0" w:color="auto"/>
      </w:divBdr>
    </w:div>
    <w:div w:id="587932617">
      <w:bodyDiv w:val="1"/>
      <w:marLeft w:val="0"/>
      <w:marRight w:val="0"/>
      <w:marTop w:val="0"/>
      <w:marBottom w:val="0"/>
      <w:divBdr>
        <w:top w:val="none" w:sz="0" w:space="0" w:color="auto"/>
        <w:left w:val="none" w:sz="0" w:space="0" w:color="auto"/>
        <w:bottom w:val="none" w:sz="0" w:space="0" w:color="auto"/>
        <w:right w:val="none" w:sz="0" w:space="0" w:color="auto"/>
      </w:divBdr>
    </w:div>
    <w:div w:id="610361825">
      <w:bodyDiv w:val="1"/>
      <w:marLeft w:val="0"/>
      <w:marRight w:val="0"/>
      <w:marTop w:val="0"/>
      <w:marBottom w:val="0"/>
      <w:divBdr>
        <w:top w:val="none" w:sz="0" w:space="0" w:color="auto"/>
        <w:left w:val="none" w:sz="0" w:space="0" w:color="auto"/>
        <w:bottom w:val="none" w:sz="0" w:space="0" w:color="auto"/>
        <w:right w:val="none" w:sz="0" w:space="0" w:color="auto"/>
      </w:divBdr>
    </w:div>
    <w:div w:id="612715909">
      <w:bodyDiv w:val="1"/>
      <w:marLeft w:val="0"/>
      <w:marRight w:val="0"/>
      <w:marTop w:val="0"/>
      <w:marBottom w:val="0"/>
      <w:divBdr>
        <w:top w:val="none" w:sz="0" w:space="0" w:color="auto"/>
        <w:left w:val="none" w:sz="0" w:space="0" w:color="auto"/>
        <w:bottom w:val="none" w:sz="0" w:space="0" w:color="auto"/>
        <w:right w:val="none" w:sz="0" w:space="0" w:color="auto"/>
      </w:divBdr>
    </w:div>
    <w:div w:id="626860691">
      <w:bodyDiv w:val="1"/>
      <w:marLeft w:val="0"/>
      <w:marRight w:val="0"/>
      <w:marTop w:val="0"/>
      <w:marBottom w:val="0"/>
      <w:divBdr>
        <w:top w:val="none" w:sz="0" w:space="0" w:color="auto"/>
        <w:left w:val="none" w:sz="0" w:space="0" w:color="auto"/>
        <w:bottom w:val="none" w:sz="0" w:space="0" w:color="auto"/>
        <w:right w:val="none" w:sz="0" w:space="0" w:color="auto"/>
      </w:divBdr>
    </w:div>
    <w:div w:id="641543731">
      <w:bodyDiv w:val="1"/>
      <w:marLeft w:val="0"/>
      <w:marRight w:val="0"/>
      <w:marTop w:val="0"/>
      <w:marBottom w:val="0"/>
      <w:divBdr>
        <w:top w:val="none" w:sz="0" w:space="0" w:color="auto"/>
        <w:left w:val="none" w:sz="0" w:space="0" w:color="auto"/>
        <w:bottom w:val="none" w:sz="0" w:space="0" w:color="auto"/>
        <w:right w:val="none" w:sz="0" w:space="0" w:color="auto"/>
      </w:divBdr>
    </w:div>
    <w:div w:id="668480810">
      <w:bodyDiv w:val="1"/>
      <w:marLeft w:val="0"/>
      <w:marRight w:val="0"/>
      <w:marTop w:val="0"/>
      <w:marBottom w:val="0"/>
      <w:divBdr>
        <w:top w:val="none" w:sz="0" w:space="0" w:color="auto"/>
        <w:left w:val="none" w:sz="0" w:space="0" w:color="auto"/>
        <w:bottom w:val="none" w:sz="0" w:space="0" w:color="auto"/>
        <w:right w:val="none" w:sz="0" w:space="0" w:color="auto"/>
      </w:divBdr>
    </w:div>
    <w:div w:id="695274315">
      <w:bodyDiv w:val="1"/>
      <w:marLeft w:val="0"/>
      <w:marRight w:val="0"/>
      <w:marTop w:val="0"/>
      <w:marBottom w:val="0"/>
      <w:divBdr>
        <w:top w:val="none" w:sz="0" w:space="0" w:color="auto"/>
        <w:left w:val="none" w:sz="0" w:space="0" w:color="auto"/>
        <w:bottom w:val="none" w:sz="0" w:space="0" w:color="auto"/>
        <w:right w:val="none" w:sz="0" w:space="0" w:color="auto"/>
      </w:divBdr>
    </w:div>
    <w:div w:id="698552024">
      <w:bodyDiv w:val="1"/>
      <w:marLeft w:val="0"/>
      <w:marRight w:val="0"/>
      <w:marTop w:val="0"/>
      <w:marBottom w:val="0"/>
      <w:divBdr>
        <w:top w:val="none" w:sz="0" w:space="0" w:color="auto"/>
        <w:left w:val="none" w:sz="0" w:space="0" w:color="auto"/>
        <w:bottom w:val="none" w:sz="0" w:space="0" w:color="auto"/>
        <w:right w:val="none" w:sz="0" w:space="0" w:color="auto"/>
      </w:divBdr>
    </w:div>
    <w:div w:id="701588309">
      <w:bodyDiv w:val="1"/>
      <w:marLeft w:val="0"/>
      <w:marRight w:val="0"/>
      <w:marTop w:val="0"/>
      <w:marBottom w:val="0"/>
      <w:divBdr>
        <w:top w:val="none" w:sz="0" w:space="0" w:color="auto"/>
        <w:left w:val="none" w:sz="0" w:space="0" w:color="auto"/>
        <w:bottom w:val="none" w:sz="0" w:space="0" w:color="auto"/>
        <w:right w:val="none" w:sz="0" w:space="0" w:color="auto"/>
      </w:divBdr>
    </w:div>
    <w:div w:id="755176630">
      <w:bodyDiv w:val="1"/>
      <w:marLeft w:val="0"/>
      <w:marRight w:val="0"/>
      <w:marTop w:val="0"/>
      <w:marBottom w:val="0"/>
      <w:divBdr>
        <w:top w:val="none" w:sz="0" w:space="0" w:color="auto"/>
        <w:left w:val="none" w:sz="0" w:space="0" w:color="auto"/>
        <w:bottom w:val="none" w:sz="0" w:space="0" w:color="auto"/>
        <w:right w:val="none" w:sz="0" w:space="0" w:color="auto"/>
      </w:divBdr>
    </w:div>
    <w:div w:id="757094191">
      <w:bodyDiv w:val="1"/>
      <w:marLeft w:val="0"/>
      <w:marRight w:val="0"/>
      <w:marTop w:val="0"/>
      <w:marBottom w:val="0"/>
      <w:divBdr>
        <w:top w:val="none" w:sz="0" w:space="0" w:color="auto"/>
        <w:left w:val="none" w:sz="0" w:space="0" w:color="auto"/>
        <w:bottom w:val="none" w:sz="0" w:space="0" w:color="auto"/>
        <w:right w:val="none" w:sz="0" w:space="0" w:color="auto"/>
      </w:divBdr>
    </w:div>
    <w:div w:id="761950265">
      <w:bodyDiv w:val="1"/>
      <w:marLeft w:val="0"/>
      <w:marRight w:val="0"/>
      <w:marTop w:val="0"/>
      <w:marBottom w:val="0"/>
      <w:divBdr>
        <w:top w:val="none" w:sz="0" w:space="0" w:color="auto"/>
        <w:left w:val="none" w:sz="0" w:space="0" w:color="auto"/>
        <w:bottom w:val="none" w:sz="0" w:space="0" w:color="auto"/>
        <w:right w:val="none" w:sz="0" w:space="0" w:color="auto"/>
      </w:divBdr>
    </w:div>
    <w:div w:id="771127060">
      <w:bodyDiv w:val="1"/>
      <w:marLeft w:val="0"/>
      <w:marRight w:val="0"/>
      <w:marTop w:val="0"/>
      <w:marBottom w:val="0"/>
      <w:divBdr>
        <w:top w:val="none" w:sz="0" w:space="0" w:color="auto"/>
        <w:left w:val="none" w:sz="0" w:space="0" w:color="auto"/>
        <w:bottom w:val="none" w:sz="0" w:space="0" w:color="auto"/>
        <w:right w:val="none" w:sz="0" w:space="0" w:color="auto"/>
      </w:divBdr>
    </w:div>
    <w:div w:id="785541444">
      <w:bodyDiv w:val="1"/>
      <w:marLeft w:val="0"/>
      <w:marRight w:val="0"/>
      <w:marTop w:val="0"/>
      <w:marBottom w:val="0"/>
      <w:divBdr>
        <w:top w:val="none" w:sz="0" w:space="0" w:color="auto"/>
        <w:left w:val="none" w:sz="0" w:space="0" w:color="auto"/>
        <w:bottom w:val="none" w:sz="0" w:space="0" w:color="auto"/>
        <w:right w:val="none" w:sz="0" w:space="0" w:color="auto"/>
      </w:divBdr>
    </w:div>
    <w:div w:id="824472143">
      <w:bodyDiv w:val="1"/>
      <w:marLeft w:val="0"/>
      <w:marRight w:val="0"/>
      <w:marTop w:val="0"/>
      <w:marBottom w:val="0"/>
      <w:divBdr>
        <w:top w:val="none" w:sz="0" w:space="0" w:color="auto"/>
        <w:left w:val="none" w:sz="0" w:space="0" w:color="auto"/>
        <w:bottom w:val="none" w:sz="0" w:space="0" w:color="auto"/>
        <w:right w:val="none" w:sz="0" w:space="0" w:color="auto"/>
      </w:divBdr>
    </w:div>
    <w:div w:id="843476344">
      <w:bodyDiv w:val="1"/>
      <w:marLeft w:val="0"/>
      <w:marRight w:val="0"/>
      <w:marTop w:val="0"/>
      <w:marBottom w:val="0"/>
      <w:divBdr>
        <w:top w:val="none" w:sz="0" w:space="0" w:color="auto"/>
        <w:left w:val="none" w:sz="0" w:space="0" w:color="auto"/>
        <w:bottom w:val="none" w:sz="0" w:space="0" w:color="auto"/>
        <w:right w:val="none" w:sz="0" w:space="0" w:color="auto"/>
      </w:divBdr>
    </w:div>
    <w:div w:id="883520253">
      <w:bodyDiv w:val="1"/>
      <w:marLeft w:val="0"/>
      <w:marRight w:val="0"/>
      <w:marTop w:val="0"/>
      <w:marBottom w:val="0"/>
      <w:divBdr>
        <w:top w:val="none" w:sz="0" w:space="0" w:color="auto"/>
        <w:left w:val="none" w:sz="0" w:space="0" w:color="auto"/>
        <w:bottom w:val="none" w:sz="0" w:space="0" w:color="auto"/>
        <w:right w:val="none" w:sz="0" w:space="0" w:color="auto"/>
      </w:divBdr>
    </w:div>
    <w:div w:id="894000488">
      <w:bodyDiv w:val="1"/>
      <w:marLeft w:val="0"/>
      <w:marRight w:val="0"/>
      <w:marTop w:val="0"/>
      <w:marBottom w:val="0"/>
      <w:divBdr>
        <w:top w:val="none" w:sz="0" w:space="0" w:color="auto"/>
        <w:left w:val="none" w:sz="0" w:space="0" w:color="auto"/>
        <w:bottom w:val="none" w:sz="0" w:space="0" w:color="auto"/>
        <w:right w:val="none" w:sz="0" w:space="0" w:color="auto"/>
      </w:divBdr>
    </w:div>
    <w:div w:id="901675630">
      <w:bodyDiv w:val="1"/>
      <w:marLeft w:val="0"/>
      <w:marRight w:val="0"/>
      <w:marTop w:val="0"/>
      <w:marBottom w:val="0"/>
      <w:divBdr>
        <w:top w:val="none" w:sz="0" w:space="0" w:color="auto"/>
        <w:left w:val="none" w:sz="0" w:space="0" w:color="auto"/>
        <w:bottom w:val="none" w:sz="0" w:space="0" w:color="auto"/>
        <w:right w:val="none" w:sz="0" w:space="0" w:color="auto"/>
      </w:divBdr>
    </w:div>
    <w:div w:id="909005661">
      <w:bodyDiv w:val="1"/>
      <w:marLeft w:val="0"/>
      <w:marRight w:val="0"/>
      <w:marTop w:val="0"/>
      <w:marBottom w:val="0"/>
      <w:divBdr>
        <w:top w:val="none" w:sz="0" w:space="0" w:color="auto"/>
        <w:left w:val="none" w:sz="0" w:space="0" w:color="auto"/>
        <w:bottom w:val="none" w:sz="0" w:space="0" w:color="auto"/>
        <w:right w:val="none" w:sz="0" w:space="0" w:color="auto"/>
      </w:divBdr>
    </w:div>
    <w:div w:id="910699161">
      <w:bodyDiv w:val="1"/>
      <w:marLeft w:val="0"/>
      <w:marRight w:val="0"/>
      <w:marTop w:val="0"/>
      <w:marBottom w:val="0"/>
      <w:divBdr>
        <w:top w:val="none" w:sz="0" w:space="0" w:color="auto"/>
        <w:left w:val="none" w:sz="0" w:space="0" w:color="auto"/>
        <w:bottom w:val="none" w:sz="0" w:space="0" w:color="auto"/>
        <w:right w:val="none" w:sz="0" w:space="0" w:color="auto"/>
      </w:divBdr>
    </w:div>
    <w:div w:id="924069406">
      <w:bodyDiv w:val="1"/>
      <w:marLeft w:val="0"/>
      <w:marRight w:val="0"/>
      <w:marTop w:val="0"/>
      <w:marBottom w:val="0"/>
      <w:divBdr>
        <w:top w:val="none" w:sz="0" w:space="0" w:color="auto"/>
        <w:left w:val="none" w:sz="0" w:space="0" w:color="auto"/>
        <w:bottom w:val="none" w:sz="0" w:space="0" w:color="auto"/>
        <w:right w:val="none" w:sz="0" w:space="0" w:color="auto"/>
      </w:divBdr>
    </w:div>
    <w:div w:id="946274948">
      <w:bodyDiv w:val="1"/>
      <w:marLeft w:val="0"/>
      <w:marRight w:val="0"/>
      <w:marTop w:val="0"/>
      <w:marBottom w:val="0"/>
      <w:divBdr>
        <w:top w:val="none" w:sz="0" w:space="0" w:color="auto"/>
        <w:left w:val="none" w:sz="0" w:space="0" w:color="auto"/>
        <w:bottom w:val="none" w:sz="0" w:space="0" w:color="auto"/>
        <w:right w:val="none" w:sz="0" w:space="0" w:color="auto"/>
      </w:divBdr>
    </w:div>
    <w:div w:id="962224905">
      <w:bodyDiv w:val="1"/>
      <w:marLeft w:val="0"/>
      <w:marRight w:val="0"/>
      <w:marTop w:val="0"/>
      <w:marBottom w:val="0"/>
      <w:divBdr>
        <w:top w:val="none" w:sz="0" w:space="0" w:color="auto"/>
        <w:left w:val="none" w:sz="0" w:space="0" w:color="auto"/>
        <w:bottom w:val="none" w:sz="0" w:space="0" w:color="auto"/>
        <w:right w:val="none" w:sz="0" w:space="0" w:color="auto"/>
      </w:divBdr>
    </w:div>
    <w:div w:id="1008674381">
      <w:bodyDiv w:val="1"/>
      <w:marLeft w:val="0"/>
      <w:marRight w:val="0"/>
      <w:marTop w:val="0"/>
      <w:marBottom w:val="0"/>
      <w:divBdr>
        <w:top w:val="none" w:sz="0" w:space="0" w:color="auto"/>
        <w:left w:val="none" w:sz="0" w:space="0" w:color="auto"/>
        <w:bottom w:val="none" w:sz="0" w:space="0" w:color="auto"/>
        <w:right w:val="none" w:sz="0" w:space="0" w:color="auto"/>
      </w:divBdr>
    </w:div>
    <w:div w:id="1019356739">
      <w:bodyDiv w:val="1"/>
      <w:marLeft w:val="0"/>
      <w:marRight w:val="0"/>
      <w:marTop w:val="0"/>
      <w:marBottom w:val="0"/>
      <w:divBdr>
        <w:top w:val="none" w:sz="0" w:space="0" w:color="auto"/>
        <w:left w:val="none" w:sz="0" w:space="0" w:color="auto"/>
        <w:bottom w:val="none" w:sz="0" w:space="0" w:color="auto"/>
        <w:right w:val="none" w:sz="0" w:space="0" w:color="auto"/>
      </w:divBdr>
    </w:div>
    <w:div w:id="1062018618">
      <w:bodyDiv w:val="1"/>
      <w:marLeft w:val="0"/>
      <w:marRight w:val="0"/>
      <w:marTop w:val="0"/>
      <w:marBottom w:val="0"/>
      <w:divBdr>
        <w:top w:val="none" w:sz="0" w:space="0" w:color="auto"/>
        <w:left w:val="none" w:sz="0" w:space="0" w:color="auto"/>
        <w:bottom w:val="none" w:sz="0" w:space="0" w:color="auto"/>
        <w:right w:val="none" w:sz="0" w:space="0" w:color="auto"/>
      </w:divBdr>
    </w:div>
    <w:div w:id="1068184896">
      <w:bodyDiv w:val="1"/>
      <w:marLeft w:val="0"/>
      <w:marRight w:val="0"/>
      <w:marTop w:val="0"/>
      <w:marBottom w:val="0"/>
      <w:divBdr>
        <w:top w:val="none" w:sz="0" w:space="0" w:color="auto"/>
        <w:left w:val="none" w:sz="0" w:space="0" w:color="auto"/>
        <w:bottom w:val="none" w:sz="0" w:space="0" w:color="auto"/>
        <w:right w:val="none" w:sz="0" w:space="0" w:color="auto"/>
      </w:divBdr>
    </w:div>
    <w:div w:id="1071587031">
      <w:bodyDiv w:val="1"/>
      <w:marLeft w:val="0"/>
      <w:marRight w:val="0"/>
      <w:marTop w:val="0"/>
      <w:marBottom w:val="0"/>
      <w:divBdr>
        <w:top w:val="none" w:sz="0" w:space="0" w:color="auto"/>
        <w:left w:val="none" w:sz="0" w:space="0" w:color="auto"/>
        <w:bottom w:val="none" w:sz="0" w:space="0" w:color="auto"/>
        <w:right w:val="none" w:sz="0" w:space="0" w:color="auto"/>
      </w:divBdr>
    </w:div>
    <w:div w:id="1075204530">
      <w:bodyDiv w:val="1"/>
      <w:marLeft w:val="0"/>
      <w:marRight w:val="0"/>
      <w:marTop w:val="0"/>
      <w:marBottom w:val="0"/>
      <w:divBdr>
        <w:top w:val="none" w:sz="0" w:space="0" w:color="auto"/>
        <w:left w:val="none" w:sz="0" w:space="0" w:color="auto"/>
        <w:bottom w:val="none" w:sz="0" w:space="0" w:color="auto"/>
        <w:right w:val="none" w:sz="0" w:space="0" w:color="auto"/>
      </w:divBdr>
    </w:div>
    <w:div w:id="1087775280">
      <w:bodyDiv w:val="1"/>
      <w:marLeft w:val="0"/>
      <w:marRight w:val="0"/>
      <w:marTop w:val="0"/>
      <w:marBottom w:val="0"/>
      <w:divBdr>
        <w:top w:val="none" w:sz="0" w:space="0" w:color="auto"/>
        <w:left w:val="none" w:sz="0" w:space="0" w:color="auto"/>
        <w:bottom w:val="none" w:sz="0" w:space="0" w:color="auto"/>
        <w:right w:val="none" w:sz="0" w:space="0" w:color="auto"/>
      </w:divBdr>
    </w:div>
    <w:div w:id="1115252940">
      <w:bodyDiv w:val="1"/>
      <w:marLeft w:val="0"/>
      <w:marRight w:val="0"/>
      <w:marTop w:val="0"/>
      <w:marBottom w:val="0"/>
      <w:divBdr>
        <w:top w:val="none" w:sz="0" w:space="0" w:color="auto"/>
        <w:left w:val="none" w:sz="0" w:space="0" w:color="auto"/>
        <w:bottom w:val="none" w:sz="0" w:space="0" w:color="auto"/>
        <w:right w:val="none" w:sz="0" w:space="0" w:color="auto"/>
      </w:divBdr>
    </w:div>
    <w:div w:id="1148865896">
      <w:bodyDiv w:val="1"/>
      <w:marLeft w:val="0"/>
      <w:marRight w:val="0"/>
      <w:marTop w:val="0"/>
      <w:marBottom w:val="0"/>
      <w:divBdr>
        <w:top w:val="none" w:sz="0" w:space="0" w:color="auto"/>
        <w:left w:val="none" w:sz="0" w:space="0" w:color="auto"/>
        <w:bottom w:val="none" w:sz="0" w:space="0" w:color="auto"/>
        <w:right w:val="none" w:sz="0" w:space="0" w:color="auto"/>
      </w:divBdr>
    </w:div>
    <w:div w:id="1183474918">
      <w:bodyDiv w:val="1"/>
      <w:marLeft w:val="0"/>
      <w:marRight w:val="0"/>
      <w:marTop w:val="0"/>
      <w:marBottom w:val="0"/>
      <w:divBdr>
        <w:top w:val="none" w:sz="0" w:space="0" w:color="auto"/>
        <w:left w:val="none" w:sz="0" w:space="0" w:color="auto"/>
        <w:bottom w:val="none" w:sz="0" w:space="0" w:color="auto"/>
        <w:right w:val="none" w:sz="0" w:space="0" w:color="auto"/>
      </w:divBdr>
    </w:div>
    <w:div w:id="1190334694">
      <w:bodyDiv w:val="1"/>
      <w:marLeft w:val="0"/>
      <w:marRight w:val="0"/>
      <w:marTop w:val="0"/>
      <w:marBottom w:val="0"/>
      <w:divBdr>
        <w:top w:val="none" w:sz="0" w:space="0" w:color="auto"/>
        <w:left w:val="none" w:sz="0" w:space="0" w:color="auto"/>
        <w:bottom w:val="none" w:sz="0" w:space="0" w:color="auto"/>
        <w:right w:val="none" w:sz="0" w:space="0" w:color="auto"/>
      </w:divBdr>
    </w:div>
    <w:div w:id="1209687749">
      <w:bodyDiv w:val="1"/>
      <w:marLeft w:val="0"/>
      <w:marRight w:val="0"/>
      <w:marTop w:val="0"/>
      <w:marBottom w:val="0"/>
      <w:divBdr>
        <w:top w:val="none" w:sz="0" w:space="0" w:color="auto"/>
        <w:left w:val="none" w:sz="0" w:space="0" w:color="auto"/>
        <w:bottom w:val="none" w:sz="0" w:space="0" w:color="auto"/>
        <w:right w:val="none" w:sz="0" w:space="0" w:color="auto"/>
      </w:divBdr>
    </w:div>
    <w:div w:id="1214851288">
      <w:bodyDiv w:val="1"/>
      <w:marLeft w:val="0"/>
      <w:marRight w:val="0"/>
      <w:marTop w:val="0"/>
      <w:marBottom w:val="0"/>
      <w:divBdr>
        <w:top w:val="none" w:sz="0" w:space="0" w:color="auto"/>
        <w:left w:val="none" w:sz="0" w:space="0" w:color="auto"/>
        <w:bottom w:val="none" w:sz="0" w:space="0" w:color="auto"/>
        <w:right w:val="none" w:sz="0" w:space="0" w:color="auto"/>
      </w:divBdr>
    </w:div>
    <w:div w:id="1230188370">
      <w:bodyDiv w:val="1"/>
      <w:marLeft w:val="0"/>
      <w:marRight w:val="0"/>
      <w:marTop w:val="0"/>
      <w:marBottom w:val="0"/>
      <w:divBdr>
        <w:top w:val="none" w:sz="0" w:space="0" w:color="auto"/>
        <w:left w:val="none" w:sz="0" w:space="0" w:color="auto"/>
        <w:bottom w:val="none" w:sz="0" w:space="0" w:color="auto"/>
        <w:right w:val="none" w:sz="0" w:space="0" w:color="auto"/>
      </w:divBdr>
    </w:div>
    <w:div w:id="1235890499">
      <w:bodyDiv w:val="1"/>
      <w:marLeft w:val="0"/>
      <w:marRight w:val="0"/>
      <w:marTop w:val="0"/>
      <w:marBottom w:val="0"/>
      <w:divBdr>
        <w:top w:val="none" w:sz="0" w:space="0" w:color="auto"/>
        <w:left w:val="none" w:sz="0" w:space="0" w:color="auto"/>
        <w:bottom w:val="none" w:sz="0" w:space="0" w:color="auto"/>
        <w:right w:val="none" w:sz="0" w:space="0" w:color="auto"/>
      </w:divBdr>
    </w:div>
    <w:div w:id="1240365800">
      <w:bodyDiv w:val="1"/>
      <w:marLeft w:val="0"/>
      <w:marRight w:val="0"/>
      <w:marTop w:val="0"/>
      <w:marBottom w:val="0"/>
      <w:divBdr>
        <w:top w:val="none" w:sz="0" w:space="0" w:color="auto"/>
        <w:left w:val="none" w:sz="0" w:space="0" w:color="auto"/>
        <w:bottom w:val="none" w:sz="0" w:space="0" w:color="auto"/>
        <w:right w:val="none" w:sz="0" w:space="0" w:color="auto"/>
      </w:divBdr>
    </w:div>
    <w:div w:id="1241871896">
      <w:bodyDiv w:val="1"/>
      <w:marLeft w:val="0"/>
      <w:marRight w:val="0"/>
      <w:marTop w:val="0"/>
      <w:marBottom w:val="0"/>
      <w:divBdr>
        <w:top w:val="none" w:sz="0" w:space="0" w:color="auto"/>
        <w:left w:val="none" w:sz="0" w:space="0" w:color="auto"/>
        <w:bottom w:val="none" w:sz="0" w:space="0" w:color="auto"/>
        <w:right w:val="none" w:sz="0" w:space="0" w:color="auto"/>
      </w:divBdr>
    </w:div>
    <w:div w:id="1244951195">
      <w:bodyDiv w:val="1"/>
      <w:marLeft w:val="0"/>
      <w:marRight w:val="0"/>
      <w:marTop w:val="0"/>
      <w:marBottom w:val="0"/>
      <w:divBdr>
        <w:top w:val="none" w:sz="0" w:space="0" w:color="auto"/>
        <w:left w:val="none" w:sz="0" w:space="0" w:color="auto"/>
        <w:bottom w:val="none" w:sz="0" w:space="0" w:color="auto"/>
        <w:right w:val="none" w:sz="0" w:space="0" w:color="auto"/>
      </w:divBdr>
    </w:div>
    <w:div w:id="1327857262">
      <w:bodyDiv w:val="1"/>
      <w:marLeft w:val="0"/>
      <w:marRight w:val="0"/>
      <w:marTop w:val="0"/>
      <w:marBottom w:val="0"/>
      <w:divBdr>
        <w:top w:val="none" w:sz="0" w:space="0" w:color="auto"/>
        <w:left w:val="none" w:sz="0" w:space="0" w:color="auto"/>
        <w:bottom w:val="none" w:sz="0" w:space="0" w:color="auto"/>
        <w:right w:val="none" w:sz="0" w:space="0" w:color="auto"/>
      </w:divBdr>
    </w:div>
    <w:div w:id="1340499476">
      <w:bodyDiv w:val="1"/>
      <w:marLeft w:val="0"/>
      <w:marRight w:val="0"/>
      <w:marTop w:val="0"/>
      <w:marBottom w:val="0"/>
      <w:divBdr>
        <w:top w:val="none" w:sz="0" w:space="0" w:color="auto"/>
        <w:left w:val="none" w:sz="0" w:space="0" w:color="auto"/>
        <w:bottom w:val="none" w:sz="0" w:space="0" w:color="auto"/>
        <w:right w:val="none" w:sz="0" w:space="0" w:color="auto"/>
      </w:divBdr>
    </w:div>
    <w:div w:id="1341154863">
      <w:bodyDiv w:val="1"/>
      <w:marLeft w:val="0"/>
      <w:marRight w:val="0"/>
      <w:marTop w:val="0"/>
      <w:marBottom w:val="0"/>
      <w:divBdr>
        <w:top w:val="none" w:sz="0" w:space="0" w:color="auto"/>
        <w:left w:val="none" w:sz="0" w:space="0" w:color="auto"/>
        <w:bottom w:val="none" w:sz="0" w:space="0" w:color="auto"/>
        <w:right w:val="none" w:sz="0" w:space="0" w:color="auto"/>
      </w:divBdr>
    </w:div>
    <w:div w:id="1349058690">
      <w:bodyDiv w:val="1"/>
      <w:marLeft w:val="0"/>
      <w:marRight w:val="0"/>
      <w:marTop w:val="0"/>
      <w:marBottom w:val="0"/>
      <w:divBdr>
        <w:top w:val="none" w:sz="0" w:space="0" w:color="auto"/>
        <w:left w:val="none" w:sz="0" w:space="0" w:color="auto"/>
        <w:bottom w:val="none" w:sz="0" w:space="0" w:color="auto"/>
        <w:right w:val="none" w:sz="0" w:space="0" w:color="auto"/>
      </w:divBdr>
    </w:div>
    <w:div w:id="1350180132">
      <w:bodyDiv w:val="1"/>
      <w:marLeft w:val="0"/>
      <w:marRight w:val="0"/>
      <w:marTop w:val="0"/>
      <w:marBottom w:val="0"/>
      <w:divBdr>
        <w:top w:val="none" w:sz="0" w:space="0" w:color="auto"/>
        <w:left w:val="none" w:sz="0" w:space="0" w:color="auto"/>
        <w:bottom w:val="none" w:sz="0" w:space="0" w:color="auto"/>
        <w:right w:val="none" w:sz="0" w:space="0" w:color="auto"/>
      </w:divBdr>
    </w:div>
    <w:div w:id="1359621308">
      <w:bodyDiv w:val="1"/>
      <w:marLeft w:val="0"/>
      <w:marRight w:val="0"/>
      <w:marTop w:val="0"/>
      <w:marBottom w:val="0"/>
      <w:divBdr>
        <w:top w:val="none" w:sz="0" w:space="0" w:color="auto"/>
        <w:left w:val="none" w:sz="0" w:space="0" w:color="auto"/>
        <w:bottom w:val="none" w:sz="0" w:space="0" w:color="auto"/>
        <w:right w:val="none" w:sz="0" w:space="0" w:color="auto"/>
      </w:divBdr>
    </w:div>
    <w:div w:id="1392728253">
      <w:bodyDiv w:val="1"/>
      <w:marLeft w:val="0"/>
      <w:marRight w:val="0"/>
      <w:marTop w:val="0"/>
      <w:marBottom w:val="0"/>
      <w:divBdr>
        <w:top w:val="none" w:sz="0" w:space="0" w:color="auto"/>
        <w:left w:val="none" w:sz="0" w:space="0" w:color="auto"/>
        <w:bottom w:val="none" w:sz="0" w:space="0" w:color="auto"/>
        <w:right w:val="none" w:sz="0" w:space="0" w:color="auto"/>
      </w:divBdr>
    </w:div>
    <w:div w:id="1407651409">
      <w:bodyDiv w:val="1"/>
      <w:marLeft w:val="0"/>
      <w:marRight w:val="0"/>
      <w:marTop w:val="0"/>
      <w:marBottom w:val="0"/>
      <w:divBdr>
        <w:top w:val="none" w:sz="0" w:space="0" w:color="auto"/>
        <w:left w:val="none" w:sz="0" w:space="0" w:color="auto"/>
        <w:bottom w:val="none" w:sz="0" w:space="0" w:color="auto"/>
        <w:right w:val="none" w:sz="0" w:space="0" w:color="auto"/>
      </w:divBdr>
    </w:div>
    <w:div w:id="1412317865">
      <w:bodyDiv w:val="1"/>
      <w:marLeft w:val="0"/>
      <w:marRight w:val="0"/>
      <w:marTop w:val="0"/>
      <w:marBottom w:val="0"/>
      <w:divBdr>
        <w:top w:val="none" w:sz="0" w:space="0" w:color="auto"/>
        <w:left w:val="none" w:sz="0" w:space="0" w:color="auto"/>
        <w:bottom w:val="none" w:sz="0" w:space="0" w:color="auto"/>
        <w:right w:val="none" w:sz="0" w:space="0" w:color="auto"/>
      </w:divBdr>
    </w:div>
    <w:div w:id="1434091071">
      <w:bodyDiv w:val="1"/>
      <w:marLeft w:val="0"/>
      <w:marRight w:val="0"/>
      <w:marTop w:val="0"/>
      <w:marBottom w:val="0"/>
      <w:divBdr>
        <w:top w:val="none" w:sz="0" w:space="0" w:color="auto"/>
        <w:left w:val="none" w:sz="0" w:space="0" w:color="auto"/>
        <w:bottom w:val="none" w:sz="0" w:space="0" w:color="auto"/>
        <w:right w:val="none" w:sz="0" w:space="0" w:color="auto"/>
      </w:divBdr>
    </w:div>
    <w:div w:id="1440293008">
      <w:bodyDiv w:val="1"/>
      <w:marLeft w:val="0"/>
      <w:marRight w:val="0"/>
      <w:marTop w:val="0"/>
      <w:marBottom w:val="0"/>
      <w:divBdr>
        <w:top w:val="none" w:sz="0" w:space="0" w:color="auto"/>
        <w:left w:val="none" w:sz="0" w:space="0" w:color="auto"/>
        <w:bottom w:val="none" w:sz="0" w:space="0" w:color="auto"/>
        <w:right w:val="none" w:sz="0" w:space="0" w:color="auto"/>
      </w:divBdr>
    </w:div>
    <w:div w:id="1443257241">
      <w:bodyDiv w:val="1"/>
      <w:marLeft w:val="0"/>
      <w:marRight w:val="0"/>
      <w:marTop w:val="0"/>
      <w:marBottom w:val="0"/>
      <w:divBdr>
        <w:top w:val="none" w:sz="0" w:space="0" w:color="auto"/>
        <w:left w:val="none" w:sz="0" w:space="0" w:color="auto"/>
        <w:bottom w:val="none" w:sz="0" w:space="0" w:color="auto"/>
        <w:right w:val="none" w:sz="0" w:space="0" w:color="auto"/>
      </w:divBdr>
    </w:div>
    <w:div w:id="1450974029">
      <w:bodyDiv w:val="1"/>
      <w:marLeft w:val="0"/>
      <w:marRight w:val="0"/>
      <w:marTop w:val="0"/>
      <w:marBottom w:val="0"/>
      <w:divBdr>
        <w:top w:val="none" w:sz="0" w:space="0" w:color="auto"/>
        <w:left w:val="none" w:sz="0" w:space="0" w:color="auto"/>
        <w:bottom w:val="none" w:sz="0" w:space="0" w:color="auto"/>
        <w:right w:val="none" w:sz="0" w:space="0" w:color="auto"/>
      </w:divBdr>
    </w:div>
    <w:div w:id="1470780851">
      <w:bodyDiv w:val="1"/>
      <w:marLeft w:val="0"/>
      <w:marRight w:val="0"/>
      <w:marTop w:val="0"/>
      <w:marBottom w:val="0"/>
      <w:divBdr>
        <w:top w:val="none" w:sz="0" w:space="0" w:color="auto"/>
        <w:left w:val="none" w:sz="0" w:space="0" w:color="auto"/>
        <w:bottom w:val="none" w:sz="0" w:space="0" w:color="auto"/>
        <w:right w:val="none" w:sz="0" w:space="0" w:color="auto"/>
      </w:divBdr>
    </w:div>
    <w:div w:id="1487471818">
      <w:bodyDiv w:val="1"/>
      <w:marLeft w:val="0"/>
      <w:marRight w:val="0"/>
      <w:marTop w:val="0"/>
      <w:marBottom w:val="0"/>
      <w:divBdr>
        <w:top w:val="none" w:sz="0" w:space="0" w:color="auto"/>
        <w:left w:val="none" w:sz="0" w:space="0" w:color="auto"/>
        <w:bottom w:val="none" w:sz="0" w:space="0" w:color="auto"/>
        <w:right w:val="none" w:sz="0" w:space="0" w:color="auto"/>
      </w:divBdr>
    </w:div>
    <w:div w:id="1507591891">
      <w:bodyDiv w:val="1"/>
      <w:marLeft w:val="0"/>
      <w:marRight w:val="0"/>
      <w:marTop w:val="0"/>
      <w:marBottom w:val="0"/>
      <w:divBdr>
        <w:top w:val="none" w:sz="0" w:space="0" w:color="auto"/>
        <w:left w:val="none" w:sz="0" w:space="0" w:color="auto"/>
        <w:bottom w:val="none" w:sz="0" w:space="0" w:color="auto"/>
        <w:right w:val="none" w:sz="0" w:space="0" w:color="auto"/>
      </w:divBdr>
    </w:div>
    <w:div w:id="1530945387">
      <w:bodyDiv w:val="1"/>
      <w:marLeft w:val="0"/>
      <w:marRight w:val="0"/>
      <w:marTop w:val="0"/>
      <w:marBottom w:val="0"/>
      <w:divBdr>
        <w:top w:val="none" w:sz="0" w:space="0" w:color="auto"/>
        <w:left w:val="none" w:sz="0" w:space="0" w:color="auto"/>
        <w:bottom w:val="none" w:sz="0" w:space="0" w:color="auto"/>
        <w:right w:val="none" w:sz="0" w:space="0" w:color="auto"/>
      </w:divBdr>
    </w:div>
    <w:div w:id="1531995554">
      <w:bodyDiv w:val="1"/>
      <w:marLeft w:val="0"/>
      <w:marRight w:val="0"/>
      <w:marTop w:val="0"/>
      <w:marBottom w:val="0"/>
      <w:divBdr>
        <w:top w:val="none" w:sz="0" w:space="0" w:color="auto"/>
        <w:left w:val="none" w:sz="0" w:space="0" w:color="auto"/>
        <w:bottom w:val="none" w:sz="0" w:space="0" w:color="auto"/>
        <w:right w:val="none" w:sz="0" w:space="0" w:color="auto"/>
      </w:divBdr>
    </w:div>
    <w:div w:id="1573735385">
      <w:bodyDiv w:val="1"/>
      <w:marLeft w:val="0"/>
      <w:marRight w:val="0"/>
      <w:marTop w:val="0"/>
      <w:marBottom w:val="0"/>
      <w:divBdr>
        <w:top w:val="none" w:sz="0" w:space="0" w:color="auto"/>
        <w:left w:val="none" w:sz="0" w:space="0" w:color="auto"/>
        <w:bottom w:val="none" w:sz="0" w:space="0" w:color="auto"/>
        <w:right w:val="none" w:sz="0" w:space="0" w:color="auto"/>
      </w:divBdr>
    </w:div>
    <w:div w:id="1574850217">
      <w:bodyDiv w:val="1"/>
      <w:marLeft w:val="0"/>
      <w:marRight w:val="0"/>
      <w:marTop w:val="0"/>
      <w:marBottom w:val="0"/>
      <w:divBdr>
        <w:top w:val="none" w:sz="0" w:space="0" w:color="auto"/>
        <w:left w:val="none" w:sz="0" w:space="0" w:color="auto"/>
        <w:bottom w:val="none" w:sz="0" w:space="0" w:color="auto"/>
        <w:right w:val="none" w:sz="0" w:space="0" w:color="auto"/>
      </w:divBdr>
    </w:div>
    <w:div w:id="1575970059">
      <w:bodyDiv w:val="1"/>
      <w:marLeft w:val="0"/>
      <w:marRight w:val="0"/>
      <w:marTop w:val="0"/>
      <w:marBottom w:val="0"/>
      <w:divBdr>
        <w:top w:val="none" w:sz="0" w:space="0" w:color="auto"/>
        <w:left w:val="none" w:sz="0" w:space="0" w:color="auto"/>
        <w:bottom w:val="none" w:sz="0" w:space="0" w:color="auto"/>
        <w:right w:val="none" w:sz="0" w:space="0" w:color="auto"/>
      </w:divBdr>
    </w:div>
    <w:div w:id="1583176675">
      <w:bodyDiv w:val="1"/>
      <w:marLeft w:val="0"/>
      <w:marRight w:val="0"/>
      <w:marTop w:val="0"/>
      <w:marBottom w:val="0"/>
      <w:divBdr>
        <w:top w:val="none" w:sz="0" w:space="0" w:color="auto"/>
        <w:left w:val="none" w:sz="0" w:space="0" w:color="auto"/>
        <w:bottom w:val="none" w:sz="0" w:space="0" w:color="auto"/>
        <w:right w:val="none" w:sz="0" w:space="0" w:color="auto"/>
      </w:divBdr>
    </w:div>
    <w:div w:id="1588537921">
      <w:bodyDiv w:val="1"/>
      <w:marLeft w:val="0"/>
      <w:marRight w:val="0"/>
      <w:marTop w:val="0"/>
      <w:marBottom w:val="0"/>
      <w:divBdr>
        <w:top w:val="none" w:sz="0" w:space="0" w:color="auto"/>
        <w:left w:val="none" w:sz="0" w:space="0" w:color="auto"/>
        <w:bottom w:val="none" w:sz="0" w:space="0" w:color="auto"/>
        <w:right w:val="none" w:sz="0" w:space="0" w:color="auto"/>
      </w:divBdr>
    </w:div>
    <w:div w:id="1601448091">
      <w:bodyDiv w:val="1"/>
      <w:marLeft w:val="0"/>
      <w:marRight w:val="0"/>
      <w:marTop w:val="0"/>
      <w:marBottom w:val="0"/>
      <w:divBdr>
        <w:top w:val="none" w:sz="0" w:space="0" w:color="auto"/>
        <w:left w:val="none" w:sz="0" w:space="0" w:color="auto"/>
        <w:bottom w:val="none" w:sz="0" w:space="0" w:color="auto"/>
        <w:right w:val="none" w:sz="0" w:space="0" w:color="auto"/>
      </w:divBdr>
    </w:div>
    <w:div w:id="1603949183">
      <w:bodyDiv w:val="1"/>
      <w:marLeft w:val="0"/>
      <w:marRight w:val="0"/>
      <w:marTop w:val="0"/>
      <w:marBottom w:val="0"/>
      <w:divBdr>
        <w:top w:val="none" w:sz="0" w:space="0" w:color="auto"/>
        <w:left w:val="none" w:sz="0" w:space="0" w:color="auto"/>
        <w:bottom w:val="none" w:sz="0" w:space="0" w:color="auto"/>
        <w:right w:val="none" w:sz="0" w:space="0" w:color="auto"/>
      </w:divBdr>
    </w:div>
    <w:div w:id="1614481163">
      <w:bodyDiv w:val="1"/>
      <w:marLeft w:val="0"/>
      <w:marRight w:val="0"/>
      <w:marTop w:val="0"/>
      <w:marBottom w:val="0"/>
      <w:divBdr>
        <w:top w:val="none" w:sz="0" w:space="0" w:color="auto"/>
        <w:left w:val="none" w:sz="0" w:space="0" w:color="auto"/>
        <w:bottom w:val="none" w:sz="0" w:space="0" w:color="auto"/>
        <w:right w:val="none" w:sz="0" w:space="0" w:color="auto"/>
      </w:divBdr>
    </w:div>
    <w:div w:id="1616058607">
      <w:bodyDiv w:val="1"/>
      <w:marLeft w:val="0"/>
      <w:marRight w:val="0"/>
      <w:marTop w:val="0"/>
      <w:marBottom w:val="0"/>
      <w:divBdr>
        <w:top w:val="none" w:sz="0" w:space="0" w:color="auto"/>
        <w:left w:val="none" w:sz="0" w:space="0" w:color="auto"/>
        <w:bottom w:val="none" w:sz="0" w:space="0" w:color="auto"/>
        <w:right w:val="none" w:sz="0" w:space="0" w:color="auto"/>
      </w:divBdr>
    </w:div>
    <w:div w:id="1678380226">
      <w:bodyDiv w:val="1"/>
      <w:marLeft w:val="0"/>
      <w:marRight w:val="0"/>
      <w:marTop w:val="0"/>
      <w:marBottom w:val="0"/>
      <w:divBdr>
        <w:top w:val="none" w:sz="0" w:space="0" w:color="auto"/>
        <w:left w:val="none" w:sz="0" w:space="0" w:color="auto"/>
        <w:bottom w:val="none" w:sz="0" w:space="0" w:color="auto"/>
        <w:right w:val="none" w:sz="0" w:space="0" w:color="auto"/>
      </w:divBdr>
    </w:div>
    <w:div w:id="1686399968">
      <w:bodyDiv w:val="1"/>
      <w:marLeft w:val="0"/>
      <w:marRight w:val="0"/>
      <w:marTop w:val="0"/>
      <w:marBottom w:val="0"/>
      <w:divBdr>
        <w:top w:val="none" w:sz="0" w:space="0" w:color="auto"/>
        <w:left w:val="none" w:sz="0" w:space="0" w:color="auto"/>
        <w:bottom w:val="none" w:sz="0" w:space="0" w:color="auto"/>
        <w:right w:val="none" w:sz="0" w:space="0" w:color="auto"/>
      </w:divBdr>
    </w:div>
    <w:div w:id="1692101875">
      <w:bodyDiv w:val="1"/>
      <w:marLeft w:val="0"/>
      <w:marRight w:val="0"/>
      <w:marTop w:val="0"/>
      <w:marBottom w:val="0"/>
      <w:divBdr>
        <w:top w:val="none" w:sz="0" w:space="0" w:color="auto"/>
        <w:left w:val="none" w:sz="0" w:space="0" w:color="auto"/>
        <w:bottom w:val="none" w:sz="0" w:space="0" w:color="auto"/>
        <w:right w:val="none" w:sz="0" w:space="0" w:color="auto"/>
      </w:divBdr>
    </w:div>
    <w:div w:id="1693530411">
      <w:bodyDiv w:val="1"/>
      <w:marLeft w:val="0"/>
      <w:marRight w:val="0"/>
      <w:marTop w:val="0"/>
      <w:marBottom w:val="0"/>
      <w:divBdr>
        <w:top w:val="none" w:sz="0" w:space="0" w:color="auto"/>
        <w:left w:val="none" w:sz="0" w:space="0" w:color="auto"/>
        <w:bottom w:val="none" w:sz="0" w:space="0" w:color="auto"/>
        <w:right w:val="none" w:sz="0" w:space="0" w:color="auto"/>
      </w:divBdr>
    </w:div>
    <w:div w:id="1698041353">
      <w:bodyDiv w:val="1"/>
      <w:marLeft w:val="0"/>
      <w:marRight w:val="0"/>
      <w:marTop w:val="0"/>
      <w:marBottom w:val="0"/>
      <w:divBdr>
        <w:top w:val="none" w:sz="0" w:space="0" w:color="auto"/>
        <w:left w:val="none" w:sz="0" w:space="0" w:color="auto"/>
        <w:bottom w:val="none" w:sz="0" w:space="0" w:color="auto"/>
        <w:right w:val="none" w:sz="0" w:space="0" w:color="auto"/>
      </w:divBdr>
    </w:div>
    <w:div w:id="1700548670">
      <w:bodyDiv w:val="1"/>
      <w:marLeft w:val="0"/>
      <w:marRight w:val="0"/>
      <w:marTop w:val="0"/>
      <w:marBottom w:val="0"/>
      <w:divBdr>
        <w:top w:val="none" w:sz="0" w:space="0" w:color="auto"/>
        <w:left w:val="none" w:sz="0" w:space="0" w:color="auto"/>
        <w:bottom w:val="none" w:sz="0" w:space="0" w:color="auto"/>
        <w:right w:val="none" w:sz="0" w:space="0" w:color="auto"/>
      </w:divBdr>
    </w:div>
    <w:div w:id="1707173139">
      <w:bodyDiv w:val="1"/>
      <w:marLeft w:val="0"/>
      <w:marRight w:val="0"/>
      <w:marTop w:val="0"/>
      <w:marBottom w:val="0"/>
      <w:divBdr>
        <w:top w:val="none" w:sz="0" w:space="0" w:color="auto"/>
        <w:left w:val="none" w:sz="0" w:space="0" w:color="auto"/>
        <w:bottom w:val="none" w:sz="0" w:space="0" w:color="auto"/>
        <w:right w:val="none" w:sz="0" w:space="0" w:color="auto"/>
      </w:divBdr>
    </w:div>
    <w:div w:id="1731490953">
      <w:bodyDiv w:val="1"/>
      <w:marLeft w:val="0"/>
      <w:marRight w:val="0"/>
      <w:marTop w:val="0"/>
      <w:marBottom w:val="0"/>
      <w:divBdr>
        <w:top w:val="none" w:sz="0" w:space="0" w:color="auto"/>
        <w:left w:val="none" w:sz="0" w:space="0" w:color="auto"/>
        <w:bottom w:val="none" w:sz="0" w:space="0" w:color="auto"/>
        <w:right w:val="none" w:sz="0" w:space="0" w:color="auto"/>
      </w:divBdr>
    </w:div>
    <w:div w:id="1742022908">
      <w:bodyDiv w:val="1"/>
      <w:marLeft w:val="0"/>
      <w:marRight w:val="0"/>
      <w:marTop w:val="0"/>
      <w:marBottom w:val="0"/>
      <w:divBdr>
        <w:top w:val="none" w:sz="0" w:space="0" w:color="auto"/>
        <w:left w:val="none" w:sz="0" w:space="0" w:color="auto"/>
        <w:bottom w:val="none" w:sz="0" w:space="0" w:color="auto"/>
        <w:right w:val="none" w:sz="0" w:space="0" w:color="auto"/>
      </w:divBdr>
    </w:div>
    <w:div w:id="1783721789">
      <w:bodyDiv w:val="1"/>
      <w:marLeft w:val="0"/>
      <w:marRight w:val="0"/>
      <w:marTop w:val="0"/>
      <w:marBottom w:val="0"/>
      <w:divBdr>
        <w:top w:val="none" w:sz="0" w:space="0" w:color="auto"/>
        <w:left w:val="none" w:sz="0" w:space="0" w:color="auto"/>
        <w:bottom w:val="none" w:sz="0" w:space="0" w:color="auto"/>
        <w:right w:val="none" w:sz="0" w:space="0" w:color="auto"/>
      </w:divBdr>
    </w:div>
    <w:div w:id="1791513963">
      <w:bodyDiv w:val="1"/>
      <w:marLeft w:val="0"/>
      <w:marRight w:val="0"/>
      <w:marTop w:val="0"/>
      <w:marBottom w:val="0"/>
      <w:divBdr>
        <w:top w:val="none" w:sz="0" w:space="0" w:color="auto"/>
        <w:left w:val="none" w:sz="0" w:space="0" w:color="auto"/>
        <w:bottom w:val="none" w:sz="0" w:space="0" w:color="auto"/>
        <w:right w:val="none" w:sz="0" w:space="0" w:color="auto"/>
      </w:divBdr>
    </w:div>
    <w:div w:id="1829977933">
      <w:bodyDiv w:val="1"/>
      <w:marLeft w:val="0"/>
      <w:marRight w:val="0"/>
      <w:marTop w:val="0"/>
      <w:marBottom w:val="0"/>
      <w:divBdr>
        <w:top w:val="none" w:sz="0" w:space="0" w:color="auto"/>
        <w:left w:val="none" w:sz="0" w:space="0" w:color="auto"/>
        <w:bottom w:val="none" w:sz="0" w:space="0" w:color="auto"/>
        <w:right w:val="none" w:sz="0" w:space="0" w:color="auto"/>
      </w:divBdr>
    </w:div>
    <w:div w:id="1837260257">
      <w:bodyDiv w:val="1"/>
      <w:marLeft w:val="0"/>
      <w:marRight w:val="0"/>
      <w:marTop w:val="0"/>
      <w:marBottom w:val="0"/>
      <w:divBdr>
        <w:top w:val="none" w:sz="0" w:space="0" w:color="auto"/>
        <w:left w:val="none" w:sz="0" w:space="0" w:color="auto"/>
        <w:bottom w:val="none" w:sz="0" w:space="0" w:color="auto"/>
        <w:right w:val="none" w:sz="0" w:space="0" w:color="auto"/>
      </w:divBdr>
    </w:div>
    <w:div w:id="1839613224">
      <w:bodyDiv w:val="1"/>
      <w:marLeft w:val="0"/>
      <w:marRight w:val="0"/>
      <w:marTop w:val="0"/>
      <w:marBottom w:val="0"/>
      <w:divBdr>
        <w:top w:val="none" w:sz="0" w:space="0" w:color="auto"/>
        <w:left w:val="none" w:sz="0" w:space="0" w:color="auto"/>
        <w:bottom w:val="none" w:sz="0" w:space="0" w:color="auto"/>
        <w:right w:val="none" w:sz="0" w:space="0" w:color="auto"/>
      </w:divBdr>
    </w:div>
    <w:div w:id="1874882855">
      <w:bodyDiv w:val="1"/>
      <w:marLeft w:val="0"/>
      <w:marRight w:val="0"/>
      <w:marTop w:val="0"/>
      <w:marBottom w:val="0"/>
      <w:divBdr>
        <w:top w:val="none" w:sz="0" w:space="0" w:color="auto"/>
        <w:left w:val="none" w:sz="0" w:space="0" w:color="auto"/>
        <w:bottom w:val="none" w:sz="0" w:space="0" w:color="auto"/>
        <w:right w:val="none" w:sz="0" w:space="0" w:color="auto"/>
      </w:divBdr>
    </w:div>
    <w:div w:id="1881239845">
      <w:bodyDiv w:val="1"/>
      <w:marLeft w:val="0"/>
      <w:marRight w:val="0"/>
      <w:marTop w:val="0"/>
      <w:marBottom w:val="0"/>
      <w:divBdr>
        <w:top w:val="none" w:sz="0" w:space="0" w:color="auto"/>
        <w:left w:val="none" w:sz="0" w:space="0" w:color="auto"/>
        <w:bottom w:val="none" w:sz="0" w:space="0" w:color="auto"/>
        <w:right w:val="none" w:sz="0" w:space="0" w:color="auto"/>
      </w:divBdr>
    </w:div>
    <w:div w:id="1907035293">
      <w:bodyDiv w:val="1"/>
      <w:marLeft w:val="0"/>
      <w:marRight w:val="0"/>
      <w:marTop w:val="0"/>
      <w:marBottom w:val="0"/>
      <w:divBdr>
        <w:top w:val="none" w:sz="0" w:space="0" w:color="auto"/>
        <w:left w:val="none" w:sz="0" w:space="0" w:color="auto"/>
        <w:bottom w:val="none" w:sz="0" w:space="0" w:color="auto"/>
        <w:right w:val="none" w:sz="0" w:space="0" w:color="auto"/>
      </w:divBdr>
    </w:div>
    <w:div w:id="1939410791">
      <w:bodyDiv w:val="1"/>
      <w:marLeft w:val="0"/>
      <w:marRight w:val="0"/>
      <w:marTop w:val="0"/>
      <w:marBottom w:val="0"/>
      <w:divBdr>
        <w:top w:val="none" w:sz="0" w:space="0" w:color="auto"/>
        <w:left w:val="none" w:sz="0" w:space="0" w:color="auto"/>
        <w:bottom w:val="none" w:sz="0" w:space="0" w:color="auto"/>
        <w:right w:val="none" w:sz="0" w:space="0" w:color="auto"/>
      </w:divBdr>
    </w:div>
    <w:div w:id="1952855969">
      <w:bodyDiv w:val="1"/>
      <w:marLeft w:val="0"/>
      <w:marRight w:val="0"/>
      <w:marTop w:val="0"/>
      <w:marBottom w:val="0"/>
      <w:divBdr>
        <w:top w:val="none" w:sz="0" w:space="0" w:color="auto"/>
        <w:left w:val="none" w:sz="0" w:space="0" w:color="auto"/>
        <w:bottom w:val="none" w:sz="0" w:space="0" w:color="auto"/>
        <w:right w:val="none" w:sz="0" w:space="0" w:color="auto"/>
      </w:divBdr>
    </w:div>
    <w:div w:id="1959068712">
      <w:bodyDiv w:val="1"/>
      <w:marLeft w:val="0"/>
      <w:marRight w:val="0"/>
      <w:marTop w:val="0"/>
      <w:marBottom w:val="0"/>
      <w:divBdr>
        <w:top w:val="none" w:sz="0" w:space="0" w:color="auto"/>
        <w:left w:val="none" w:sz="0" w:space="0" w:color="auto"/>
        <w:bottom w:val="none" w:sz="0" w:space="0" w:color="auto"/>
        <w:right w:val="none" w:sz="0" w:space="0" w:color="auto"/>
      </w:divBdr>
    </w:div>
    <w:div w:id="1959296758">
      <w:bodyDiv w:val="1"/>
      <w:marLeft w:val="0"/>
      <w:marRight w:val="0"/>
      <w:marTop w:val="0"/>
      <w:marBottom w:val="0"/>
      <w:divBdr>
        <w:top w:val="none" w:sz="0" w:space="0" w:color="auto"/>
        <w:left w:val="none" w:sz="0" w:space="0" w:color="auto"/>
        <w:bottom w:val="none" w:sz="0" w:space="0" w:color="auto"/>
        <w:right w:val="none" w:sz="0" w:space="0" w:color="auto"/>
      </w:divBdr>
    </w:div>
    <w:div w:id="1967276685">
      <w:bodyDiv w:val="1"/>
      <w:marLeft w:val="0"/>
      <w:marRight w:val="0"/>
      <w:marTop w:val="0"/>
      <w:marBottom w:val="0"/>
      <w:divBdr>
        <w:top w:val="none" w:sz="0" w:space="0" w:color="auto"/>
        <w:left w:val="none" w:sz="0" w:space="0" w:color="auto"/>
        <w:bottom w:val="none" w:sz="0" w:space="0" w:color="auto"/>
        <w:right w:val="none" w:sz="0" w:space="0" w:color="auto"/>
      </w:divBdr>
    </w:div>
    <w:div w:id="1977099081">
      <w:bodyDiv w:val="1"/>
      <w:marLeft w:val="0"/>
      <w:marRight w:val="0"/>
      <w:marTop w:val="0"/>
      <w:marBottom w:val="0"/>
      <w:divBdr>
        <w:top w:val="none" w:sz="0" w:space="0" w:color="auto"/>
        <w:left w:val="none" w:sz="0" w:space="0" w:color="auto"/>
        <w:bottom w:val="none" w:sz="0" w:space="0" w:color="auto"/>
        <w:right w:val="none" w:sz="0" w:space="0" w:color="auto"/>
      </w:divBdr>
    </w:div>
    <w:div w:id="1983849332">
      <w:bodyDiv w:val="1"/>
      <w:marLeft w:val="0"/>
      <w:marRight w:val="0"/>
      <w:marTop w:val="0"/>
      <w:marBottom w:val="0"/>
      <w:divBdr>
        <w:top w:val="none" w:sz="0" w:space="0" w:color="auto"/>
        <w:left w:val="none" w:sz="0" w:space="0" w:color="auto"/>
        <w:bottom w:val="none" w:sz="0" w:space="0" w:color="auto"/>
        <w:right w:val="none" w:sz="0" w:space="0" w:color="auto"/>
      </w:divBdr>
    </w:div>
    <w:div w:id="1986857164">
      <w:bodyDiv w:val="1"/>
      <w:marLeft w:val="0"/>
      <w:marRight w:val="0"/>
      <w:marTop w:val="0"/>
      <w:marBottom w:val="0"/>
      <w:divBdr>
        <w:top w:val="none" w:sz="0" w:space="0" w:color="auto"/>
        <w:left w:val="none" w:sz="0" w:space="0" w:color="auto"/>
        <w:bottom w:val="none" w:sz="0" w:space="0" w:color="auto"/>
        <w:right w:val="none" w:sz="0" w:space="0" w:color="auto"/>
      </w:divBdr>
    </w:div>
    <w:div w:id="1993022183">
      <w:bodyDiv w:val="1"/>
      <w:marLeft w:val="0"/>
      <w:marRight w:val="0"/>
      <w:marTop w:val="0"/>
      <w:marBottom w:val="0"/>
      <w:divBdr>
        <w:top w:val="none" w:sz="0" w:space="0" w:color="auto"/>
        <w:left w:val="none" w:sz="0" w:space="0" w:color="auto"/>
        <w:bottom w:val="none" w:sz="0" w:space="0" w:color="auto"/>
        <w:right w:val="none" w:sz="0" w:space="0" w:color="auto"/>
      </w:divBdr>
    </w:div>
    <w:div w:id="2014138143">
      <w:bodyDiv w:val="1"/>
      <w:marLeft w:val="0"/>
      <w:marRight w:val="0"/>
      <w:marTop w:val="0"/>
      <w:marBottom w:val="0"/>
      <w:divBdr>
        <w:top w:val="none" w:sz="0" w:space="0" w:color="auto"/>
        <w:left w:val="none" w:sz="0" w:space="0" w:color="auto"/>
        <w:bottom w:val="none" w:sz="0" w:space="0" w:color="auto"/>
        <w:right w:val="none" w:sz="0" w:space="0" w:color="auto"/>
      </w:divBdr>
    </w:div>
    <w:div w:id="2016490020">
      <w:bodyDiv w:val="1"/>
      <w:marLeft w:val="0"/>
      <w:marRight w:val="0"/>
      <w:marTop w:val="0"/>
      <w:marBottom w:val="0"/>
      <w:divBdr>
        <w:top w:val="none" w:sz="0" w:space="0" w:color="auto"/>
        <w:left w:val="none" w:sz="0" w:space="0" w:color="auto"/>
        <w:bottom w:val="none" w:sz="0" w:space="0" w:color="auto"/>
        <w:right w:val="none" w:sz="0" w:space="0" w:color="auto"/>
      </w:divBdr>
    </w:div>
    <w:div w:id="2054185535">
      <w:bodyDiv w:val="1"/>
      <w:marLeft w:val="0"/>
      <w:marRight w:val="0"/>
      <w:marTop w:val="0"/>
      <w:marBottom w:val="0"/>
      <w:divBdr>
        <w:top w:val="none" w:sz="0" w:space="0" w:color="auto"/>
        <w:left w:val="none" w:sz="0" w:space="0" w:color="auto"/>
        <w:bottom w:val="none" w:sz="0" w:space="0" w:color="auto"/>
        <w:right w:val="none" w:sz="0" w:space="0" w:color="auto"/>
      </w:divBdr>
    </w:div>
    <w:div w:id="2055814569">
      <w:bodyDiv w:val="1"/>
      <w:marLeft w:val="0"/>
      <w:marRight w:val="0"/>
      <w:marTop w:val="0"/>
      <w:marBottom w:val="0"/>
      <w:divBdr>
        <w:top w:val="none" w:sz="0" w:space="0" w:color="auto"/>
        <w:left w:val="none" w:sz="0" w:space="0" w:color="auto"/>
        <w:bottom w:val="none" w:sz="0" w:space="0" w:color="auto"/>
        <w:right w:val="none" w:sz="0" w:space="0" w:color="auto"/>
      </w:divBdr>
    </w:div>
    <w:div w:id="2085834573">
      <w:bodyDiv w:val="1"/>
      <w:marLeft w:val="0"/>
      <w:marRight w:val="0"/>
      <w:marTop w:val="0"/>
      <w:marBottom w:val="0"/>
      <w:divBdr>
        <w:top w:val="none" w:sz="0" w:space="0" w:color="auto"/>
        <w:left w:val="none" w:sz="0" w:space="0" w:color="auto"/>
        <w:bottom w:val="none" w:sz="0" w:space="0" w:color="auto"/>
        <w:right w:val="none" w:sz="0" w:space="0" w:color="auto"/>
      </w:divBdr>
    </w:div>
    <w:div w:id="2095857405">
      <w:bodyDiv w:val="1"/>
      <w:marLeft w:val="0"/>
      <w:marRight w:val="0"/>
      <w:marTop w:val="0"/>
      <w:marBottom w:val="0"/>
      <w:divBdr>
        <w:top w:val="none" w:sz="0" w:space="0" w:color="auto"/>
        <w:left w:val="none" w:sz="0" w:space="0" w:color="auto"/>
        <w:bottom w:val="none" w:sz="0" w:space="0" w:color="auto"/>
        <w:right w:val="none" w:sz="0" w:space="0" w:color="auto"/>
      </w:divBdr>
    </w:div>
    <w:div w:id="2111661170">
      <w:bodyDiv w:val="1"/>
      <w:marLeft w:val="0"/>
      <w:marRight w:val="0"/>
      <w:marTop w:val="0"/>
      <w:marBottom w:val="0"/>
      <w:divBdr>
        <w:top w:val="none" w:sz="0" w:space="0" w:color="auto"/>
        <w:left w:val="none" w:sz="0" w:space="0" w:color="auto"/>
        <w:bottom w:val="none" w:sz="0" w:space="0" w:color="auto"/>
        <w:right w:val="none" w:sz="0" w:space="0" w:color="auto"/>
      </w:divBdr>
    </w:div>
    <w:div w:id="2140148735">
      <w:bodyDiv w:val="1"/>
      <w:marLeft w:val="0"/>
      <w:marRight w:val="0"/>
      <w:marTop w:val="0"/>
      <w:marBottom w:val="0"/>
      <w:divBdr>
        <w:top w:val="none" w:sz="0" w:space="0" w:color="auto"/>
        <w:left w:val="none" w:sz="0" w:space="0" w:color="auto"/>
        <w:bottom w:val="none" w:sz="0" w:space="0" w:color="auto"/>
        <w:right w:val="none" w:sz="0" w:space="0" w:color="auto"/>
      </w:divBdr>
    </w:div>
    <w:div w:id="2143767417">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oter" Target="footer1.xml"/><Relationship Id="rId18" Type="http://schemas.openxmlformats.org/officeDocument/2006/relationships/theme" Target="theme/theme1.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image" Target="media/image3.png"/><Relationship Id="rId17" Type="http://schemas.openxmlformats.org/officeDocument/2006/relationships/glossaryDocument" Target="glossary/document.xml"/><Relationship Id="rId2" Type="http://schemas.openxmlformats.org/officeDocument/2006/relationships/customXml" Target="../customXml/item2.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yperlink" Target="https://github.com/GabrielSC92/Thesis-MSc-ADS-4266390" TargetMode="External"/><Relationship Id="rId5" Type="http://schemas.openxmlformats.org/officeDocument/2006/relationships/settings" Target="settings.xml"/><Relationship Id="rId15" Type="http://schemas.openxmlformats.org/officeDocument/2006/relationships/footer" Target="footer2.xml"/><Relationship Id="rId10" Type="http://schemas.openxmlformats.org/officeDocument/2006/relationships/image" Target="media/image2.png"/><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header" Target="header1.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7F39E9F0065B48958AD40EE80DED5E0F"/>
        <w:category>
          <w:name w:val="General"/>
          <w:gallery w:val="placeholder"/>
        </w:category>
        <w:types>
          <w:type w:val="bbPlcHdr"/>
        </w:types>
        <w:behaviors>
          <w:behavior w:val="content"/>
        </w:behaviors>
        <w:guid w:val="{68A03CCD-BF90-4130-9919-56F6FDCD38D0}"/>
      </w:docPartPr>
      <w:docPartBody>
        <w:p w:rsidR="00A738BE" w:rsidRDefault="000D7D39" w:rsidP="000D7D39">
          <w:pPr>
            <w:pStyle w:val="7F39E9F0065B48958AD40EE80DED5E0F"/>
          </w:pPr>
          <w:r>
            <w:rPr>
              <w:color w:val="0F4761" w:themeColor="accent1" w:themeShade="BF"/>
            </w:rPr>
            <w:t>[Company name]</w:t>
          </w:r>
        </w:p>
      </w:docPartBody>
    </w:docPart>
    <w:docPart>
      <w:docPartPr>
        <w:name w:val="051EE07ED9884C6785870964325E80C3"/>
        <w:category>
          <w:name w:val="General"/>
          <w:gallery w:val="placeholder"/>
        </w:category>
        <w:types>
          <w:type w:val="bbPlcHdr"/>
        </w:types>
        <w:behaviors>
          <w:behavior w:val="content"/>
        </w:behaviors>
        <w:guid w:val="{CBA8D578-2B4D-4C9F-AD78-091965AF4017}"/>
      </w:docPartPr>
      <w:docPartBody>
        <w:p w:rsidR="00A738BE" w:rsidRDefault="000D7D39" w:rsidP="000D7D39">
          <w:pPr>
            <w:pStyle w:val="051EE07ED9884C6785870964325E80C3"/>
          </w:pPr>
          <w:r>
            <w:rPr>
              <w:rFonts w:asciiTheme="majorHAnsi" w:eastAsiaTheme="majorEastAsia" w:hAnsiTheme="majorHAnsi" w:cstheme="majorBidi"/>
              <w:color w:val="156082" w:themeColor="accent1"/>
              <w:sz w:val="88"/>
              <w:szCs w:val="88"/>
            </w:rPr>
            <w:t>[Document title]</w:t>
          </w:r>
        </w:p>
      </w:docPartBody>
    </w:docPart>
    <w:docPart>
      <w:docPartPr>
        <w:name w:val="C782288CED2D4C7DA2891A041E673F71"/>
        <w:category>
          <w:name w:val="General"/>
          <w:gallery w:val="placeholder"/>
        </w:category>
        <w:types>
          <w:type w:val="bbPlcHdr"/>
        </w:types>
        <w:behaviors>
          <w:behavior w:val="content"/>
        </w:behaviors>
        <w:guid w:val="{1445946E-3457-47D9-88BF-8FF217948D94}"/>
      </w:docPartPr>
      <w:docPartBody>
        <w:p w:rsidR="00A738BE" w:rsidRDefault="000D7D39" w:rsidP="000D7D39">
          <w:pPr>
            <w:pStyle w:val="C782288CED2D4C7DA2891A041E673F71"/>
          </w:pPr>
          <w:r>
            <w:rPr>
              <w:color w:val="0F4761" w:themeColor="accent1" w:themeShade="BF"/>
            </w:rPr>
            <w:t>[Document subtitle]</w:t>
          </w:r>
        </w:p>
      </w:docPartBody>
    </w:docPart>
    <w:docPart>
      <w:docPartPr>
        <w:name w:val="3B2C796DEA854107968540B115FCDEE2"/>
        <w:category>
          <w:name w:val="General"/>
          <w:gallery w:val="placeholder"/>
        </w:category>
        <w:types>
          <w:type w:val="bbPlcHdr"/>
        </w:types>
        <w:behaviors>
          <w:behavior w:val="content"/>
        </w:behaviors>
        <w:guid w:val="{E3E48AC0-7E73-48EC-997E-349BB5030448}"/>
      </w:docPartPr>
      <w:docPartBody>
        <w:p w:rsidR="00A738BE" w:rsidRDefault="000D7D39" w:rsidP="000D7D39">
          <w:pPr>
            <w:pStyle w:val="3B2C796DEA854107968540B115FCDEE2"/>
          </w:pPr>
          <w:r>
            <w:rPr>
              <w:color w:val="156082" w:themeColor="accent1"/>
              <w:sz w:val="28"/>
              <w:szCs w:val="28"/>
            </w:rPr>
            <w:t>[Author name]</w:t>
          </w:r>
        </w:p>
      </w:docPartBody>
    </w:docPart>
    <w:docPart>
      <w:docPartPr>
        <w:name w:val="B381164141B64278902E07471DF04FE8"/>
        <w:category>
          <w:name w:val="General"/>
          <w:gallery w:val="placeholder"/>
        </w:category>
        <w:types>
          <w:type w:val="bbPlcHdr"/>
        </w:types>
        <w:behaviors>
          <w:behavior w:val="content"/>
        </w:behaviors>
        <w:guid w:val="{64097C99-5DDA-40D6-87E1-DE0DE6273A39}"/>
      </w:docPartPr>
      <w:docPartBody>
        <w:p w:rsidR="00A738BE" w:rsidRDefault="000D7D39" w:rsidP="000D7D39">
          <w:pPr>
            <w:pStyle w:val="B381164141B64278902E07471DF04FE8"/>
          </w:pPr>
          <w:r>
            <w:rPr>
              <w:color w:val="156082" w:themeColor="accent1"/>
              <w:sz w:val="28"/>
              <w:szCs w:val="28"/>
            </w:rPr>
            <w:t>[Date]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D7D39"/>
    <w:rsid w:val="0003542D"/>
    <w:rsid w:val="000D7D39"/>
    <w:rsid w:val="00110B2A"/>
    <w:rsid w:val="0018750F"/>
    <w:rsid w:val="001A50E4"/>
    <w:rsid w:val="001A5374"/>
    <w:rsid w:val="001E3783"/>
    <w:rsid w:val="00205E04"/>
    <w:rsid w:val="00244ECF"/>
    <w:rsid w:val="0029312C"/>
    <w:rsid w:val="00295897"/>
    <w:rsid w:val="003C4F4C"/>
    <w:rsid w:val="003E2272"/>
    <w:rsid w:val="00415C54"/>
    <w:rsid w:val="00485A3E"/>
    <w:rsid w:val="004F4FE1"/>
    <w:rsid w:val="00503A93"/>
    <w:rsid w:val="0059492F"/>
    <w:rsid w:val="006C4C57"/>
    <w:rsid w:val="00705DF6"/>
    <w:rsid w:val="007C326E"/>
    <w:rsid w:val="007D7B9F"/>
    <w:rsid w:val="00834CEE"/>
    <w:rsid w:val="008620EF"/>
    <w:rsid w:val="009240A9"/>
    <w:rsid w:val="00A474B7"/>
    <w:rsid w:val="00A738BE"/>
    <w:rsid w:val="00A8278C"/>
    <w:rsid w:val="00A90B92"/>
    <w:rsid w:val="00AC7A5A"/>
    <w:rsid w:val="00B3144C"/>
    <w:rsid w:val="00B415D8"/>
    <w:rsid w:val="00B96ED1"/>
    <w:rsid w:val="00C00251"/>
    <w:rsid w:val="00CD50C9"/>
    <w:rsid w:val="00D8650D"/>
    <w:rsid w:val="00DC3D27"/>
    <w:rsid w:val="00DC4CF8"/>
    <w:rsid w:val="00E36D62"/>
    <w:rsid w:val="00E41137"/>
    <w:rsid w:val="00EE2CC8"/>
  </w:rsids>
  <m:mathPr>
    <m:mathFont m:val="Cambria Math"/>
    <m:brkBin m:val="before"/>
    <m:brkBinSub m:val="--"/>
    <m:smallFrac m:val="0"/>
    <m:dispDef/>
    <m:lMargin m:val="0"/>
    <m:rMargin m:val="0"/>
    <m:defJc m:val="centerGroup"/>
    <m:wrapIndent m:val="1440"/>
    <m:intLim m:val="subSup"/>
    <m:naryLim m:val="undOvr"/>
  </m:mathPr>
  <w:themeFontLang/>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iPriority="0"/>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7F39E9F0065B48958AD40EE80DED5E0F">
    <w:name w:val="7F39E9F0065B48958AD40EE80DED5E0F"/>
    <w:rsid w:val="000D7D39"/>
  </w:style>
  <w:style w:type="paragraph" w:customStyle="1" w:styleId="051EE07ED9884C6785870964325E80C3">
    <w:name w:val="051EE07ED9884C6785870964325E80C3"/>
    <w:rsid w:val="000D7D39"/>
  </w:style>
  <w:style w:type="paragraph" w:customStyle="1" w:styleId="C782288CED2D4C7DA2891A041E673F71">
    <w:name w:val="C782288CED2D4C7DA2891A041E673F71"/>
    <w:rsid w:val="000D7D39"/>
  </w:style>
  <w:style w:type="paragraph" w:customStyle="1" w:styleId="3B2C796DEA854107968540B115FCDEE2">
    <w:name w:val="3B2C796DEA854107968540B115FCDEE2"/>
    <w:rsid w:val="000D7D39"/>
  </w:style>
  <w:style w:type="paragraph" w:customStyle="1" w:styleId="B381164141B64278902E07471DF04FE8">
    <w:name w:val="B381164141B64278902E07471DF04FE8"/>
    <w:rsid w:val="000D7D39"/>
  </w:style>
  <w:style w:type="character" w:styleId="PlaceholderText">
    <w:name w:val="Placeholder Text"/>
    <w:basedOn w:val="DefaultParagraphFont"/>
    <w:rsid w:val="00705DF6"/>
    <w:rPr>
      <w:color w:val="666666"/>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2026-06-29T00:00:00</PublishDate>
  <Abstract/>
  <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SixthEditionOfficeOnline.xsl" StyleName="APA" Version="6">
  <b:Source>
    <b:Tag>Are23remify</b:Tag>
    <b:SourceType>Misc</b:SourceType>
    <b:Author>
      <b:Author>
        <b:NameList>
          <b:Person>
            <b:Last>Arena</b:Last>
            <b:First>G.</b:First>
          </b:Person>
          <b:Person>
            <b:Last>Lakdawala</b:Last>
            <b:First>R.</b:First>
          </b:Person>
          <b:Person>
            <b:Last>Meijerink-Bosman</b:Last>
            <b:First>M.</b:First>
          </b:Person>
          <b:Person>
            <b:Last>Karimova</b:Last>
            <b:First>D.</b:First>
          </b:Person>
          <b:Person>
            <b:Last>Generoso Vieira</b:Last>
            <b:First>F.</b:First>
          </b:Person>
          <b:Person>
            <b:Last>Shafiee Kamalabad</b:Last>
            <b:First>M.</b:First>
          </b:Person>
          <b:Person>
            <b:Last>Leenders</b:Last>
            <b:First>R.</b:First>
          </b:Person>
          <b:Person>
            <b:Last>Mulder</b:Last>
            <b:First>J.</b:First>
          </b:Person>
        </b:NameList>
      </b:Author>
    </b:Author>
    <b:Title>remify: Processing and transforming REH to formats suitable for the remverse packages and more (R package version 3.0.0)</b:Title>
    <b:Year>2023</b:Year>
    <b:Publisher>R package</b:Publisher>
    <b:URL>https://github.com/TilburgNetworkGroup/remify</b:URL>
    <b:RefOrder>21</b:RefOrder>
  </b:Source>
  <b:Source>
    <b:Tag>Are24remstimate</b:Tag>
    <b:SourceType>Misc</b:SourceType>
    <b:Author>
      <b:Author>
        <b:NameList>
          <b:Person>
            <b:Last>Arena</b:Last>
            <b:First>G.</b:First>
          </b:Person>
          <b:Person>
            <b:Last>Lakdawala</b:Last>
            <b:First>R.</b:First>
          </b:Person>
          <b:Person>
            <b:Last>Meijerink-Bosman</b:Last>
            <b:First>M.</b:First>
          </b:Person>
          <b:Person>
            <b:Last>Karimova</b:Last>
            <b:First>D.</b:First>
          </b:Person>
          <b:Person>
            <b:Last>Generoso Vieira</b:Last>
            <b:First>F.</b:First>
          </b:Person>
          <b:Person>
            <b:Last>Shafiee Kamalabad</b:Last>
            <b:First>M.</b:First>
          </b:Person>
          <b:Person>
            <b:Last>Leenders</b:Last>
            <b:First>R.</b:First>
          </b:Person>
          <b:Person>
            <b:Last>Mulder</b:Last>
            <b:First>J.</b:First>
          </b:Person>
        </b:NameList>
      </b:Author>
    </b:Author>
    <b:Title>remstimate: Optimization frameworks for tie-oriented and actor-oriented relational event models (R package)</b:Title>
    <b:Year>2024</b:Year>
    <b:Publisher>R package</b:Publisher>
    <b:URL>https://github.com/TilburgNetworkGroup/remstimate</b:URL>
    <b:RefOrder>22</b:RefOrder>
  </b:Source>
  <b:Source>
    <b:Tag>Bia24</b:Tag>
    <b:SourceType>JournalArticle</b:SourceType>
    <b:Author>
      <b:Author>
        <b:NameList>
          <b:Person>
            <b:Last>Bianchi</b:Last>
            <b:First>F.</b:First>
          </b:Person>
          <b:Person>
            <b:Last>Filippi-Mazzola</b:Last>
            <b:First>E.</b:First>
          </b:Person>
          <b:Person>
            <b:Last>Lomi</b:Last>
            <b:First>A.</b:First>
          </b:Person>
          <b:Person>
            <b:Last>Wit</b:Last>
            <b:First>E.</b:First>
            <b:Middle>C.</b:Middle>
          </b:Person>
        </b:NameList>
      </b:Author>
    </b:Author>
    <b:Title>Relational event modelling</b:Title>
    <b:JournalName>Annual Review of Statistics and Its Application</b:JournalName>
    <b:Year>2024</b:Year>
    <b:Volume>11</b:Volume>
    <b:Pages>297-319</b:Pages>
    <b:URL>https://doi.org/10.1146/annurev-statistics-040722-060248</b:URL>
    <b:RefOrder>13</b:RefOrder>
  </b:Source>
  <b:Source>
    <b:Tag>ButMar17</b:Tag>
    <b:SourceType>BookSection</b:SourceType>
    <b:Author>
      <b:Author>
        <b:NameList>
          <b:Person>
            <b:Last>Butts</b:Last>
            <b:First>C.</b:First>
            <b:Middle>T.</b:Middle>
          </b:Person>
          <b:Person>
            <b:Last>Marcum</b:Last>
            <b:First>C.</b:First>
            <b:Middle>S.</b:Middle>
          </b:Person>
        </b:NameList>
      </b:Author>
      <b:Editor>
        <b:NameList>
          <b:Person>
            <b:Last>Pilny</b:Last>
            <b:First>A.</b:First>
          </b:Person>
          <b:Person>
            <b:Last>Poole</b:Last>
            <b:First>M.</b:First>
            <b:Middle>S.</b:Middle>
          </b:Person>
        </b:NameList>
      </b:Editor>
    </b:Author>
    <b:Title>A relational event approach to modelling behavioural dynamics</b:Title>
    <b:BookTitle>Group processes: Data-driven computational approaches</b:BookTitle>
    <b:Year>2017</b:Year>
    <b:Pages>51-92</b:Pages>
    <b:Publisher>Springer</b:Publisher>
    <b:URL>https://doi.org/10.1007/978-3-319-48941-4_4</b:URL>
    <b:RefOrder>3</b:RefOrder>
  </b:Source>
  <b:Source>
    <b:Tag>But08</b:Tag>
    <b:SourceType>JournalArticle</b:SourceType>
    <b:Author>
      <b:Author>
        <b:NameList>
          <b:Person>
            <b:Last>Butts</b:Last>
            <b:First>C.</b:First>
            <b:Middle>T.</b:Middle>
          </b:Person>
        </b:NameList>
      </b:Author>
    </b:Author>
    <b:Title>A relational event framework for social action</b:Title>
    <b:JournalName>Sociological Methodology</b:JournalName>
    <b:Year>2008</b:Year>
    <b:Volume>38</b:Volume>
    <b:Issue>1</b:Issue>
    <b:Pages>155-200</b:Pages>
    <b:URL>https://doi.org/10.1111/j.1467-9531.2008.00203.x</b:URL>
    <b:RefOrder>1</b:RefOrder>
  </b:Source>
  <b:Source>
    <b:Tag>Car05</b:Tag>
    <b:SourceType>Book</b:SourceType>
    <b:Author>
      <b:Editor>
        <b:NameList>
          <b:Person>
            <b:Last>Carrington</b:Last>
            <b:First>P.</b:First>
            <b:Middle>J.</b:Middle>
          </b:Person>
          <b:Person>
            <b:Last>Scott</b:Last>
            <b:First>J.</b:First>
          </b:Person>
          <b:Person>
            <b:Last>Wasserman</b:Last>
            <b:First>S.</b:First>
          </b:Person>
        </b:NameList>
      </b:Editor>
    </b:Author>
    <b:Title>Models and methods in social network analysis</b:Title>
    <b:Year>2005</b:Year>
    <b:Publisher>Cambridge University Press</b:Publisher>
    <b:URL>https://doi.org/10.1017/cbo9780511811395</b:URL>
    <b:RefOrder>9</b:RefOrder>
  </b:Source>
  <b:Source>
    <b:Tag>Gau18</b:Tag>
    <b:SourceType>Misc</b:SourceType>
    <b:Author>
      <b:Author>
        <b:NameList>
          <b:Person>
            <b:Last>Gauvin</b:Last>
            <b:First>L.</b:First>
          </b:Person>
          <b:Person>
            <b:Last>Génois</b:Last>
            <b:First>M.</b:First>
          </b:Person>
          <b:Person>
            <b:Last>Karsai</b:Last>
            <b:First>M.</b:First>
          </b:Person>
          <b:Person>
            <b:Last>Kivelä</b:Last>
            <b:First>M.</b:First>
          </b:Person>
          <b:Person>
            <b:Last>Takaguchi</b:Last>
            <b:First>T.</b:First>
          </b:Person>
          <b:Person>
            <b:Last>Valdano</b:Last>
            <b:First>E.</b:First>
          </b:Person>
          <b:Person>
            <b:Last>Vestergaard</b:Last>
            <b:First>C.</b:First>
            <b:Middle>L.</b:Middle>
          </b:Person>
        </b:NameList>
      </b:Author>
    </b:Author>
    <b:Title>Randomized reference models for temporal networks</b:Title>
    <b:Year>2018</b:Year>
    <b:Publisher>HAL preprint hal-01817633v1; arXiv:1806.04032v1</b:Publisher>
    <b:URL>https://hal.science/hal-01817633v1</b:URL>
    <b:RefOrder>19</b:RefOrder>
  </b:Source>
  <b:Source>
    <b:Tag>Gib03</b:Tag>
    <b:SourceType>JournalArticle</b:SourceType>
    <b:Author>
      <b:Author>
        <b:NameList>
          <b:Person>
            <b:Last>Gibson</b:Last>
            <b:First>D.</b:First>
            <b:Middle>R.</b:Middle>
          </b:Person>
        </b:NameList>
      </b:Author>
    </b:Author>
    <b:Title>Participation shifts: Order and differentiation in group conversation</b:Title>
    <b:JournalName>Social Forces</b:JournalName>
    <b:Year>2003</b:Year>
    <b:Volume>81</b:Volume>
    <b:Issue>4</b:Issue>
    <b:Pages>1335-1381</b:Pages>
    <b:URL>https://doi.org/10.1353/sof.2003.0055</b:URL>
    <b:RefOrder>12</b:RefOrder>
  </b:Source>
  <b:Source>
    <b:Tag>Lak25</b:Tag>
    <b:SourceType>JournalArticle</b:SourceType>
    <b:Author>
      <b:Author>
        <b:NameList>
          <b:Person>
            <b:Last>Lakdawala</b:Last>
            <b:First>R.</b:First>
          </b:Person>
          <b:Person>
            <b:Last>Mulder</b:Last>
            <b:First>J.</b:First>
          </b:Person>
          <b:Person>
            <b:Last>Leenders</b:Last>
            <b:First>R.</b:First>
          </b:Person>
        </b:NameList>
      </b:Author>
    </b:Author>
    <b:Title>Simulating relational event history data: Why and how</b:Title>
    <b:JournalName>Journal of Computational Social Science</b:JournalName>
    <b:Year>2025</b:Year>
    <b:Volume>8</b:Volume>
    <b:Pages>92</b:Pages>
    <b:URL>https://doi.org/10.1007/s42001-025-00427-2</b:URL>
    <b:RefOrder>11</b:RefOrder>
  </b:Source>
  <b:Source>
    <b:Tag>Laz09</b:Tag>
    <b:SourceType>JournalArticle</b:SourceType>
    <b:Author>
      <b:Author>
        <b:NameList>
          <b:Person>
            <b:Last>Lazer</b:Last>
            <b:First>D.</b:First>
          </b:Person>
          <b:Person>
            <b:Last>Pentland</b:Last>
            <b:First>A.</b:First>
          </b:Person>
          <b:Person>
            <b:Last>Adamic</b:Last>
            <b:First>L.</b:First>
          </b:Person>
          <b:Person>
            <b:Last>Aral</b:Last>
            <b:First>S.</b:First>
          </b:Person>
          <b:Person>
            <b:Last>Barabási</b:Last>
            <b:First>A.-L.</b:First>
          </b:Person>
          <b:Person>
            <b:Last>Brewer</b:Last>
            <b:First>D.</b:First>
          </b:Person>
          <b:Person>
            <b:Last>Christakis</b:Last>
            <b:First>N.</b:First>
          </b:Person>
          <b:Person>
            <b:Last>Contractor</b:Last>
            <b:First>N.</b:First>
          </b:Person>
          <b:Person>
            <b:Last>Fowler</b:Last>
            <b:First>J.</b:First>
          </b:Person>
          <b:Person>
            <b:Last>Gutmann</b:Last>
            <b:First>M.</b:First>
          </b:Person>
          <b:Person>
            <b:Last>Jebara</b:Last>
            <b:First>T.</b:First>
          </b:Person>
          <b:Person>
            <b:Last>King</b:Last>
            <b:First>G.</b:First>
          </b:Person>
          <b:Person>
            <b:Last>Macy</b:Last>
            <b:First>M.</b:First>
          </b:Person>
          <b:Person>
            <b:Last>Roy</b:Last>
            <b:First>D.</b:First>
          </b:Person>
          <b:Person>
            <b:Last>Van Alstyne</b:Last>
            <b:First>M.</b:First>
          </b:Person>
        </b:NameList>
      </b:Author>
    </b:Author>
    <b:Title>Computational social science</b:Title>
    <b:JournalName>Science</b:JournalName>
    <b:Year>2009</b:Year>
    <b:Volume>323</b:Volume>
    <b:Issue>5915</b:Issue>
    <b:Pages>721-723</b:Pages>
    <b:URL>https://doi.org/10.1126/science.1167742</b:URL>
    <b:RefOrder>4</b:RefOrder>
  </b:Source>
  <b:Source>
    <b:Tag>Ler23</b:Tag>
    <b:SourceType>JournalArticle</b:SourceType>
    <b:Author>
      <b:Author>
        <b:NameList>
          <b:Person>
            <b:Last>Lerner</b:Last>
            <b:First>J.</b:First>
          </b:Person>
          <b:Person>
            <b:Last>Lomi</b:Last>
            <b:First>A.</b:First>
          </b:Person>
        </b:NameList>
      </b:Author>
    </b:Author>
    <b:Title>Relational hyperevent models for polyadic interaction networks</b:Title>
    <b:JournalName>Journal of the Royal Statistical Society Series A: Statistics in Society</b:JournalName>
    <b:Year>2023</b:Year>
    <b:Volume>186</b:Volume>
    <b:Issue>3</b:Issue>
    <b:Pages>577-600</b:Pages>
    <b:URL>https://doi.org/10.1093/jrsssa/qnac012</b:URL>
    <b:RefOrder>6</b:RefOrder>
  </b:Source>
  <b:Source>
    <b:Tag>Ler20</b:Tag>
    <b:SourceType>JournalArticle</b:SourceType>
    <b:Author>
      <b:Author>
        <b:NameList>
          <b:Person>
            <b:Last>Lerner</b:Last>
            <b:First>J.</b:First>
          </b:Person>
          <b:Person>
            <b:Last>Lomi</b:Last>
            <b:First>A.</b:First>
          </b:Person>
        </b:NameList>
      </b:Author>
    </b:Author>
    <b:Title>Reliability of relational event model estimates under sampling: How to fit a relational event model to 360 million dyadic events</b:Title>
    <b:JournalName>Network Science</b:JournalName>
    <b:Year>2020</b:Year>
    <b:Volume>8</b:Volume>
    <b:Issue>1</b:Issue>
    <b:Pages>97-135</b:Pages>
    <b:URL>https://doi.org/10.1017/nws.2019.57</b:URL>
    <b:RefOrder>5</b:RefOrder>
  </b:Source>
  <b:Source>
    <b:Tag>Lon24</b:Tag>
    <b:SourceType>JournalArticle</b:SourceType>
    <b:Author>
      <b:Author>
        <b:NameList>
          <b:Person>
            <b:Last>Longa</b:Last>
            <b:First>A.</b:First>
          </b:Person>
          <b:Person>
            <b:Last>Cencetti</b:Last>
            <b:First>G.</b:First>
          </b:Person>
          <b:Person>
            <b:Last>Lehmann</b:Last>
            <b:First>S.</b:First>
          </b:Person>
          <b:Person>
            <b:Last>Passerini</b:Last>
            <b:First>A.</b:First>
          </b:Person>
          <b:Person>
            <b:Last>Lepri</b:Last>
            <b:First>B.</b:First>
          </b:Person>
        </b:NameList>
      </b:Author>
    </b:Author>
    <b:Title>Generating fine-grained surrogate temporal networks</b:Title>
    <b:JournalName>Communications Physics</b:JournalName>
    <b:Year>2024</b:Year>
    <b:Volume>7</b:Volume>
    <b:Pages>22</b:Pages>
    <b:URL>https://doi.org/10.1038/s42005-023-01517-1</b:URL>
    <b:RefOrder>20</b:RefOrder>
  </b:Source>
  <b:Source>
    <b:Tag>MarBut15</b:Tag>
    <b:SourceType>JournalArticle</b:SourceType>
    <b:Author>
      <b:Author>
        <b:NameList>
          <b:Person>
            <b:Last>Marcum</b:Last>
            <b:First>C.</b:First>
            <b:Middle>S.</b:Middle>
          </b:Person>
          <b:Person>
            <b:Last>Butts</b:Last>
            <b:First>C.</b:First>
            <b:Middle>T.</b:Middle>
          </b:Person>
        </b:NameList>
      </b:Author>
    </b:Author>
    <b:Title>Constructing and modifying sequence statistics for relevent using informR</b:Title>
    <b:JournalName>Journal of Statistical Software</b:JournalName>
    <b:Year>2015</b:Year>
    <b:Volume>64</b:Volume>
    <b:Issue>5</b:Issue>
    <b:URL>https://doi.org/10.18637/jss.v064.i05</b:URL>
    <b:RefOrder>10</b:RefOrder>
  </b:Source>
  <b:Source>
    <b:Tag>MeiBac22</b:Tag>
    <b:SourceType>JournalArticle</b:SourceType>
    <b:Author>
      <b:Author>
        <b:NameList>
          <b:Person>
            <b:Last>Meijerink-Bosman</b:Last>
            <b:First>M.</b:First>
          </b:Person>
          <b:Person>
            <b:Last>Back</b:Last>
            <b:First>M.</b:First>
          </b:Person>
          <b:Person>
            <b:Last>Geukes</b:Last>
            <b:First>K.</b:First>
          </b:Person>
          <b:Person>
            <b:Last>Leenders</b:Last>
            <b:First>R.</b:First>
          </b:Person>
          <b:Person>
            <b:Last>Mulder</b:Last>
            <b:First>J.</b:First>
          </b:Person>
        </b:NameList>
      </b:Author>
    </b:Author>
    <b:Title>Discovering trends of social interaction behaviour over time: An introduction to relational event modelling</b:Title>
    <b:JournalName>Behavior Research Methods</b:JournalName>
    <b:Year>2022</b:Year>
    <b:Volume>55</b:Volume>
    <b:Pages>997-1023</b:Pages>
    <b:URL>https://doi.org/10.3758/s13428-022-01821-8</b:URL>
    <b:RefOrder>14</b:RefOrder>
  </b:Source>
  <b:Source>
    <b:Tag>MeiLee22</b:Tag>
    <b:SourceType>JournalArticle</b:SourceType>
    <b:Author>
      <b:Author>
        <b:NameList>
          <b:Person>
            <b:Last>Meijerink-Bosman</b:Last>
            <b:First>M.</b:First>
          </b:Person>
          <b:Person>
            <b:Last>Leenders</b:Last>
            <b:First>R.</b:First>
          </b:Person>
          <b:Person>
            <b:Last>Mulder</b:Last>
            <b:First>J.</b:First>
          </b:Person>
        </b:NameList>
      </b:Author>
    </b:Author>
    <b:Title>Dynamic relational event modelling: Testing, exploring, and applying</b:Title>
    <b:JournalName>PLOS ONE</b:JournalName>
    <b:Year>2022</b:Year>
    <b:Volume>17</b:Volume>
    <b:Issue>8</b:Issue>
    <b:Pages>e0272309</b:Pages>
    <b:URL>https://doi.org/10.1371/journal.pone.0272309</b:URL>
    <b:RefOrder>17</b:RefOrder>
  </b:Source>
  <b:Source>
    <b:Tag>Mei23remstats</b:Tag>
    <b:SourceType>Misc</b:SourceType>
    <b:Author>
      <b:Author>
        <b:NameList>
          <b:Person>
            <b:Last>Meijerink-Bosman</b:Last>
            <b:First>M.</b:First>
          </b:Person>
          <b:Person>
            <b:Last>Arena</b:Last>
            <b:First>G.</b:First>
          </b:Person>
          <b:Person>
            <b:Last>Karimova</b:Last>
            <b:First>D.</b:First>
          </b:Person>
          <b:Person>
            <b:Last>Lakdawala</b:Last>
            <b:First>R.</b:First>
          </b:Person>
          <b:Person>
            <b:Last>Shafiee Kamalabad</b:Last>
            <b:First>M.</b:First>
          </b:Person>
          <b:Person>
            <b:Last>Generoso Vieira</b:Last>
            <b:First>F.</b:First>
          </b:Person>
        </b:NameList>
      </b:Author>
    </b:Author>
    <b:Title>remstats: Computes statistics for relational event history data (R package)</b:Title>
    <b:Year>2023</b:Year>
    <b:Publisher>R package</b:Publisher>
    <b:URL>https://rdrr.io/github/TilburgNetworkGroup/remstats/</b:URL>
    <b:RefOrder>16</b:RefOrder>
  </b:Source>
  <b:Source>
    <b:Tag>MulHof24</b:Tag>
    <b:SourceType>Misc</b:SourceType>
    <b:Author>
      <b:Author>
        <b:NameList>
          <b:Person>
            <b:Last>Mulder</b:Last>
            <b:First>J.</b:First>
          </b:Person>
          <b:Person>
            <b:Last>Hoff</b:Last>
            <b:First>P.</b:First>
            <b:Middle>D.</b:Middle>
          </b:Person>
        </b:NameList>
      </b:Author>
    </b:Author>
    <b:Title>A latent variable approach for modelling relational data with multiple receivers</b:Title>
    <b:Year>2024</b:Year>
    <b:Publisher>Manuscript, arXiv:2101.05135v3 [stat.ME]</b:Publisher>
    <b:RefOrder>15</b:RefOrder>
  </b:Source>
  <b:Source>
    <b:Tag>MulLee19</b:Tag>
    <b:SourceType>JournalArticle</b:SourceType>
    <b:Author>
      <b:Author>
        <b:NameList>
          <b:Person>
            <b:Last>Mulder</b:Last>
            <b:First>J.</b:First>
          </b:Person>
          <b:Person>
            <b:Last>Leenders</b:Last>
            <b:First>R.</b:First>
            <b:Middle>T. A. J.</b:Middle>
          </b:Person>
        </b:NameList>
      </b:Author>
    </b:Author>
    <b:Title>Modeling the evolution of interaction behaviour in social networks: A dynamic relational event approach for real-time analysis</b:Title>
    <b:JournalName>Chaos, Solitons and Fractals</b:JournalName>
    <b:Year>2019</b:Year>
    <b:Volume>119</b:Volume>
    <b:Pages>73-85</b:Pages>
    <b:URL>https://doi.org/10.1016/j.chaos.2018.11.027</b:URL>
    <b:RefOrder>18</b:RefOrder>
  </b:Source>
  <b:Source>
    <b:Tag>New18</b:Tag>
    <b:SourceType>Book</b:SourceType>
    <b:Author>
      <b:Author>
        <b:NameList>
          <b:Person>
            <b:Last>Newman</b:Last>
            <b:First>M.</b:First>
            <b:Middle>E. J.</b:Middle>
          </b:Person>
        </b:NameList>
      </b:Author>
    </b:Author>
    <b:Title>Networks</b:Title>
    <b:Year>2018</b:Year>
    <b:Edition>2nd</b:Edition>
    <b:Publisher>Oxford University Press</b:Publisher>
    <b:URL>https://doi.org/10.1093/oso/9780198805090.001.0001</b:URL>
    <b:RefOrder>2</b:RefOrder>
  </b:Source>
  <b:Source>
    <b:Tag>Sni01</b:Tag>
    <b:SourceType>JournalArticle</b:SourceType>
    <b:Author>
      <b:Author>
        <b:NameList>
          <b:Person>
            <b:Last>Snijders</b:Last>
            <b:First>T.</b:First>
            <b:Middle>A. B.</b:Middle>
          </b:Person>
        </b:NameList>
      </b:Author>
    </b:Author>
    <b:Title>The statistical evaluation of social network dynamics</b:Title>
    <b:JournalName>Sociological Methodology</b:JournalName>
    <b:Year>2001</b:Year>
    <b:Volume>31</b:Volume>
    <b:Issue>1</b:Issue>
    <b:Pages>361-395</b:Pages>
    <b:URL>https://doi.org/10.1111/0081-1750.00099</b:URL>
    <b:RefOrder>8</b:RefOrder>
  </b:Source>
  <b:Source>
    <b:Tag>The23survival</b:Tag>
    <b:SourceType>Misc</b:SourceType>
    <b:Author>
      <b:Author>
        <b:NameList>
          <b:Person>
            <b:Last>Therneau</b:Last>
            <b:First>T.</b:First>
          </b:Person>
        </b:NameList>
      </b:Author>
    </b:Author>
    <b:Title>A package for survival analysis in R (R package version 3.5-5)</b:Title>
    <b:Year>2023</b:Year>
    <b:Publisher>R package</b:Publisher>
    <b:URL>https://CRAN.R-project.org/package=survival</b:URL>
    <b:RefOrder>23</b:RefOrder>
  </b:Source>
  <b:Source>
    <b:Tag>WasFau94</b:Tag>
    <b:SourceType>Book</b:SourceType>
    <b:Author>
      <b:Author>
        <b:NameList>
          <b:Person>
            <b:Last>Wasserman</b:Last>
            <b:First>S.</b:First>
          </b:Person>
          <b:Person>
            <b:Last>Faust</b:Last>
            <b:First>K.</b:First>
          </b:Person>
        </b:NameList>
      </b:Author>
    </b:Author>
    <b:Title>Social network analysis: Methods and applications</b:Title>
    <b:Year>1994</b:Year>
    <b:Publisher>Cambridge University Press</b:Publisher>
    <b:RefOrder>7</b:RefOrder>
  </b:Source>
</b:Sources>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A073D487-673A-4C2A-ADC1-F0734AE1848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28</Pages>
  <Words>11147</Words>
  <Characters>63542</Characters>
  <Application>Microsoft Office Word</Application>
  <DocSecurity>0</DocSecurity>
  <Lines>529</Lines>
  <Paragraphs>149</Paragraphs>
  <ScaleCrop>false</ScaleCrop>
  <HeadingPairs>
    <vt:vector size="2" baseType="variant">
      <vt:variant>
        <vt:lpstr>Title</vt:lpstr>
      </vt:variant>
      <vt:variant>
        <vt:i4>1</vt:i4>
      </vt:variant>
    </vt:vector>
  </HeadingPairs>
  <TitlesOfParts>
    <vt:vector size="1" baseType="lpstr">
      <vt:lpstr>When Is Dyadic Transformation Safe? A Threshold for Relational Event Models with Multi-Receiver Events</vt:lpstr>
    </vt:vector>
  </TitlesOfParts>
  <Company>Utrecht University - MSc Applied Data Science</Company>
  <LinksUpToDate>false</LinksUpToDate>
  <CharactersWithSpaces>74540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When Is Dyadic Transformation Reliable? A Threshold for Relational Event Models with Multi-Receiver Events</dc:title>
  <dc:subject>Supervisors: Mahdi Shafiee Kamalabad, Myrthe Prins</dc:subject>
  <dc:creator>Gabriel Silva Cheinquer - 4266390</dc:creator>
  <cp:keywords/>
  <dc:description/>
  <cp:lastModifiedBy>Silva Cheinquer, G. (Gabriel)</cp:lastModifiedBy>
  <cp:revision>3</cp:revision>
  <cp:lastPrinted>2026-06-29T13:57:00Z</cp:lastPrinted>
  <dcterms:created xsi:type="dcterms:W3CDTF">2026-06-29T13:56:00Z</dcterms:created>
  <dcterms:modified xsi:type="dcterms:W3CDTF">2026-06-29T14:00:00Z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output">
    <vt:lpwstr/>
  </property>
</Properties>
</file>