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44"/>
          <w:szCs w:val="44"/>
        </w:rPr>
        <w:t xml:space="preserve">RELATÓRIO TÉCNICO</w:t>
      </w:r>
    </w:p>
    <w:p>
      <w:pPr>
        <w:spacing w:after="200" w:before="200"/>
        <w:jc w:val="center"/>
      </w:pPr>
      <w:r>
        <w:rPr>
          <w:b/>
          <w:bCs/>
          <w:sz w:val="32"/>
          <w:szCs w:val="32"/>
        </w:rPr>
        <w:t xml:space="preserve">Sistema de Diagnóstico Médico Baseado em Casos</w:t>
      </w:r>
    </w:p>
    <w:p>
      <w:pPr>
        <w:spacing w:after="600"/>
        <w:jc w:val="center"/>
      </w:pPr>
      <w:r>
        <w:rPr>
          <w:i/>
          <w:iCs/>
          <w:color w:val="555555"/>
          <w:sz w:val="26"/>
          <w:szCs w:val="26"/>
        </w:rPr>
        <w:t xml:space="preserve">(Case-Based Reasoning — CBR)</w:t>
      </w:r>
    </w:p>
    <w:p>
      <w:pPr>
        <w:spacing w:after="80"/>
        <w:jc w:val="center"/>
      </w:pPr>
      <w:r>
        <w:rPr>
          <w:sz w:val="22"/>
          <w:szCs w:val="22"/>
        </w:rPr>
        <w:t xml:space="preserve">Disciplina: Inteligência Artificial</w:t>
      </w:r>
    </w:p>
    <w:p>
      <w:pPr>
        <w:spacing w:after="80"/>
        <w:jc w:val="center"/>
      </w:pPr>
      <w:r>
        <w:rPr>
          <w:sz w:val="22"/>
          <w:szCs w:val="22"/>
        </w:rPr>
        <w:t xml:space="preserve">Atividade 2.4 — Protótipo Funcional de Sistema Inteligente</w:t>
      </w:r>
    </w:p>
    <w:p>
      <w:pPr>
        <w:spacing w:after="600"/>
        <w:jc w:val="center"/>
      </w:pPr>
      <w:r>
        <w:rPr>
          <w:sz w:val="22"/>
          <w:szCs w:val="22"/>
        </w:rPr>
        <w:t xml:space="preserve">Data: junho de 2026</w:t>
      </w:r>
    </w:p>
    <w:p>
      <w:pPr>
        <w:shd w:fill="FFF3CD" w:val="clear"/>
        <w:spacing w:before="800"/>
        <w:jc w:val="center"/>
      </w:pPr>
      <w:r>
        <w:rPr>
          <w:b/>
          <w:bCs/>
          <w:color w:val="856404"/>
          <w:sz w:val="20"/>
          <w:szCs w:val="20"/>
        </w:rPr>
        <w:t xml:space="preserve">AVISO: este protótipo tem finalidade exclusivamente educacional, para fins de estudo da técnica de Raciocínio Baseado em Casos (CBR). Não deve ser utilizado como ferramenta real de diagnóstico médico. Todos os casos da base são fictícios.</w:t>
      </w:r>
    </w:p>
    <w:p>
      <w:pPr>
        <w:pageBreakBefore/>
      </w:pPr>
    </w:p>
    <w:p>
      <w:pPr>
        <w:pStyle w:val="Heading1"/>
      </w:pPr>
      <w:r>
        <w:t xml:space="preserve">1. Introdução</w:t>
      </w:r>
    </w:p>
    <w:p>
      <w:pPr>
        <w:spacing w:after="160"/>
      </w:pPr>
      <w:r>
        <w:t xml:space="preserve">Este relatório descreve o desenvolvimento de um protótipo funcional de sistema inteligente de apoio ao diagnóstico médico, fundamentado na técnica de Raciocínio Baseado em Casos (Case-Based Reasoning – CBR). O CBR é um paradigma de Inteligência Artificial que resolve novos problemas a partir da reutilização e adaptação de soluções aplicadas a problemas semelhantes resolvidos no passado, dispensando a construção explícita de uma base de regras como ocorre em sistemas especialistas tradicionais.</w:t>
      </w:r>
    </w:p>
    <w:p>
      <w:pPr>
        <w:spacing w:after="160"/>
      </w:pPr>
      <w:r>
        <w:t xml:space="preserve">O protótipo implementa as quatro etapas clássicas do ciclo de CBR descrito por Aamodt e Plaza (1994): Recuperação (Retrieve), Reutilização (Reuse), Revisão (Revise) e Retenção (Retain). O sistema recebe como entrada os sintomas relatados por um paciente fictício, recupera os casos mais semelhantes de uma base de conhecimento, propõe um diagnóstico e tratamento, permite a validação humana do resultado e, por fim, retém o novo caso na base, possibilitando aprendizado incremental.</w:t>
      </w:r>
    </w:p>
    <w:p>
      <w:pPr>
        <w:spacing w:after="160"/>
      </w:pPr>
      <w:r>
        <w:t xml:space="preserve">Reforça-se que este sistema possui finalidade exclusivamente didática. A base de casos é inteiramente fictícia e não deve, em hipótese alguma, ser usada para apoiar decisões clínicas reais.</w:t>
      </w:r>
    </w:p>
    <w:p>
      <w:pPr>
        <w:pStyle w:val="Heading1"/>
      </w:pPr>
      <w:r>
        <w:t xml:space="preserve">2. Descrição da Base de Casos</w:t>
      </w:r>
    </w:p>
    <w:p>
      <w:pPr>
        <w:spacing w:after="160"/>
      </w:pPr>
      <w:r>
        <w:t xml:space="preserve">A base de conhecimento inicial é composta por 20 casos médicos fictícios, distribuídos entre 8 doenças distintas (superando os requisitos mínimos de 15 casos e 5 doenças), de modo a permitir comparações de similaridade relevantes entre casos de uma mesma doença e entre doenças diferentes com sintomas parcialmente sobrepostos (por exemplo, Gripe e COVID-19, ou Resfriado Comum e Sinusite).</w:t>
      </w:r>
    </w:p>
    <w:p>
      <w:pPr>
        <w:pStyle w:val="Heading2"/>
      </w:pPr>
      <w:r>
        <w:t xml:space="preserve">2.1 Doenças contempladas</w:t>
      </w:r>
    </w:p>
    <w:p>
      <w:pPr>
        <w:pStyle w:val="ListParagraph"/>
        <w:numPr>
          <w:ilvl w:val="0"/>
          <w:numId w:val="2"/>
        </w:numPr>
        <w:spacing w:after="80"/>
      </w:pPr>
      <w:r>
        <w:t xml:space="preserve">Gripe (Influenza) — 3 casos</w:t>
      </w:r>
    </w:p>
    <w:p>
      <w:pPr>
        <w:pStyle w:val="ListParagraph"/>
        <w:numPr>
          <w:ilvl w:val="0"/>
          <w:numId w:val="2"/>
        </w:numPr>
        <w:spacing w:after="80"/>
      </w:pPr>
      <w:r>
        <w:t xml:space="preserve">Resfriado Comum — 3 casos</w:t>
      </w:r>
    </w:p>
    <w:p>
      <w:pPr>
        <w:pStyle w:val="ListParagraph"/>
        <w:numPr>
          <w:ilvl w:val="0"/>
          <w:numId w:val="2"/>
        </w:numPr>
        <w:spacing w:after="80"/>
      </w:pPr>
      <w:r>
        <w:t xml:space="preserve">Dengue — 3 casos</w:t>
      </w:r>
    </w:p>
    <w:p>
      <w:pPr>
        <w:pStyle w:val="ListParagraph"/>
        <w:numPr>
          <w:ilvl w:val="0"/>
          <w:numId w:val="2"/>
        </w:numPr>
        <w:spacing w:after="80"/>
      </w:pPr>
      <w:r>
        <w:t xml:space="preserve">COVID-19 — 3 casos</w:t>
      </w:r>
    </w:p>
    <w:p>
      <w:pPr>
        <w:pStyle w:val="ListParagraph"/>
        <w:numPr>
          <w:ilvl w:val="0"/>
          <w:numId w:val="2"/>
        </w:numPr>
        <w:spacing w:after="80"/>
      </w:pPr>
      <w:r>
        <w:t xml:space="preserve">Enxaqueca (Migrânea) — 3 casos</w:t>
      </w:r>
    </w:p>
    <w:p>
      <w:pPr>
        <w:pStyle w:val="ListParagraph"/>
        <w:numPr>
          <w:ilvl w:val="0"/>
          <w:numId w:val="2"/>
        </w:numPr>
        <w:spacing w:after="80"/>
      </w:pPr>
      <w:r>
        <w:t xml:space="preserve">Gastroenterite — 2 casos</w:t>
      </w:r>
    </w:p>
    <w:p>
      <w:pPr>
        <w:pStyle w:val="ListParagraph"/>
        <w:numPr>
          <w:ilvl w:val="0"/>
          <w:numId w:val="2"/>
        </w:numPr>
        <w:spacing w:after="80"/>
      </w:pPr>
      <w:r>
        <w:t xml:space="preserve">Sinusite — 2 casos</w:t>
      </w:r>
    </w:p>
    <w:p>
      <w:pPr>
        <w:pStyle w:val="ListParagraph"/>
        <w:numPr>
          <w:ilvl w:val="0"/>
          <w:numId w:val="2"/>
        </w:numPr>
        <w:spacing w:after="80"/>
      </w:pPr>
      <w:r>
        <w:t xml:space="preserve">Faringoamigdalite — 1 caso</w:t>
      </w:r>
    </w:p>
    <w:p>
      <w:pPr>
        <w:spacing w:after="160"/>
      </w:pPr>
      <w:r>
        <w:t xml:space="preserve">A tabela a seguir apresenta a totalidade dos 20 casos iniciais da base, com seus respectivos atributos de problema (sintomas, faixa etária e duração) e o diagnóstico associado.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100"/>
        <w:gridCol w:w="1100"/>
        <w:gridCol w:w="4160"/>
      </w:tblGrid>
      <w:tr>
        <w:trPr>
          <w:tblHeader/>
        </w:trPr>
        <w:tc>
          <w:tcPr>
            <w:tcW w:type="dxa" w:w="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center"/>
            </w:pPr>
            <w:r>
              <w:rPr>
                <w:b/>
                <w:bCs/>
                <w:sz w:val="20"/>
                <w:szCs w:val="20"/>
              </w:rPr>
              <w:t xml:space="preserve">ID</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Diagnóstico</w:t>
            </w:r>
          </w:p>
        </w:tc>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center"/>
            </w:pPr>
            <w:r>
              <w:rPr>
                <w:b/>
                <w:bCs/>
                <w:sz w:val="20"/>
                <w:szCs w:val="20"/>
              </w:rPr>
              <w:t xml:space="preserve">Idade</w:t>
            </w:r>
          </w:p>
        </w:tc>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center"/>
            </w:pPr>
            <w:r>
              <w:rPr>
                <w:b/>
                <w:bCs/>
                <w:sz w:val="20"/>
                <w:szCs w:val="20"/>
              </w:rPr>
              <w:t xml:space="preserve">Duração</w:t>
            </w:r>
          </w:p>
        </w:tc>
        <w:tc>
          <w:tcPr>
            <w:tcW w:type="dxa" w:w="41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Sintomas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Gripe (Influenza)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febre, calafrios, dor_de_cabeca, dor_muscular, tosse_seca, fadiga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Gripe (Influenza)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idoso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1d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febre_alta, calafrios, dor_muscular, fadiga, dor_de_cabeca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Gripe (Influenza)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3d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tosse_seca, dor_de_garganta, febre, dor_muscular, fadiga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Resfriado Comum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coriza, espirros, dor_de_garganta, tosse_leve, congestao_nasal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Resfriado Comum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crianca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1d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coriza, espirros, congestao_nasal, dor_de_cabeca_leve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Resfriado Comum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3d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espirros, congestao_nasal, tosse_leve, mal_estar_leve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Dengue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3d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febre_alta, dor_atras_dos_olhos, dor_muscular, manchas_vermelhas_na_pele, fadiga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Dengue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4d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febre_alta, dor_muscular, dor_atras_dos_olhos, nausea, manchas_vermelhas_na_pele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Dengue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idoso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febre_alta, dor_muscular, nausea, vomito, manchas_vermelhas_na_pele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COVID-19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febre, tosse_seca, perda_de_olfato, perda_de_paladar, fadiga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COVID-19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4d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tosse_seca, fadiga, dor_de_garganta, perda_de_olfato, dor_de_cabeca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COVID-19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idoso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3d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febre, falta_de_ar, tosse_seca, fadiga, dor_muscular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Enxaqueca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1d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dor_de_cabeca_pulsatil, nausea, sensibilidade_a_luz, sensibilidade_a_som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C14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Enxaqueca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1d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dor_de_cabeca_pulsatil, nausea, sensibilidade_a_luz, vomito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Enxaqueca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dor_de_cabeca_pulsatil, sensibilidade_a_som, sensibilidade_a_luz, fadiga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Gastroenterite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diarreia, nausea, vomito, dor_abdominal, febre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Gastroenterite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crianca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1d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diarreia, dor_abdominal, vomito, mal_estar_leve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C18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Sinusite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5d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congestao_nasal, dor_facial, dor_de_cabeca, coriza_espessa, febre_leve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C19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Sinusite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adulto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6d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dor_facial, congestao_nasal, tosse_leve, coriza_espessa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Faringoamigdalite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crianca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dor_de_garganta, febre, dificuldade_para_engolir, ganglios_inchados</w:t>
            </w:r>
          </w:p>
        </w:tc>
      </w:tr>
    </w:tbl>
    <w:p>
      <w:pPr>
        <w:spacing w:after="160"/>
      </w:pPr>
      <w:r>
        <w:t xml:space="preserve"> </w:t>
      </w:r>
    </w:p>
    <w:p>
      <w:pPr>
        <w:spacing w:after="160"/>
      </w:pPr>
      <w:r>
        <w:t xml:space="preserve">Além dos 20 casos iniciais, a base é dinâmica: a cada execução do ciclo CBR em que o usuário opta por reter o caso, um novo registro é adicionado e persistido em arquivo (casos.json), de modo que o sistema acumula experiência ao longo do tempo (etapa de Retenção).</w:t>
      </w:r>
    </w:p>
    <w:p>
      <w:pPr>
        <w:pStyle w:val="Heading1"/>
      </w:pPr>
      <w:r>
        <w:t xml:space="preserve">3. Representação dos Casos</w:t>
      </w:r>
    </w:p>
    <w:p>
      <w:pPr>
        <w:spacing w:after="160"/>
      </w:pPr>
      <w:r>
        <w:t xml:space="preserve">Cada caso é representado por uma estrutura de dados (classe Caso, implementada como dataclass em Python) contendo um componente de Problema, um componente de Solução e um componente de Resultado, conforme o modelo clássico de representação de casos em CBR:</w:t>
      </w:r>
    </w:p>
    <w:p>
      <w:pPr>
        <w:pStyle w:val="Heading2"/>
      </w:pPr>
      <w:r>
        <w:t xml:space="preserve">3.1 Componente de Problema</w:t>
      </w:r>
    </w:p>
    <w:p>
      <w:pPr>
        <w:pStyle w:val="ListParagraph"/>
        <w:numPr>
          <w:ilvl w:val="0"/>
          <w:numId w:val="2"/>
        </w:numPr>
        <w:spacing w:after="80"/>
      </w:pPr>
      <w:r>
        <w:t xml:space="preserve">sintomas: lista de sintomas observados, representados como um vocabulário controlado de termos normalizados (ex.: febre_alta, dor_de_cabeca_pulsatil), o que viabiliza o cálculo de similaridade por conjuntos.</w:t>
      </w:r>
    </w:p>
    <w:p>
      <w:pPr>
        <w:pStyle w:val="ListParagraph"/>
        <w:numPr>
          <w:ilvl w:val="0"/>
          <w:numId w:val="2"/>
        </w:numPr>
        <w:spacing w:after="80"/>
      </w:pPr>
      <w:r>
        <w:t xml:space="preserve">idade_faixa: atributo contextual categórico do paciente (crianca, adulto, idoso).</w:t>
      </w:r>
    </w:p>
    <w:p>
      <w:pPr>
        <w:pStyle w:val="ListParagraph"/>
        <w:numPr>
          <w:ilvl w:val="0"/>
          <w:numId w:val="2"/>
        </w:numPr>
        <w:spacing w:after="80"/>
      </w:pPr>
      <w:r>
        <w:t xml:space="preserve">duracao_dias: atributo contextual numérico indicando há quantos dias os sintomas se manifestaram.</w:t>
      </w:r>
    </w:p>
    <w:p>
      <w:pPr>
        <w:pStyle w:val="Heading2"/>
      </w:pPr>
      <w:r>
        <w:t xml:space="preserve">3.2 Componente de Solução</w:t>
      </w:r>
    </w:p>
    <w:p>
      <w:pPr>
        <w:pStyle w:val="ListParagraph"/>
        <w:numPr>
          <w:ilvl w:val="0"/>
          <w:numId w:val="2"/>
        </w:numPr>
        <w:spacing w:after="80"/>
      </w:pPr>
      <w:r>
        <w:t xml:space="preserve">diagnostico: nome da doença associada ao caso.</w:t>
      </w:r>
    </w:p>
    <w:p>
      <w:pPr>
        <w:pStyle w:val="ListParagraph"/>
        <w:numPr>
          <w:ilvl w:val="0"/>
          <w:numId w:val="2"/>
        </w:numPr>
        <w:spacing w:after="80"/>
      </w:pPr>
      <w:r>
        <w:t xml:space="preserve">tratamento: recomendação de tratamento associada ao diagnóstico.</w:t>
      </w:r>
    </w:p>
    <w:p>
      <w:pPr>
        <w:pStyle w:val="Heading2"/>
      </w:pPr>
      <w:r>
        <w:t xml:space="preserve">3.3 Componente de Resultado</w:t>
      </w:r>
    </w:p>
    <w:p>
      <w:pPr>
        <w:pStyle w:val="ListParagraph"/>
        <w:numPr>
          <w:ilvl w:val="0"/>
          <w:numId w:val="2"/>
        </w:numPr>
        <w:spacing w:after="80"/>
      </w:pPr>
      <w:r>
        <w:t xml:space="preserve">eficaz: indicador booleano de que o tratamento foi considerado adequado no caso histórico.</w:t>
      </w:r>
    </w:p>
    <w:p>
      <w:pPr>
        <w:pStyle w:val="ListParagraph"/>
        <w:numPr>
          <w:ilvl w:val="0"/>
          <w:numId w:val="2"/>
        </w:numPr>
        <w:spacing w:after="80"/>
      </w:pPr>
      <w:r>
        <w:t xml:space="preserve">origem: metadado indicando se o caso pertence à base inicial ou se foi retido a partir de um atendimento ("base_inicial" ou "retido").</w:t>
      </w:r>
    </w:p>
    <w:p>
      <w:pPr>
        <w:spacing w:after="160"/>
      </w:pPr>
      <w:r>
        <w:t xml:space="preserve">Essa estrutura é persistida em formato JSON, o que garante simplicidade, legibilidade e portabilidade da base de conhecimento, sem dependência de bancos de dados externos.</w:t>
      </w:r>
    </w:p>
    <w:p>
      <w:pPr>
        <w:pStyle w:val="Heading1"/>
      </w:pPr>
      <w:r>
        <w:t xml:space="preserve">4. Método de Cálculo de Similaridade</w:t>
      </w:r>
    </w:p>
    <w:p>
      <w:pPr>
        <w:spacing w:after="160"/>
      </w:pPr>
      <w:r>
        <w:t xml:space="preserve">A similaridade global entre uma nova consulta e um caso da base é calculada como uma combinação ponderada de três similaridades locais, uma para cada atributo do componente de Problema:</w:t>
      </w:r>
    </w:p>
    <w:p>
      <w:pPr>
        <w:shd w:fill="F5F5F5" w:val="clear"/>
        <w:spacing w:after="160"/>
        <w:ind w:left="200" w:right="200"/>
      </w:pPr>
      <w:r>
        <w:rPr>
          <w:rFonts w:ascii="Consolas" w:cs="Consolas" w:eastAsia="Consolas" w:hAnsi="Consolas"/>
          <w:sz w:val="18"/>
          <w:szCs w:val="18"/>
        </w:rPr>
        <w:t xml:space="preserve">sim_global(consulta, caso) =</w:t>
      </w:r>
      <w:r>
        <w:rPr>
          <w:rFonts w:ascii="Consolas" w:cs="Consolas" w:eastAsia="Consolas" w:hAnsi="Consolas"/>
          <w:sz w:val="18"/>
          <w:szCs w:val="18"/>
        </w:rPr>
        <w:br/>
        <w:t xml:space="preserve">      0.8 * sim_sintomas(consulta, caso)</w:t>
      </w:r>
      <w:r>
        <w:rPr>
          <w:rFonts w:ascii="Consolas" w:cs="Consolas" w:eastAsia="Consolas" w:hAnsi="Consolas"/>
          <w:sz w:val="18"/>
          <w:szCs w:val="18"/>
        </w:rPr>
        <w:br/>
        <w:t xml:space="preserve">    + 0.1 * sim_idade(consulta, caso)</w:t>
      </w:r>
      <w:r>
        <w:rPr>
          <w:rFonts w:ascii="Consolas" w:cs="Consolas" w:eastAsia="Consolas" w:hAnsi="Consolas"/>
          <w:sz w:val="18"/>
          <w:szCs w:val="18"/>
        </w:rPr>
        <w:br/>
        <w:t xml:space="preserve">    + 0.1 * sim_duracao(consulta, caso)</w:t>
      </w:r>
    </w:p>
    <w:p>
      <w:pPr>
        <w:pStyle w:val="Heading2"/>
      </w:pPr>
      <w:r>
        <w:t xml:space="preserve">4.1 Similaridade de sintomas (Coeficiente de Jaccard)</w:t>
      </w:r>
    </w:p>
    <w:p>
      <w:pPr>
        <w:spacing w:after="160"/>
      </w:pPr>
      <w:r>
        <w:t xml:space="preserve">Os sintomas são tratados como um atributo do tipo conjunto. A similaridade entre o conjunto de sintomas informado na consulta (A) e o conjunto de sintomas do caso armazenado (B) é calculada pelo Coeficiente de Jaccard:</w:t>
      </w:r>
    </w:p>
    <w:p>
      <w:pPr>
        <w:shd w:fill="F5F5F5" w:val="clear"/>
        <w:spacing w:after="160"/>
        <w:ind w:left="200" w:right="200"/>
      </w:pPr>
      <w:r>
        <w:rPr>
          <w:rFonts w:ascii="Consolas" w:cs="Consolas" w:eastAsia="Consolas" w:hAnsi="Consolas"/>
          <w:sz w:val="18"/>
          <w:szCs w:val="18"/>
        </w:rPr>
        <w:t xml:space="preserve">sim_sintomas(A, B) = |A ∩ B| / |A ∪ B|</w:t>
      </w:r>
    </w:p>
    <w:p>
      <w:pPr>
        <w:spacing w:after="160"/>
      </w:pPr>
      <w:r>
        <w:t xml:space="preserve">Esse atributo recebe o maior peso (0,8) por ser o mais discriminante para a tarefa de diagnóstico — dois casos com conjuntos de sintomas muito parecidos tendem a corresponder à mesma condição clínica.</w:t>
      </w:r>
    </w:p>
    <w:p>
      <w:pPr>
        <w:pStyle w:val="Heading2"/>
      </w:pPr>
      <w:r>
        <w:t xml:space="preserve">4.2 Similaridade de faixa etária</w:t>
      </w:r>
    </w:p>
    <w:p>
      <w:pPr>
        <w:spacing w:after="160"/>
      </w:pPr>
      <w:r>
        <w:t xml:space="preserve">Similaridade local categórica simples: retorna 1,0 se a faixa etária da consulta for igual à do caso, e 0,0 caso contrário. Recebe peso 0,1, pois a faixa etária pode influenciar o diagnóstico (por exemplo, gravidade da dengue em idosos), mas não é, isoladamente, discriminante.</w:t>
      </w:r>
    </w:p>
    <w:p>
      <w:pPr>
        <w:pStyle w:val="Heading2"/>
      </w:pPr>
      <w:r>
        <w:t xml:space="preserve">4.3 Similaridade de duração dos sintomas</w:t>
      </w:r>
    </w:p>
    <w:p>
      <w:pPr>
        <w:spacing w:after="160"/>
      </w:pPr>
      <w:r>
        <w:t xml:space="preserve">Similaridade local numérica, calculada pela diferença absoluta normalizada entre a duração relatada na consulta e a duração registrada no caso, em uma escala de até 10 dias:</w:t>
      </w:r>
    </w:p>
    <w:p>
      <w:pPr>
        <w:shd w:fill="F5F5F5" w:val="clear"/>
        <w:spacing w:after="160"/>
        <w:ind w:left="200" w:right="200"/>
      </w:pPr>
      <w:r>
        <w:rPr>
          <w:rFonts w:ascii="Consolas" w:cs="Consolas" w:eastAsia="Consolas" w:hAnsi="Consolas"/>
          <w:sz w:val="18"/>
          <w:szCs w:val="18"/>
        </w:rPr>
        <w:t xml:space="preserve">sim_duracao(a, b) = max(0, 1 − |a − b| / 10)</w:t>
      </w:r>
    </w:p>
    <w:p>
      <w:pPr>
        <w:spacing w:after="160"/>
      </w:pPr>
      <w:r>
        <w:t xml:space="preserve">Recebe peso 0,1, funcionando como um critério de desempate e refinamento entre casos com conjuntos de sintomas semelhantes.</w:t>
      </w:r>
    </w:p>
    <w:p>
      <w:pPr>
        <w:pStyle w:val="Heading2"/>
      </w:pPr>
      <w:r>
        <w:t xml:space="preserve">4.4 Etapa Reuse: votação ponderada</w:t>
      </w:r>
    </w:p>
    <w:p>
      <w:pPr>
        <w:spacing w:after="160"/>
      </w:pPr>
      <w:r>
        <w:t xml:space="preserve">Na etapa de Reutilização, em vez de adotar apenas o diagnóstico do caso mais similar (estratégia do vizinho mais próximo / 1-NN), o sistema realiza uma votação ponderada entre os k casos recuperados (k = 3): cada caso "vota" no seu diagnóstico com peso igual à sua similaridade, e o diagnóstico com maior soma de votos é o sugerido. Essa abordagem (k-NN ponderado) torna a sugestão mais robusta a ruído e permite estimar uma "confiança" da sugestão, calculada como a proporção dos votos do diagnóstico vencedor em relação ao total de votos.</w:t>
      </w:r>
    </w:p>
    <w:p>
      <w:pPr>
        <w:pStyle w:val="Heading1"/>
      </w:pPr>
      <w:r>
        <w:t xml:space="preserve">5. Implementação do Ciclo CBR</w:t>
      </w:r>
    </w:p>
    <w:p>
      <w:pPr>
        <w:pStyle w:val="ListParagraph"/>
        <w:numPr>
          <w:ilvl w:val="0"/>
          <w:numId w:val="2"/>
        </w:numPr>
        <w:spacing w:after="80"/>
      </w:pPr>
      <w:r>
        <w:t xml:space="preserve">Retrieve: percorre toda a base, calcula a similaridade global de cada caso em relação à consulta e retorna os top-3 casos mais similares.</w:t>
      </w:r>
    </w:p>
    <w:p>
      <w:pPr>
        <w:pStyle w:val="ListParagraph"/>
        <w:numPr>
          <w:ilvl w:val="0"/>
          <w:numId w:val="2"/>
        </w:numPr>
        <w:spacing w:after="80"/>
      </w:pPr>
      <w:r>
        <w:t xml:space="preserve">Reuse: aplica a votação ponderada descrita na seção 4.4 para propor diagnóstico, tratamento e nível de confiança.</w:t>
      </w:r>
    </w:p>
    <w:p>
      <w:pPr>
        <w:pStyle w:val="ListParagraph"/>
        <w:numPr>
          <w:ilvl w:val="0"/>
          <w:numId w:val="2"/>
        </w:numPr>
        <w:spacing w:after="80"/>
      </w:pPr>
      <w:r>
        <w:t xml:space="preserve">Revise: apresenta a sugestão ao usuário/avaliador, que pode confirmá-la integralmente ou corrigir o diagnóstico e/ou o tratamento, simulando a validação por um profissional de saúde.</w:t>
      </w:r>
    </w:p>
    <w:p>
      <w:pPr>
        <w:pStyle w:val="ListParagraph"/>
        <w:numPr>
          <w:ilvl w:val="0"/>
          <w:numId w:val="2"/>
        </w:numPr>
        <w:spacing w:after="80"/>
      </w:pPr>
      <w:r>
        <w:t xml:space="preserve">Retain: cria um novo caso a partir da consulta e da solução validada (confirmada ou corrigida) e o adiciona à base de conhecimento, persistindo-o em arquivo JSON para uso em consultas futuras.</w:t>
      </w:r>
    </w:p>
    <w:p>
      <w:pPr>
        <w:pStyle w:val="Heading1"/>
      </w:pPr>
      <w:r>
        <w:t xml:space="preserve">6. Exemplos de Consultas Realizadas</w:t>
      </w:r>
    </w:p>
    <w:p>
      <w:pPr>
        <w:spacing w:after="160"/>
      </w:pPr>
      <w:r>
        <w:t xml:space="preserve">Para validar o protótipo, foram executadas 5 consultas de exemplo por meio do script demo.py, cobrindo diferentes doenças da base e incluindo um caso propositalmente ambíguo entre Gripe e COVID-19, no qual o avaliador corrige a sugestão automática na etapa Revise. A tabela a seguir resume os resultados obtidos (similaridades calculadas pelo sistema, com 3 casas decimais):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900"/>
        <w:gridCol w:w="1700"/>
        <w:gridCol w:w="1360"/>
        <w:gridCol w:w="1000"/>
      </w:tblGrid>
      <w:tr>
        <w:trPr>
          <w:tblHeader/>
        </w:trPr>
        <w:tc>
          <w:tcPr>
            <w:tcW w:type="dxa" w:w="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center"/>
            </w:pPr>
            <w:r>
              <w:rPr>
                <w:b/>
                <w:bCs/>
                <w:sz w:val="20"/>
                <w:szCs w:val="20"/>
              </w:rPr>
              <w:t xml:space="preserve">#</w:t>
            </w:r>
          </w:p>
        </w:tc>
        <w:tc>
          <w:tcPr>
            <w:tcW w:type="dxa" w:w="2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Consulta (entrada)</w:t>
            </w:r>
          </w:p>
        </w:tc>
        <w:tc>
          <w:tcPr>
            <w:tcW w:type="dxa" w:w="1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Top-3 recuperados</w:t>
            </w:r>
          </w:p>
        </w:tc>
        <w:tc>
          <w:tcPr>
            <w:tcW w:type="dxa" w:w="1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Sugestão (Reuse)</w:t>
            </w:r>
          </w:p>
        </w:tc>
        <w:tc>
          <w:tcPr>
            <w:tcW w:type="dxa" w:w="1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Revisão</w:t>
            </w:r>
          </w:p>
        </w:tc>
        <w:tc>
          <w:tcPr>
            <w:tcW w:type="dxa" w:w="1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pPr>
              <w:jc w:val="left"/>
            </w:pPr>
            <w:r>
              <w:rPr>
                <w:b/>
                <w:bCs/>
                <w:sz w:val="20"/>
                <w:szCs w:val="20"/>
              </w:rPr>
              <w:t xml:space="preserve">Diagnóstico final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Adulto, suspeita de Dengue
(febre_alta, dor_atras_dos_olhos, dor_muscular, manchas_vermelhas_na_pele)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C07 (sim=0,840)
C08 (sim=0,830)
C09 (sim=0,490)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Dengue (conf. 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Confirmado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Dengue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Adulto, dor de cabeça pulsátil
(dor_de_cabeca_pulsatil, nausea, sensibilidade_a_luz)</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C13 (sim=0,800)
C14 (sim=0,800)
C15 (sim=0,510)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Enxaqueca (conf. 100%)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Confirmado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18"/>
                <w:szCs w:val="18"/>
              </w:rPr>
              <w:t xml:space="preserve">Enxaqueca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Adulto, caso ambíguo
(febre, tosse_seca, fadiga, dor_muscular)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C03 (sim=0,830)
C01 (sim=0,733)
C12 (sim=0,730)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Gripe (conf. 68,2%)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Corrigido p/ avaliador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COVID-19</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Criança, diarreia e vômito
(diarreia, vomito, dor_abdominal)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C17 (sim=0,800)
C16 (sim=0,570)
C14 (sim=0,233)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Gastroenterite (conf. 85,4%)</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18"/>
                <w:szCs w:val="18"/>
              </w:rPr>
              <w:t xml:space="preserve">Confirmado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18"/>
                <w:szCs w:val="18"/>
              </w:rPr>
              <w:t xml:space="preserve">Gastroenterite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Adulto, dor facial prolongada
(dor_facial, congestao_nasal, coriza_espessa)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C19 (sim=0,800)
C18 (sim=0,670)
C06 (sim=0,303)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Sinusite (conf. 82,9%)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18"/>
                <w:szCs w:val="18"/>
              </w:rPr>
              <w:t xml:space="preserve">Confirmado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Sinusite</w:t>
            </w:r>
          </w:p>
        </w:tc>
      </w:tr>
    </w:tbl>
    <w:p>
      <w:pPr>
        <w:spacing w:after="160"/>
      </w:pPr>
      <w:r>
        <w:t xml:space="preserve"> </w:t>
      </w:r>
    </w:p>
    <w:p>
      <w:pPr>
        <w:spacing w:after="160"/>
      </w:pPr>
      <w:r>
        <w:t xml:space="preserve">Destaque para a Consulta 3: os sintomas informados (febre, tosse seca, fadiga e dor muscular) são compatíveis tanto com Gripe quanto com COVID-19. O sistema recuperou 2 casos de Gripe e 1 de COVID-19 entre os top-3, resultando em uma sugestão de "Gripe" com confiança moderada (68,2%) — sensivelmente mais baixa que as confianças das demais consultas (entre 82,9% e 100%). Esse comportamento ilustra como a métrica de confiança derivada da votação ponderada pode sinalizar casos ambíguos que merecem atenção redobrada do avaliador humano na etapa de Revisão, que neste exemplo optou por corrigir o diagnóstico para COVID-19.</w:t>
      </w:r>
    </w:p>
    <w:p>
      <w:pPr>
        <w:pStyle w:val="Heading1"/>
      </w:pPr>
      <w:r>
        <w:t xml:space="preserve">7. Análise dos Resultados</w:t>
      </w:r>
    </w:p>
    <w:p>
      <w:pPr>
        <w:pStyle w:val="Heading2"/>
      </w:pPr>
      <w:r>
        <w:t xml:space="preserve">7.1 Qualidade da recuperação</w:t>
      </w:r>
    </w:p>
    <w:p>
      <w:pPr>
        <w:spacing w:after="160"/>
      </w:pPr>
      <w:r>
        <w:t xml:space="preserve">Em consultas com sintomas claramente característicos de uma única doença na base (Dengue, Enxaqueca, Gastroenterite e Sinusite), o sistema recuperou corretamente, em primeiro lugar, um caso da doença esperada, com similaridade acima de 0,80 nos quatro exemplos. Isso confirma que o Coeficiente de Jaccard sobre o conjunto de sintomas é uma métrica eficaz para o cenário proposto, especialmente quando combinado com um vocabulário controlado de sintomas.</w:t>
      </w:r>
    </w:p>
    <w:p>
      <w:pPr>
        <w:pStyle w:val="Heading2"/>
      </w:pPr>
      <w:r>
        <w:t xml:space="preserve">7.2 Tratamento de ambiguidade</w:t>
      </w:r>
    </w:p>
    <w:p>
      <w:pPr>
        <w:spacing w:after="160"/>
      </w:pPr>
      <w:r>
        <w:t xml:space="preserve">A Consulta 3 evidenciou a principal limitação esperada do sistema: doenças com apresentação clínica sobreposta (Gripe e COVID-19 compartilham febre, tosse seca, fadiga e dor muscular) podem gerar sugestões incorretas ou de baixa confiança. A etapa de Revisão mostrou-se essencial nesse cenário, permitindo correção humana antes da retenção do caso — o que é consistente com a proposta original do CBR, em que o sistema atua como apoio à decisão e não como substituto do julgamento humano.</w:t>
      </w:r>
    </w:p>
    <w:p>
      <w:pPr>
        <w:pStyle w:val="Heading2"/>
      </w:pPr>
      <w:r>
        <w:t xml:space="preserve">7.3 Aprendizado incremental (retenção)</w:t>
      </w:r>
    </w:p>
    <w:p>
      <w:pPr>
        <w:spacing w:after="160"/>
      </w:pPr>
      <w:r>
        <w:t xml:space="preserve">Como cada consulta executada gera, ao final, um novo caso retido na base (quando confirmado pelo usuário), a base de conhecimento cresce ao longo do uso do sistema. Na execução de demonstração, a base evoluiu de 20 para 25 casos após as 5 consultas. Esse mecanismo aproxima o protótipo do comportamento esperado de um sistema CBR real, no qual a base de conhecimento melhora continuamente com a experiência acumulada.</w:t>
      </w:r>
    </w:p>
    <w:p>
      <w:pPr>
        <w:pStyle w:val="Heading2"/>
      </w:pPr>
      <w:r>
        <w:t xml:space="preserve">7.4 Limitações</w:t>
      </w:r>
    </w:p>
    <w:p>
      <w:pPr>
        <w:pStyle w:val="ListParagraph"/>
        <w:numPr>
          <w:ilvl w:val="0"/>
          <w:numId w:val="2"/>
        </w:numPr>
        <w:spacing w:after="80"/>
      </w:pPr>
      <w:r>
        <w:t xml:space="preserve">A similaridade de sintomas depende de um vocabulário controlado; sinônimos ou erros de digitação não normalizados (ex.: "dor de cabeca" vs. "dor_de_cabeca") reduzem a precisão da comparação.</w:t>
      </w:r>
    </w:p>
    <w:p>
      <w:pPr>
        <w:pStyle w:val="ListParagraph"/>
        <w:numPr>
          <w:ilvl w:val="0"/>
          <w:numId w:val="2"/>
        </w:numPr>
        <w:spacing w:after="80"/>
      </w:pPr>
      <w:r>
        <w:t xml:space="preserve">O sistema não pondera a gravidade/especificidade de sintomas individuais (todos os sintomas têm o mesmo peso dentro do cálculo de Jaccard), o que poderia ser aprimorado com pesos específicos por sintoma.</w:t>
      </w:r>
    </w:p>
    <w:p>
      <w:pPr>
        <w:pStyle w:val="ListParagraph"/>
        <w:numPr>
          <w:ilvl w:val="0"/>
          <w:numId w:val="2"/>
        </w:numPr>
        <w:spacing w:after="80"/>
      </w:pPr>
      <w:r>
        <w:t xml:space="preserve">Por se tratar de um protótipo educacional com base pequena (20 casos iniciais), a robustez estatística das sugestões é limitada; um sistema real exigiria uma base muito maior, validação clínica e mecanismos de auditoria.</w:t>
      </w:r>
    </w:p>
    <w:p>
      <w:pPr>
        <w:pStyle w:val="Heading1"/>
      </w:pPr>
      <w:r>
        <w:t xml:space="preserve">8. Conclusão</w:t>
      </w:r>
    </w:p>
    <w:p>
      <w:pPr>
        <w:spacing w:after="160"/>
      </w:pPr>
      <w:r>
        <w:t xml:space="preserve">O protótipo desenvolvido demonstrou, de forma funcional, a aplicação prática das quatro etapas do ciclo de Raciocínio Baseado em Casos a um cenário de apoio ao diagnóstico médico. A combinação de similaridade de Jaccard sobre sintomas com atributos contextuais (idade e duração), aliada a uma estratégia de votação ponderada entre os casos recuperados, mostrou-se eficaz para os casos de teste elaborados, inclusive sinalizando adequadamente um cenário de ambiguidade diagnóstica por meio da métrica de confiança. A etapa de Revisão humana e o mecanismo de Retenção evidenciam o caráter de aprendizado contínuo característico da técnica de CBR. Reitera-se, por fim, que o sistema tem finalidade exclusivamente educacional e não deve ser utilizado como ferramenta real de apoio a decisões clínicas.</w:t>
      </w:r>
    </w:p>
    <w:p>
      <w:pPr>
        <w:pStyle w:val="Heading1"/>
      </w:pPr>
      <w:r>
        <w:t xml:space="preserve">9. Referência</w:t>
      </w:r>
    </w:p>
    <w:p>
      <w:pPr>
        <w:spacing w:after="160"/>
      </w:pPr>
      <w:r>
        <w:t xml:space="preserve">AAMODT, A.; PLAZA, E. Case-Based Reasoning: Foundational Issues, Methodological Variations, and System Approaches. AI Communications, v. 7, n. 1, p. 39-59, 1994.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Sistema de Diagnóstico Médico Baseado em Casos (CBR)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2026-06-30T19:50:56.325Z</dcterms:created>
  <dcterms:modified xsi:type="dcterms:W3CDTF">2026-06-30T19:50:56.325Z</dcterms:modified>
</cp:coreProperties>
</file>

<file path=docProps/custom.xml><?xml version="1.0" encoding="utf-8"?>
<Properties xmlns="http://schemas.openxmlformats.org/officeDocument/2006/custom-properties" xmlns:vt="http://schemas.openxmlformats.org/officeDocument/2006/docPropsVTypes"/>
</file>