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64"/>
          <w:szCs w:val="64"/>
          <w:rtl w:val="0"/>
        </w:rPr>
        <w:t xml:space="preserve">OPÇÕES B3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74c3c"/>
          <w:sz w:val="40"/>
          <w:szCs w:val="40"/>
          <w:rtl w:val="0"/>
        </w:rPr>
        <w:t xml:space="preserve">v8.2 — ZERO 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Documentação Técnica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74c3c" w:space="1" w:sz="8" w:val="single"/>
        </w:pBd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Plataforma: ProfitChart PRO / Nelogica (NTSL)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1. Filosofia — Silêncio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estratégia OPÇÕES B3 v8.2 foi construída em torno de uma premissa única: o sinal só existe quando o operador institucional confirmar sua presença de forma inequívoca através de TODOS os filtros simultaneamente. Qualquer filtro que falhe produz SILÊNCIO TOTAL na barra — sem cor, sem label, sem ruído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 abordagem é radicalmente diferente da maioria dos indicadores, que colorem barras com base em 1 ou 2 condições. Aqui, 9 condições precisam ser verdadeiras ao mesmo tempo. O resultado prático é uma quantidade muito menor de sinais, porém com uma qualidade estatisticamente muito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f39c12" w:space="8" w:sz="12" w:val="single"/>
        </w:pBdr>
        <w:shd w:fill="fef3cd" w:val="clear"/>
        <w:spacing w:after="1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d4900"/>
          <w:sz w:val="20"/>
          <w:szCs w:val="20"/>
          <w:rtl w:val="0"/>
        </w:rPr>
        <w:t xml:space="preserve">Princípio central: </w:t>
      </w:r>
      <w:r w:rsidDel="00000000" w:rsidR="00000000" w:rsidRPr="00000000">
        <w:rPr>
          <w:rFonts w:ascii="Arial" w:cs="Arial" w:eastAsia="Arial" w:hAnsi="Arial"/>
          <w:color w:val="7d4900"/>
          <w:sz w:val="20"/>
          <w:szCs w:val="20"/>
          <w:rtl w:val="0"/>
        </w:rPr>
        <w:t xml:space="preserve">Um sinal raro e correto vale mais que dez sinais frequentes e ruidosos. A escassez é uma feature, não um bug.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e0e0e0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2. Os 9 Filtros Obrigatórios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Cada barra passa por uma pipeline sequencial de 9 filtros. Se qualquer um falhar, o sinal é descartado imediatamente.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2800"/>
        <w:gridCol w:w="3560"/>
        <w:tblGridChange w:id="0">
          <w:tblGrid>
            <w:gridCol w:w="600"/>
            <w:gridCol w:w="2400"/>
            <w:gridCol w:w="2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Fórmula / 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85ba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HC Candle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1582659340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c0392b"/>
                    <w:sz w:val="18"/>
                    <w:szCs w:val="18"/>
                    <w:rtl w:val="0"/>
                  </w:rPr>
                  <w:t xml:space="preserve">Low ≤ maxHC (CALL)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Garante que o preço tocou a zona do candle institucional de maior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8bc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Threshold dinâmico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-186621544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c0392b"/>
                    <w:sz w:val="18"/>
                    <w:szCs w:val="18"/>
                    <w:rtl w:val="0"/>
                  </w:rPr>
                  <w:t xml:space="preserve">AgrBuy ≥ µ + MultThresh×σ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Autocalibrado por ativo — funciona em PETR4 e small caps sem ajuste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e44a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206398985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Z-Score ≥ 1.0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186820563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c0392b"/>
                    <w:sz w:val="18"/>
                    <w:szCs w:val="18"/>
                    <w:rtl w:val="0"/>
                  </w:rPr>
                  <w:t xml:space="preserve">Z = (AgrBuy − µ) / 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Mede quantos desvios-padrão a agressão atual está acima da média histórica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c348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Momentum 3 barras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AgrBuy[0]&gt;AgrBuy[1]&gt;AgrBuy[2]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Confirma que a agressão está acelerando — não apenas alta, mas crescente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17a6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Volume acima da 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Volume &gt; Media(20) × 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Barra de sinal precisa ter participação real — evita sinais em barras finas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e665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OBV na direção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OBVacum &gt; EMA(OBV)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Fluxo de volume acumulado confirma compressão compradora no histórico recente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Cruzamento 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EMA9 &gt; EMA21 (CALL)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Tendência de curto prazo alinhada com o sinal — evita entrar contra o trend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950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Close &gt; VWAP(0) (CALL)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Preço acima do preço médio ponderado por volume do dia — contexto comprador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04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Regime de vol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(ATR/Close)×100 &lt; 3.5%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Evita entrar em mercados excessivamente voláteis onde o prêmio estaria caro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Bdr>
          <w:bottom w:color="e0e0e0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3. Análise Detalhada — Filtro a Filtro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5ba4"/>
          <w:sz w:val="24"/>
          <w:szCs w:val="24"/>
          <w:rtl w:val="0"/>
        </w:rPr>
        <w:t xml:space="preserve">[1] HC Candle Volume — O Nível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HC (High Candle) é o candle de maior volume na série histórica configurada. Ele representa o ponto onde mais dinheiro mudou de mãos — por definição, o nível onde o maior participante do mercado atuou. Quando o preço retorna a essa zona, há dois cenários possíveis: o institucional defende sua posição (suporte/resistência) ou abandona (rompimento com força).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60" w:lineRule="auto"/>
        <w:rPr/>
      </w:pPr>
      <w:sdt>
        <w:sdtPr>
          <w:id w:val="-156539711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A estratégia exige que o preço TOQUE essa zona (Low ≤ maxHC para CALL), não que a rompa com gap. Isso captura o momento exato de teste do nível, onde a decisão institucional é mais clara.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4f4f4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if (Volume &gt; maiorVol) and (Volume &gt; mediaVol20 * FatorVolumeHC) then maxHC := High; minHC := Low;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bc3"/>
          <w:sz w:val="24"/>
          <w:szCs w:val="24"/>
          <w:rtl w:val="0"/>
        </w:rPr>
        <w:t xml:space="preserve">[2] Threshold Dinâmico — Autocalibração por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threshold não é um valor fixo — é calculado como a média histórica de agressão mais um múltiplo do desvio-padrão. Isso significa que o mesmo código funciona automaticamente em PETR4 (com volumes de bilhões), MGLU3 (volumes moderados) ou qualquer small cap, sem que o operador precise ajustar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4f4f4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threshBuy := mediaAgBuy + MultThresh * dpAgBuy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MultThresh = 1.0 significa threshold = µ + 1σ. Aumentar para 1.5 torna a estratégia mais seletiva (menos sinais, mais raros). Reduzir para 0.5 abre o filtro para momentos de fluxo moderado.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e44ad"/>
          <w:sz w:val="24"/>
          <w:szCs w:val="24"/>
          <w:rtl w:val="0"/>
        </w:rPr>
        <w:t xml:space="preserve">[3] Z-Score — Quantificando o Evento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Z-Score normaliza a agressão em unidades de desvio-padrão. Z = 1.0 significa que a agressão atual está 1 desvio acima da média — evento que ocorre em aproximadamente 16% das barras. Z = 2.0 (limite do Grau A) ocorre em apenas ~2.3% das barras — classificado como evento institucional raro.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71a3"/>
                <w:sz w:val="20"/>
                <w:szCs w:val="20"/>
                <w:rtl w:val="0"/>
              </w:rPr>
              <w:t xml:space="preserve">Z &lt;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sdt>
              <w:sdtPr>
                <w:id w:val="64981608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7d3c98"/>
                    <w:sz w:val="20"/>
                    <w:szCs w:val="20"/>
                    <w:rtl w:val="0"/>
                  </w:rPr>
                  <w:t xml:space="preserve">Z ≥ 1.0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sdt>
              <w:sdtPr>
                <w:id w:val="-214631791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8449"/>
                    <w:sz w:val="20"/>
                    <w:szCs w:val="20"/>
                    <w:rtl w:val="0"/>
                  </w:rPr>
                  <w:t xml:space="preserve">Z ≥ 2.0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c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sdt>
              <w:sdtPr>
                <w:id w:val="152683090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a93226"/>
                    <w:sz w:val="20"/>
                    <w:szCs w:val="20"/>
                    <w:rtl w:val="0"/>
                  </w:rPr>
                  <w:t xml:space="preserve">Z ≥ 3.0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Bloqueado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Grau B — Confirmação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Grau A —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sdt>
              <w:sdtPr>
                <w:id w:val="-43241187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Raro — ≈ 0.1% barras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483"/>
          <w:sz w:val="24"/>
          <w:szCs w:val="24"/>
          <w:rtl w:val="0"/>
        </w:rPr>
        <w:t xml:space="preserve">[4] Momentum de Agressão — 3 Barras Consecutivas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basta a agressão estar alta em uma única barra. É necessário que ela esteja crescendo nas 3 últimas barras consecutivas. Isso filtra spikes isolados — movimentos bruscos de uma única barra que não refletem uma tendência real de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4f4f4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agressMomBuy := (AgrBuy[0] &gt; AgrBuy[1]) and (AgrBuy[1] &gt; AgrBuy[2])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 prática, isso captura o momento em que o institucional está acelerando sua posição — comprando cada vez mais forte ao longo das barras — e não um movimento pontual que pode ser ruído ou alguma ordem isolada.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7a65"/>
          <w:sz w:val="24"/>
          <w:szCs w:val="24"/>
          <w:rtl w:val="0"/>
        </w:rPr>
        <w:t xml:space="preserve">[5] Volume Acima da Média ×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barra do sinal precisa ter pelo menos 20% de volume acima da média das últimas 20 barras. Isso garante que o sinal ocorra em um momento de real participação do mercado — não em uma barra fina de baixa liquidez onde qualquer ordem move o preço.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6655"/>
          <w:sz w:val="24"/>
          <w:szCs w:val="24"/>
          <w:rtl w:val="0"/>
        </w:rPr>
        <w:t xml:space="preserve">[6] OBV — On Balance Volume na Direção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OBV acumulado é comparado com sua própria EMA (período 21, calculada manualmente com kOBV = 2/22). Quando OBVacum &gt; EMA(OBV), o fluxo de volume histórico está sendo direcionado para a compra — mesmo que o preço não tenha subido de forma linear.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 é uma forma de detectar distribuição/acumulação: o OBV captura o volume que foi executado em dias de alta vs dias de baixa, revelando a pressão real do dinheiro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4"/>
          <w:szCs w:val="24"/>
          <w:rtl w:val="0"/>
        </w:rPr>
        <w:t xml:space="preserve">[7] Cruzamento EMA9 × EMA21 — Tendência de Curto Prazo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cruzamento das médias exponenciais de 9 e 21 períodos confirma que a tendência de curto prazo está alinhada com o sinal. Para CALL, EMA9 &gt; EMA21 significa que o preço está em tendência de alta de curto prazo. Para PUT, EMA9 &lt; EMA21.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filtro evita entrar contra a tendência imediata — um dos erros mais comuns em estratégias de opções direcionais.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950b"/>
          <w:sz w:val="24"/>
          <w:szCs w:val="24"/>
          <w:rtl w:val="0"/>
        </w:rPr>
        <w:t xml:space="preserve">[8] VWAP — Price Action vs. Preço Médio Ponderado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VWAP (Volume Weighted Average Price) é o preço médio de todas as transações do dia, ponderado pelo volume de cada operação. Algoritmos institucionais usam o VWAP como benchmark. Operar CALL com Close &lt; VWAP significa lutar contra o fluxo institucional do dia inteiro.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4f4f4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vwapval := VWAP(0)  // índice 0 = barra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4000"/>
          <w:sz w:val="24"/>
          <w:szCs w:val="24"/>
          <w:rtl w:val="0"/>
        </w:rPr>
        <w:t xml:space="preserve">[9] Regime de Volatilidade — Proxy ATR/Close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VolProxy é calculado como (ATR / Close) × 100 — a volatilidade do ativo expressa como percentual do preço. Quando este valor supera 3.5%, o mercado está em regime de volatilidade elevada, onde os prêmios de opções estão caros e os stops precisariam ser maiores para acomodar o ruído.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 regime de alta volatilidade, a estratégia entra em silêncio total — não porque o movimento seja ruim, mas porque as condições de risco/retorno para opções se deterioram significativamente.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e0e0e0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4. Gestão do 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Stop Loss com Buffer Extra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stop inclui um buffer adicional de 10% do ATR além do stop padrão. Isso evita que microoscilações intraday acionem o stop antes do movimento direcional ocorrer.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4f4f4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stopLoss := Close - (MultStop × ATR) - (ATR × 0.10)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Take Profit em Dois Alvos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Ação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TP1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Close + 1.5 × ATR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Fechar 50% da posição em opções. Trailing 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9dfb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20"/>
                <w:szCs w:val="20"/>
                <w:rtl w:val="0"/>
              </w:rPr>
              <w:t xml:space="preserve">TP2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Close + 3.0 × ATR (R:R 2:1)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Fechar 50% restante. Resultado mínimo de 2:1.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Trailing Stop — Protegendo o Lucro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Após atingir TP1, o trailing stop é ativado automaticamente. O stop passa a seguir o preço subindo — sempre a 1 ATR de distância do fechamento atual — garantindo que o trade nunca reverta abaixo do TP1 sem que uma parte do lucro seja protegida.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4f4f4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0392b"/>
          <w:sz w:val="18"/>
          <w:szCs w:val="18"/>
          <w:rtl w:val="0"/>
        </w:rPr>
        <w:t xml:space="preserve">novoTrail := Close - ATR  // se novoTrail &gt; trailStop então trailStop := novoTrail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e0e0e0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5. Sistema de Graus A /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Quando todas as 9 condições passam, o sinal é qualificado por grau com base no Z-Score da agressão: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2600"/>
        <w:gridCol w:w="3640"/>
        <w:tblGridChange w:id="0">
          <w:tblGrid>
            <w:gridCol w:w="1560"/>
            <w:gridCol w:w="1560"/>
            <w:gridCol w:w="2600"/>
            <w:gridCol w:w="3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-876517437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c0392b"/>
                    <w:sz w:val="18"/>
                    <w:szCs w:val="18"/>
                    <w:rtl w:val="0"/>
                  </w:rPr>
                  <w:t xml:space="preserve">Z ≥ 2.0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Label fonte 14 · Verde/Vermelho escuro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Evento institucional raro (~2.3% das barras). Prioridade máxima.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71a3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sdt>
              <w:sdtPr>
                <w:id w:val="-616348340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c0392b"/>
                    <w:sz w:val="18"/>
                    <w:szCs w:val="18"/>
                    <w:rtl w:val="0"/>
                  </w:rPr>
                  <w:t xml:space="preserve">Z ≥ 1.0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Label fonte 10 · Verde/Vermelho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Confirmação sólida. Todas as 9 condições presentes.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Bdr>
          <w:bottom w:color="e0e0e0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6. Parâmetros e Calibração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200"/>
        <w:gridCol w:w="4560"/>
        <w:tblGridChange w:id="0">
          <w:tblGrid>
            <w:gridCol w:w="2400"/>
            <w:gridCol w:w="1200"/>
            <w:gridCol w:w="1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FatorVolumeHC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Volume mínimo para definir o HC (× média de 20 barras)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PeriodoAgress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Lookback para média e desvio-padrão da agressão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MultThresh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Multiplicador do σ para threshold (0.5=suave, 2.0=raro)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PeriodoATR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Período do ATR (Wilder padrão)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MultStop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-150118531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Stop = Close − (MultStop × ATR) − (0.1 × ATR)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MultTP1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TP1 = Close + MultTP1 × ATR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MultTP2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TP2 = Close + MultTP2 × ATR (R:R 2:1)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ZScoreMin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Z-Score mínimo obrigatório para qualquer sinal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ZScoreGrauA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Z-Score para classificação como Grau A (evento raro)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MaxVolProxy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% máximo de volatilidade relativa (ATR/Close ×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FatorVolSinal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Volume da barra deve superar Media(20) × FatorVolSinal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UsarVWAP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Ativar/desativar filtro VWAP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8"/>
                <w:szCs w:val="18"/>
                <w:rtl w:val="0"/>
              </w:rPr>
              <w:t xml:space="preserve">UsarTrailing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Ativar/desativar trailing stop após TP1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Bdr>
          <w:bottom w:color="e0e0e0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7. Como Usar na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Configuração no ProfitChart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62448510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Abra o ProfitChart Pro e vá em Estratégias → Nova Estratégia</w:t>
          </w:r>
        </w:sdtContent>
      </w:sdt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Cole o código NTSL completo e clique em Verificar Sintaxe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Aplique o indicador no gráfico do ativo desejado (PETR4, VALE3, etc.)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o timeframe: diário para swing de 5-15 dias, 60min para 2-5 dias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parâmetros estão inicializados no código — não requerem configuração manual</w:t>
      </w:r>
    </w:p>
    <w:p w:rsidR="00000000" w:rsidDel="00000000" w:rsidP="00000000" w:rsidRDefault="00000000" w:rsidRPr="00000000" w14:paraId="000000B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Como Operar com o Sinal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Aguarde o label 'COMPRE' ou 'VENDA' aparecer — barras sem label são silêncio total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2061940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Grau A (fonte 14): prioridade máxima — Z ≥ 2.0 é evento raro, considere posição maior</w:t>
          </w:r>
        </w:sdtContent>
      </w:sdt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Grau B (fonte 10): sinal sólido com todas as 9 condições confirmadas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72882653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Stop automático já calculado: Close − (1.5 × ATR) − (0.1 × ATR buffer)</w:t>
          </w:r>
        </w:sdtContent>
      </w:sdt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TP1 em +1.5×ATR: realize 50% e deixe o trailing proteger o restante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TP2 em +3.0×ATR: R:R mínimo de 2:1 garantido pela construção do sistema</w:t>
      </w:r>
    </w:p>
    <w:p w:rsidR="00000000" w:rsidDel="00000000" w:rsidP="00000000" w:rsidRDefault="00000000" w:rsidRPr="00000000" w14:paraId="000000C2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Calibração Avançada — MultThresh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0.5 = sensível: mais sinais, maior exposição ao ruído (bom para ativos líquidos)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1.0 = padrão: equilíbrio entre frequência e qualidade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1.5 = seletivo: poucos sinais, alta qualidade (recomendado para small caps)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2.0 = ultra-seletivo: apenas eventos extremamente raros</w:t>
      </w:r>
    </w:p>
    <w:p w:rsidR="00000000" w:rsidDel="00000000" w:rsidP="00000000" w:rsidRDefault="00000000" w:rsidRPr="00000000" w14:paraId="000000C7">
      <w:pPr>
        <w:pBdr>
          <w:bottom w:color="e0e0e0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8. Limitações Conhecidas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HC candle pode ser redefinido com a entrada de uma barra de volume muito alto, deslocando o nível de referência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pregões com gap de abertura, o Low pode nunca tocar o HC, bloqueando o filtro [1]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OBV manual acumula desde o início da série — pode demorar para estabilizar em séries curtas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ZScoreMin = 1.0 é suficiente para a maioria dos ativos, mas ativos com distribuição de agressão muito assimétrica podem gerar falsos positivos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estratégia é desenhada para o ativo subjacente — a decisão de qual série de opção comprar (strike, vencimento) é do operador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VolProxy como proxy de IVR é uma aproximação — para decisão precisa de comprar vs vender prêmio, consultar IVR real via OpLab ou plataforma especializada</w:t>
      </w:r>
    </w:p>
    <w:p w:rsidR="00000000" w:rsidDel="00000000" w:rsidP="00000000" w:rsidRDefault="00000000" w:rsidRPr="00000000" w14:paraId="000000CF">
      <w:pPr>
        <w:pBdr>
          <w:bottom w:color="e0e0e0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8"/>
          <w:szCs w:val="18"/>
          <w:rtl w:val="0"/>
        </w:rPr>
        <w:t xml:space="preserve">OPÇÕES B3 v8.2 — Documentação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6213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Hp6m1TO4yaOCupp2QAjSod2cSA==">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2026-03-16T01:49:26.984Z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