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566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"/>
        <w:jc w:val="center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566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Funcional - GAFISA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1290803</wp:posOffset>
            </wp:positionH>
            <wp:positionV relativeFrom="paragraph">
              <wp:posOffset>107645</wp:posOffset>
            </wp:positionV>
            <wp:extent cx="4052570" cy="2167255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2044" l="0" r="3842" t="29956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167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firstLine="566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ind w:firstLine="566"/>
        <w:jc w:val="center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ind w:firstLine="566"/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SEGREGAÇÃO DE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ind w:left="0" w:firstLine="0"/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720" w:top="1078" w:left="720" w:right="720" w:header="1021" w:footer="283"/>
          <w:pgNumType w:start="1"/>
        </w:sect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INTRODUÇÃO</w:t>
            </w:r>
          </w:hyperlink>
          <w:hyperlink w:anchor="_heading=h.1t3h5s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ATUAL</w:t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PROBLEMA/MELHORIA IDENTIFICADO</w:t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IMPACTO NEGATIVO NA OPERAÇÃO OU PRODUTO</w:t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 DESENVOLVIMENTO</w:t>
            </w:r>
          </w:hyperlink>
          <w:hyperlink w:anchor="_heading=h.3rdcrjn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PROPOSTO E MAPEAMENTO DE CAMPOS</w:t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MAPEAMENTO DOS CAMPOS</w:t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III. CONCLUSÃO</w:t>
            </w:r>
          </w:hyperlink>
          <w:hyperlink w:anchor="_heading=h.35nkun2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TESTE</w:t>
            </w:r>
          </w:hyperlink>
          <w:hyperlink w:anchor="_heading=h.1ksv4u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APROVAÇÃO FUNCIONAL</w:t>
            </w:r>
          </w:hyperlink>
          <w:hyperlink w:anchor="_heading=h.2jxsxq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APROVAÇÃO TÉCNICA</w:t>
            </w:r>
          </w:hyperlink>
          <w:hyperlink w:anchor="_heading=h.z337ya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240" w:right="265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APROVAÇÃO FINAL</w:t>
            </w:r>
          </w:hyperlink>
          <w:hyperlink w:anchor="_heading=h.3j2qqm3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66"/>
            </w:tabs>
            <w:spacing w:after="100" w:before="0" w:line="276" w:lineRule="auto"/>
            <w:ind w:left="240" w:right="265" w:firstLine="0"/>
            <w:jc w:val="both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firstLine="566"/>
        <w:rPr/>
        <w:sectPr>
          <w:type w:val="continuous"/>
          <w:pgSz w:h="16838" w:w="11906" w:orient="portrait"/>
          <w:pgMar w:bottom="720" w:top="1078" w:left="720" w:right="720" w:header="1021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ind w:left="0" w:firstLine="0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tem a finalidade de demonstrar as customizações, parametrizações e configurações necessárias para atender o processo de segregação de fornecedores (Curto e Longo Prazo) da companhia Gafisa.</w:t>
      </w:r>
    </w:p>
    <w:p w:rsidR="00000000" w:rsidDel="00000000" w:rsidP="00000000" w:rsidRDefault="00000000" w:rsidRPr="00000000" w14:paraId="00000034">
      <w:pPr>
        <w:pStyle w:val="Subtitle"/>
        <w:spacing w:line="360" w:lineRule="auto"/>
        <w:ind w:left="0" w:firstLine="0"/>
        <w:rPr>
          <w:rFonts w:ascii="Calibri" w:cs="Calibri" w:eastAsia="Calibri" w:hAnsi="Calibri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RESUMO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através de um relatório já existente deve realizar de forma automática os lançamentos de segregação de fornecedores no final do mês e o estorno no primeiro dia útil do mês subsequente de acordo com a segregação entre curto e longo prazo realizado pela contabilidade.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 realização dos lançamentos e estornos da segregação de fornecedores possuímos os seguintes critérios: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– Relatório de Segregação de fornecedores (Curto e Longo Prazo):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relatório desenvolvido com objetivo de demonstrar todas as faturas de fornecedores em aberto/a vencer para que a contabilidade possa extrair em formato excel e manualmente realizar a segregação dos valores entre curto e longo prazo através de lançamentos contábeis a serem realizados no sistema NetSuite em ambiente de Produção: </w:t>
      </w: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https://5843489-sb1.app.netsuite.com/app/common/search/searchresults.nl?searchid=1223&amp;whence=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I. INTRODUÇÃO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PROCESSO ATUAL</w:t>
      </w:r>
    </w:p>
    <w:p w:rsidR="00000000" w:rsidDel="00000000" w:rsidP="00000000" w:rsidRDefault="00000000" w:rsidRPr="00000000" w14:paraId="0000003F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este documento, o escopo do documento está diretamente relacionado ao que tange os processos com integração sistêmica com o ERP (atualmente SAP e que deverá ser substituído pelo Oracle Netsuite), para o bom andamento necessitamos aqui descrever os processos e as definições de cada passo da segregação de fornecedores para melhor entendimento e identificação dos dados a serem rastreados:</w:t>
      </w:r>
    </w:p>
    <w:p w:rsidR="00000000" w:rsidDel="00000000" w:rsidP="00000000" w:rsidRDefault="00000000" w:rsidRPr="00000000" w14:paraId="00000040">
      <w:pPr>
        <w:spacing w:line="360" w:lineRule="auto"/>
        <w:ind w:left="720" w:firstLine="72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72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SEGREGAÇÃO DE FORNECEDORES</w:t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Atualmente o processo de segregação de fornecedores realizado pelo departamento de contabilidade da companhia Gafisa acontece da seguinte forma: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– RAZÃO FBL1N: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Atualmente o key user gera um relatório do sistema SAP contendo o saldo 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 contábil 2231010100 (a crédito)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este relatório é extraído em formato excel.</w:t>
      </w:r>
    </w:p>
    <w:p w:rsidR="00000000" w:rsidDel="00000000" w:rsidP="00000000" w:rsidRDefault="00000000" w:rsidRPr="00000000" w14:paraId="00000046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SEGREGAÇÃO DE CURTO E LONGO PRAZO: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Após realizar a extração dos dados o key user da frente contábil realiza a manipulação das informações contábeis através de fórmulas e tabelas dinâmicas em arquivo excel para criar a segregação entre curto (até 365 dias) e longo prazo (acima de 366 dias).</w:t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LANÇAMENTOS CONTÁBEIS: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Após a segregação de curto e longo prazo ser realizada através de fórmulas e tabelas dinâmicas é obtido um resumo por subsidiárias, totalizado por conta contábil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curto prazo 2231019999 (a débito)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longo prazo 2331019999 (a crédito)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é então criado uma máscara chamada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LSMW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responsável por realizar via upload de dados os lançamentos contábeis no último dia do mês corrente, este mesmo lançamento realizado é estornado no 1° dia útil do mês subsequente. 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PROBLEMA/MELHORIA IDENTIFICADO</w:t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Atualmente o ERP Netsuite não atende e não comporta a necessidade de lançamentos contábeis de forma automática e lógica para estorno de lançamento contábeis conforme necessidade da segregação de fornecedores nos moldes dos conceitos e fluxo de processos demonstrados acima.</w:t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IMPACTO NEGATIVO NA OPERAÇÃO OU PRODUTO </w:t>
      </w:r>
    </w:p>
    <w:p w:rsidR="00000000" w:rsidDel="00000000" w:rsidP="00000000" w:rsidRDefault="00000000" w:rsidRPr="00000000" w14:paraId="00000053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o processo de segregação de curto e longo prazo de fornecedores não possa ser desenvolvido para ocorrer de forma automática os lançamentos contábeis irá impactar no dia a dia do key user contábil, porém isto não é um impeditivo para que a segregação de fornecedores seja realizado, pois será possível realizar o cálculo em planilha excel (conforme é feito atualmente no sistema NetSuite), desde que o relatório mencionado acima e os saldos contábeis da conta de fornecedores sejam disponibilizados.</w:t>
      </w:r>
    </w:p>
    <w:p w:rsidR="00000000" w:rsidDel="00000000" w:rsidP="00000000" w:rsidRDefault="00000000" w:rsidRPr="00000000" w14:paraId="00000054">
      <w:pPr>
        <w:spacing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II. DESENVOLVIMENTO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PROCESSO PROPOSTO E MAPEAMENTO DE CAMPOS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66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RELATÓRIO DE SEGREGAÇÃO DE FORNECEDORES</w:t>
      </w:r>
    </w:p>
    <w:p w:rsidR="00000000" w:rsidDel="00000000" w:rsidP="00000000" w:rsidRDefault="00000000" w:rsidRPr="00000000" w14:paraId="0000005A">
      <w:pPr>
        <w:ind w:firstLine="566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Através do relatório existente de segregação de fornecedores ele deverá ser o suporte para o desenvolvimento de customização para a realização dos lançamentos contábeis e consequentemente o estorno dos mesmos lançamentos:</w:t>
      </w:r>
    </w:p>
    <w:p w:rsidR="00000000" w:rsidDel="00000000" w:rsidP="00000000" w:rsidRDefault="00000000" w:rsidRPr="00000000" w14:paraId="0000005C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– Subsidiária</w:t>
      </w:r>
    </w:p>
    <w:p w:rsidR="00000000" w:rsidDel="00000000" w:rsidP="00000000" w:rsidRDefault="00000000" w:rsidRPr="00000000" w14:paraId="0000005E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– Projeto</w:t>
      </w:r>
    </w:p>
    <w:p w:rsidR="00000000" w:rsidDel="00000000" w:rsidP="00000000" w:rsidRDefault="00000000" w:rsidRPr="00000000" w14:paraId="0000005F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– Número de prestações</w:t>
      </w:r>
    </w:p>
    <w:p w:rsidR="00000000" w:rsidDel="00000000" w:rsidP="00000000" w:rsidRDefault="00000000" w:rsidRPr="00000000" w14:paraId="00000060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– Data de vencimento</w:t>
      </w:r>
    </w:p>
    <w:p w:rsidR="00000000" w:rsidDel="00000000" w:rsidP="00000000" w:rsidRDefault="00000000" w:rsidRPr="00000000" w14:paraId="00000061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– Valor</w:t>
      </w:r>
    </w:p>
    <w:p w:rsidR="00000000" w:rsidDel="00000000" w:rsidP="00000000" w:rsidRDefault="00000000" w:rsidRPr="00000000" w14:paraId="00000062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– Conta contábil</w:t>
      </w:r>
    </w:p>
    <w:p w:rsidR="00000000" w:rsidDel="00000000" w:rsidP="00000000" w:rsidRDefault="00000000" w:rsidRPr="00000000" w14:paraId="00000063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– Status ( Não pago e Parcialmente Pago) </w:t>
      </w:r>
    </w:p>
    <w:p w:rsidR="00000000" w:rsidDel="00000000" w:rsidP="00000000" w:rsidRDefault="00000000" w:rsidRPr="00000000" w14:paraId="00000064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566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processo se inicia com a conclusão das inserções das notas fiscais de fornecedores no sistema, de acordo com o cronograma de fechamento da empresa, ou seja, pode variar de mês a mês até o início do processo de segregação. </w:t>
      </w:r>
    </w:p>
    <w:p w:rsidR="00000000" w:rsidDel="00000000" w:rsidP="00000000" w:rsidRDefault="00000000" w:rsidRPr="00000000" w14:paraId="00000068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ponto de referência para que as datas de vencimentos possam entrar na range de curto prazo ou longo prazo será a DATA DE SEGREGAÇÃO.</w:t>
      </w:r>
    </w:p>
    <w:p w:rsidR="00000000" w:rsidDel="00000000" w:rsidP="00000000" w:rsidRDefault="00000000" w:rsidRPr="00000000" w14:paraId="00000069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Portanto, é necessário que um usuário inicie este processo de segregação.</w:t>
      </w:r>
    </w:p>
    <w:p w:rsidR="00000000" w:rsidDel="00000000" w:rsidP="00000000" w:rsidRDefault="00000000" w:rsidRPr="00000000" w14:paraId="0000006A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6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Exemplo</w:t>
      </w:r>
    </w:p>
    <w:p w:rsidR="00000000" w:rsidDel="00000000" w:rsidP="00000000" w:rsidRDefault="00000000" w:rsidRPr="00000000" w14:paraId="0000006C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Cenário informado por Alonso: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contabilidade irá realizar o encerramento de maio/2022, sendo hoje dia 31/05/2022, com isso, seguindo o cronograma a data de corte para não ocorrer mais inserções de notas fiscais será até o dia 08/06/2022. Nesta data inicia-se a segregação de fornecedores, onde um usuário terá que executar essa rotina com a contabilização envolvendo as contas citadas 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Processo Atual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.Para isso, o usuário deverá selecionar a data de lançamento, neste caso dia 31/05/2022 e a data de estorno dia 01/06/2022.</w:t>
      </w:r>
    </w:p>
    <w:p w:rsidR="00000000" w:rsidDel="00000000" w:rsidP="00000000" w:rsidRDefault="00000000" w:rsidRPr="00000000" w14:paraId="0000006F">
      <w:pPr>
        <w:ind w:firstLine="56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detalhe é de que a execução da rotina de segregação de fornecedores será executada por um usuário, mas o estorno será executado de forma simultânea e automática na segregação.</w:t>
      </w:r>
    </w:p>
    <w:p w:rsidR="00000000" w:rsidDel="00000000" w:rsidP="00000000" w:rsidRDefault="00000000" w:rsidRPr="00000000" w14:paraId="00000070">
      <w:pPr>
        <w:spacing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MAPEAMENTO DOS CAMPOS</w:t>
      </w:r>
    </w:p>
    <w:p w:rsidR="00000000" w:rsidDel="00000000" w:rsidP="00000000" w:rsidRDefault="00000000" w:rsidRPr="00000000" w14:paraId="00000075">
      <w:pPr>
        <w:spacing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righ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Conforme demonstrado acima, todos os detalhes de customização necessários de acordo com cada passo da segregação de fornecedores já estão identificados e demonstrados acima bem como o relatório de segregação de curto e longo prazo deve ser utilizado.</w:t>
      </w:r>
    </w:p>
    <w:p w:rsidR="00000000" w:rsidDel="00000000" w:rsidP="00000000" w:rsidRDefault="00000000" w:rsidRPr="00000000" w14:paraId="00000077">
      <w:pPr>
        <w:spacing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exemplo de relatório para check das informações a serem geradas acima seguem abaixo como exemplo:</w:t>
      </w:r>
    </w:p>
    <w:p w:rsidR="00000000" w:rsidDel="00000000" w:rsidP="00000000" w:rsidRDefault="00000000" w:rsidRPr="00000000" w14:paraId="00000079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III. CONCLUSÃO</w:t>
      </w:r>
    </w:p>
    <w:p w:rsidR="00000000" w:rsidDel="00000000" w:rsidP="00000000" w:rsidRDefault="00000000" w:rsidRPr="00000000" w14:paraId="0000007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firstLine="36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tem como finalidade demonstrar os lançamentos contábeis automáticos e a integração de informações financeiras e contábeis que envolvem, geram e impactam diretamente a segregação de fornecedores da companhia Gafisa.</w:t>
      </w:r>
    </w:p>
    <w:p w:rsidR="00000000" w:rsidDel="00000000" w:rsidP="00000000" w:rsidRDefault="00000000" w:rsidRPr="00000000" w14:paraId="00000080">
      <w:pPr>
        <w:ind w:left="567" w:firstLine="36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firstLine="362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left="720" w:firstLine="0"/>
        <w:rPr>
          <w:rFonts w:ascii="Calibri" w:cs="Calibri" w:eastAsia="Calibri" w:hAnsi="Calibri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PLANO DE TESTE</w:t>
      </w:r>
    </w:p>
    <w:p w:rsidR="00000000" w:rsidDel="00000000" w:rsidP="00000000" w:rsidRDefault="00000000" w:rsidRPr="00000000" w14:paraId="00000083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que a solução possa ser validada, os passos abaixo deverão ser executados: </w:t>
      </w:r>
    </w:p>
    <w:tbl>
      <w:tblPr>
        <w:tblStyle w:val="Table1"/>
        <w:tblW w:w="9870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"/>
        <w:gridCol w:w="4170"/>
        <w:gridCol w:w="3240"/>
        <w:gridCol w:w="1574"/>
        <w:tblGridChange w:id="0">
          <w:tblGrid>
            <w:gridCol w:w="886"/>
            <w:gridCol w:w="4170"/>
            <w:gridCol w:w="3240"/>
            <w:gridCol w:w="15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Ordem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 Listas &gt; Contabilidade &gt; Segregação de Fornecedores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Segregação de Fornecedores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Informar a Data de Segregação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Data da Segregação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Informar a Data de Estorno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Data de Estorno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Clicar em Executar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Botão Executar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Apresentação em tela com as contas e valores movimentados no mês de curto prazo e longo prazo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Tela de apresentação do resultado da segregação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validar as informações, consultar o balancete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Acessar o balancete gafisa - oficial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ind w:left="720" w:firstLine="0"/>
        <w:rPr>
          <w:rFonts w:ascii="Calibri" w:cs="Calibri" w:eastAsia="Calibri" w:hAnsi="Calibri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APROVAÇÃO FUNCIONAL</w:t>
      </w:r>
    </w:p>
    <w:p w:rsidR="00000000" w:rsidDel="00000000" w:rsidP="00000000" w:rsidRDefault="00000000" w:rsidRPr="00000000" w14:paraId="000000A2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especificação fornecida é suficiente para entendimento da demanda e não apresenta inconformidades ou conflitos de arquitetura.</w:t>
      </w:r>
    </w:p>
    <w:tbl>
      <w:tblPr>
        <w:tblStyle w:val="Table2"/>
        <w:tblW w:w="9902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6"/>
        <w:gridCol w:w="2476"/>
        <w:gridCol w:w="2475"/>
        <w:gridCol w:w="2475"/>
        <w:tblGridChange w:id="0">
          <w:tblGrid>
            <w:gridCol w:w="2476"/>
            <w:gridCol w:w="2476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Jardel Jesus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Consultor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29.06.2022.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firstLine="56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left="720" w:firstLine="0"/>
        <w:rPr>
          <w:rFonts w:ascii="Calibri" w:cs="Calibri" w:eastAsia="Calibri" w:hAnsi="Calibri"/>
          <w:sz w:val="16"/>
          <w:szCs w:val="16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APROVAÇÃO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especificação fornecida é suficiente para entendimento da demanda e não apresenta inconformidades ou conflitos de arquitetura ou limitações técnicas para sua viabilização e pode-se iniciar o desenvolvimento da solução proposta.</w:t>
      </w:r>
    </w:p>
    <w:tbl>
      <w:tblPr>
        <w:tblStyle w:val="Table3"/>
        <w:tblW w:w="9902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6"/>
        <w:gridCol w:w="2476"/>
        <w:gridCol w:w="2475"/>
        <w:gridCol w:w="2475"/>
        <w:tblGridChange w:id="0">
          <w:tblGrid>
            <w:gridCol w:w="2476"/>
            <w:gridCol w:w="2476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Adriano Reis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Desenvolvedor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29.06.2022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720" w:firstLine="0"/>
        <w:rPr>
          <w:rFonts w:ascii="Calibri" w:cs="Calibri" w:eastAsia="Calibri" w:hAnsi="Calibri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APROVAÇÃO FINAL</w:t>
      </w:r>
    </w:p>
    <w:p w:rsidR="00000000" w:rsidDel="00000000" w:rsidP="00000000" w:rsidRDefault="00000000" w:rsidRPr="00000000" w14:paraId="000000B8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Diante dos testes realizados, a solução foi considerada entregue em conformidade com requisitos e regras de negócio estabelecidas. </w:t>
      </w:r>
    </w:p>
    <w:tbl>
      <w:tblPr>
        <w:tblStyle w:val="Table4"/>
        <w:tblW w:w="9902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6"/>
        <w:gridCol w:w="2476"/>
        <w:gridCol w:w="2475"/>
        <w:gridCol w:w="2475"/>
        <w:tblGridChange w:id="0">
          <w:tblGrid>
            <w:gridCol w:w="2476"/>
            <w:gridCol w:w="2476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Taimir Barbosa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Gerente de Controladoria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Natan Santos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Gerente de Contabilidade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Eduardo Chatah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Coordenador Contábil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Alessandra Molino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Sponsor Gafisa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Mayra Chies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Rosana Nunes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Líder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Jardel Jesus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Consultor 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1078" w:left="720" w:right="720" w:header="1021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566" w:right="265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566" w:right="265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widowControl w:val="0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70.0" w:type="dxa"/>
      <w:jc w:val="center"/>
      <w:tblLayout w:type="fixed"/>
      <w:tblLook w:val="0400"/>
    </w:tblPr>
    <w:tblGrid>
      <w:gridCol w:w="9616"/>
      <w:gridCol w:w="1454"/>
      <w:tblGridChange w:id="0">
        <w:tblGrid>
          <w:gridCol w:w="9616"/>
          <w:gridCol w:w="1454"/>
        </w:tblGrid>
      </w:tblGridChange>
    </w:tblGrid>
    <w:tr>
      <w:trPr>
        <w:cantSplit w:val="0"/>
        <w:trHeight w:val="100" w:hRule="atLeast"/>
        <w:tblHeader w:val="0"/>
      </w:trPr>
      <w:tc>
        <w:tcPr>
          <w:shd w:fill="ff0000" w:val="clear"/>
        </w:tcPr>
        <w:p w:rsidR="00000000" w:rsidDel="00000000" w:rsidP="00000000" w:rsidRDefault="00000000" w:rsidRPr="00000000" w14:paraId="000000E0">
          <w:pPr>
            <w:tabs>
              <w:tab w:val="center" w:pos="4252"/>
              <w:tab w:val="right" w:pos="8504"/>
            </w:tabs>
            <w:spacing w:line="240" w:lineRule="auto"/>
            <w:ind w:left="0" w:right="0" w:firstLine="1440"/>
            <w:rPr>
              <w:rFonts w:ascii="Verdana" w:cs="Verdana" w:eastAsia="Verdana" w:hAnsi="Verdana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0000" w:val="clear"/>
        </w:tcPr>
        <w:p w:rsidR="00000000" w:rsidDel="00000000" w:rsidP="00000000" w:rsidRDefault="00000000" w:rsidRPr="00000000" w14:paraId="000000E1">
          <w:pPr>
            <w:tabs>
              <w:tab w:val="center" w:pos="4252"/>
              <w:tab w:val="right" w:pos="8504"/>
            </w:tabs>
            <w:spacing w:line="240" w:lineRule="auto"/>
            <w:ind w:left="0" w:right="0" w:firstLine="1440"/>
            <w:rPr>
              <w:rFonts w:ascii="Verdana" w:cs="Verdana" w:eastAsia="Verdana" w:hAnsi="Verdana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E2">
          <w:pPr>
            <w:pStyle w:val="Subtitle"/>
            <w:ind w:firstLine="566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Especificação funcional | SEGREGAÇÃO DE FORNECEDORES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pStyle w:val="Subtitle"/>
            <w:ind w:left="283" w:right="20" w:firstLine="0"/>
            <w:jc w:val="center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4">
          <w:pPr>
            <w:pStyle w:val="Subtitle"/>
            <w:ind w:left="283" w:right="20" w:firstLine="0"/>
            <w:jc w:val="center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-400049</wp:posOffset>
          </wp:positionV>
          <wp:extent cx="2233295" cy="367665"/>
          <wp:effectExtent b="0" l="0" r="0" t="0"/>
          <wp:wrapNone/>
          <wp:docPr descr="Resultado de imagem para oracle netsuite" id="11" name="image2.png"/>
          <a:graphic>
            <a:graphicData uri="http://schemas.openxmlformats.org/drawingml/2006/picture">
              <pic:pic>
                <pic:nvPicPr>
                  <pic:cNvPr descr="Resultado de imagem para oracle netsui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3295" cy="367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285750</wp:posOffset>
          </wp:positionH>
          <wp:positionV relativeFrom="paragraph">
            <wp:posOffset>-400049</wp:posOffset>
          </wp:positionV>
          <wp:extent cx="518160" cy="371475"/>
          <wp:effectExtent b="0" l="0" r="0" t="0"/>
          <wp:wrapSquare wrapText="bothSides" distB="114300" distT="11430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816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566" w:right="265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566" w:right="265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-BR"/>
      </w:rPr>
    </w:rPrDefault>
    <w:pPrDefault>
      <w:pPr>
        <w:spacing w:line="276" w:lineRule="auto"/>
        <w:ind w:left="566" w:right="26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  <w:color w:val="98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0"/>
    </w:pPr>
    <w:rPr>
      <w:b w:val="1"/>
      <w:color w:val="1f386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31" w:lineRule="auto"/>
    </w:pPr>
    <w:rPr>
      <w:rFonts w:ascii="Verdana" w:cs="Verdana" w:eastAsia="Verdana" w:hAnsi="Verdana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331" w:lineRule="auto"/>
    </w:pPr>
    <w:rPr>
      <w:rFonts w:ascii="Verdana" w:cs="Verdana" w:eastAsia="Verdana" w:hAnsi="Verdana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331" w:lineRule="auto"/>
    </w:pPr>
    <w:rPr>
      <w:rFonts w:ascii="Verdana" w:cs="Verdana" w:eastAsia="Verdana" w:hAnsi="Verdana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31" w:lineRule="auto"/>
      <w:jc w:val="center"/>
    </w:pPr>
    <w:rPr>
      <w:b w:val="1"/>
      <w:smallCaps w:val="1"/>
      <w:color w:val="cc0000"/>
      <w:sz w:val="48"/>
      <w:szCs w:val="48"/>
    </w:rPr>
  </w:style>
  <w:style w:type="paragraph" w:styleId="Normal" w:default="1">
    <w:name w:val="Normal"/>
    <w:qFormat w:val="1"/>
    <w:pPr>
      <w:spacing w:line="276" w:lineRule="auto"/>
      <w:ind w:left="566" w:right="265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360"/>
      <w:ind w:left="720" w:hanging="360"/>
      <w:outlineLvl w:val="0"/>
    </w:pPr>
    <w:rPr>
      <w:b w:val="1"/>
      <w:color w:val="98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ind w:left="0"/>
      <w:outlineLvl w:val="1"/>
    </w:pPr>
    <w:rPr>
      <w:b w:val="1"/>
      <w:color w:val="1f3864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ind w:left="1440" w:hanging="360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 w:line="331" w:lineRule="auto"/>
      <w:outlineLvl w:val="3"/>
    </w:pPr>
    <w:rPr>
      <w:rFonts w:ascii="Verdana" w:cs="Verdana" w:eastAsia="Verdana" w:hAnsi="Verdana"/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331" w:lineRule="auto"/>
      <w:outlineLvl w:val="4"/>
    </w:pPr>
    <w:rPr>
      <w:rFonts w:ascii="Verdana" w:cs="Verdana" w:eastAsia="Verdana" w:hAnsi="Verdana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331" w:lineRule="auto"/>
      <w:outlineLvl w:val="5"/>
    </w:pPr>
    <w:rPr>
      <w:rFonts w:ascii="Verdana" w:cs="Verdana" w:eastAsia="Verdana" w:hAnsi="Verdana"/>
      <w:i w:val="1"/>
      <w:color w:val="666666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A65DF3"/>
  </w:style>
  <w:style w:type="character" w:styleId="RodapChar" w:customStyle="1">
    <w:name w:val="Rodapé Char"/>
    <w:basedOn w:val="Fontepargpadro"/>
    <w:link w:val="Rodap"/>
    <w:uiPriority w:val="99"/>
    <w:qFormat w:val="1"/>
    <w:rsid w:val="00A65DF3"/>
  </w:style>
  <w:style w:type="character" w:styleId="LinkdaInternet" w:customStyle="1">
    <w:name w:val="Link da Internet"/>
    <w:basedOn w:val="Fontepargpadro"/>
    <w:uiPriority w:val="99"/>
    <w:unhideWhenUsed w:val="1"/>
    <w:rsid w:val="00A65DF3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qFormat w:val="1"/>
    <w:rsid w:val="00A65DF3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qFormat w:val="1"/>
    <w:rsid w:val="00365D20"/>
    <w:rPr>
      <w:color w:val="800080" w:themeColor="followedHyperlink"/>
      <w:u w:val="single"/>
    </w:rPr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character" w:styleId="ListLabel10" w:customStyle="1">
    <w:name w:val="ListLabel 10"/>
    <w:qFormat w:val="1"/>
    <w:rPr>
      <w:u w:val="none"/>
    </w:rPr>
  </w:style>
  <w:style w:type="character" w:styleId="ListLabel11" w:customStyle="1">
    <w:name w:val="ListLabel 11"/>
    <w:qFormat w:val="1"/>
    <w:rPr>
      <w:u w:val="none"/>
    </w:rPr>
  </w:style>
  <w:style w:type="character" w:styleId="ListLabel12" w:customStyle="1">
    <w:name w:val="ListLabel 12"/>
    <w:qFormat w:val="1"/>
    <w:rPr>
      <w:u w:val="none"/>
    </w:rPr>
  </w:style>
  <w:style w:type="character" w:styleId="ListLabel13" w:customStyle="1">
    <w:name w:val="ListLabel 13"/>
    <w:qFormat w:val="1"/>
    <w:rPr>
      <w:u w:val="none"/>
    </w:rPr>
  </w:style>
  <w:style w:type="character" w:styleId="ListLabel14" w:customStyle="1">
    <w:name w:val="ListLabel 14"/>
    <w:qFormat w:val="1"/>
    <w:rPr>
      <w:u w:val="none"/>
    </w:rPr>
  </w:style>
  <w:style w:type="character" w:styleId="ListLabel15" w:customStyle="1">
    <w:name w:val="ListLabel 15"/>
    <w:qFormat w:val="1"/>
    <w:rPr>
      <w:u w:val="none"/>
    </w:rPr>
  </w:style>
  <w:style w:type="character" w:styleId="ListLabel16" w:customStyle="1">
    <w:name w:val="ListLabel 16"/>
    <w:qFormat w:val="1"/>
    <w:rPr>
      <w:u w:val="none"/>
    </w:rPr>
  </w:style>
  <w:style w:type="character" w:styleId="ListLabel17" w:customStyle="1">
    <w:name w:val="ListLabel 17"/>
    <w:qFormat w:val="1"/>
    <w:rPr>
      <w:u w:val="none"/>
    </w:rPr>
  </w:style>
  <w:style w:type="character" w:styleId="ListLabel18" w:customStyle="1">
    <w:name w:val="ListLabel 18"/>
    <w:qFormat w:val="1"/>
    <w:rPr>
      <w:u w:val="none"/>
    </w:rPr>
  </w:style>
  <w:style w:type="character" w:styleId="ListLabel19" w:customStyle="1">
    <w:name w:val="ListLabel 19"/>
    <w:qFormat w:val="1"/>
    <w:rPr>
      <w:b w:val="1"/>
      <w:sz w:val="26"/>
      <w:u w:val="none"/>
    </w:rPr>
  </w:style>
  <w:style w:type="character" w:styleId="ListLabel20" w:customStyle="1">
    <w:name w:val="ListLabel 20"/>
    <w:qFormat w:val="1"/>
    <w:rPr>
      <w:u w:val="none"/>
    </w:rPr>
  </w:style>
  <w:style w:type="character" w:styleId="ListLabel21" w:customStyle="1">
    <w:name w:val="ListLabel 21"/>
    <w:qFormat w:val="1"/>
    <w:rPr>
      <w:u w:val="none"/>
    </w:rPr>
  </w:style>
  <w:style w:type="character" w:styleId="ListLabel22" w:customStyle="1">
    <w:name w:val="ListLabel 22"/>
    <w:qFormat w:val="1"/>
    <w:rPr>
      <w:u w:val="none"/>
    </w:rPr>
  </w:style>
  <w:style w:type="character" w:styleId="ListLabel23" w:customStyle="1">
    <w:name w:val="ListLabel 23"/>
    <w:qFormat w:val="1"/>
    <w:rPr>
      <w:u w:val="none"/>
    </w:rPr>
  </w:style>
  <w:style w:type="character" w:styleId="ListLabel24" w:customStyle="1">
    <w:name w:val="ListLabel 24"/>
    <w:qFormat w:val="1"/>
    <w:rPr>
      <w:u w:val="none"/>
    </w:rPr>
  </w:style>
  <w:style w:type="character" w:styleId="ListLabel25" w:customStyle="1">
    <w:name w:val="ListLabel 25"/>
    <w:qFormat w:val="1"/>
    <w:rPr>
      <w:u w:val="none"/>
    </w:rPr>
  </w:style>
  <w:style w:type="character" w:styleId="ListLabel26" w:customStyle="1">
    <w:name w:val="ListLabel 26"/>
    <w:qFormat w:val="1"/>
    <w:rPr>
      <w:u w:val="none"/>
    </w:rPr>
  </w:style>
  <w:style w:type="character" w:styleId="ListLabel27" w:customStyle="1">
    <w:name w:val="ListLabel 27"/>
    <w:qFormat w:val="1"/>
    <w:rPr>
      <w:u w:val="none"/>
    </w:rPr>
  </w:style>
  <w:style w:type="character" w:styleId="ListLabel28" w:customStyle="1">
    <w:name w:val="ListLabel 28"/>
    <w:qFormat w:val="1"/>
    <w:rPr>
      <w:u w:val="none"/>
    </w:rPr>
  </w:style>
  <w:style w:type="character" w:styleId="ListLabel29" w:customStyle="1">
    <w:name w:val="ListLabel 29"/>
    <w:qFormat w:val="1"/>
    <w:rPr>
      <w:u w:val="none"/>
    </w:rPr>
  </w:style>
  <w:style w:type="character" w:styleId="ListLabel30" w:customStyle="1">
    <w:name w:val="ListLabel 30"/>
    <w:qFormat w:val="1"/>
    <w:rPr>
      <w:u w:val="none"/>
    </w:rPr>
  </w:style>
  <w:style w:type="character" w:styleId="ListLabel31" w:customStyle="1">
    <w:name w:val="ListLabel 31"/>
    <w:qFormat w:val="1"/>
    <w:rPr>
      <w:u w:val="none"/>
    </w:rPr>
  </w:style>
  <w:style w:type="character" w:styleId="ListLabel32" w:customStyle="1">
    <w:name w:val="ListLabel 32"/>
    <w:qFormat w:val="1"/>
    <w:rPr>
      <w:u w:val="none"/>
    </w:rPr>
  </w:style>
  <w:style w:type="character" w:styleId="ListLabel33" w:customStyle="1">
    <w:name w:val="ListLabel 33"/>
    <w:qFormat w:val="1"/>
    <w:rPr>
      <w:u w:val="none"/>
    </w:rPr>
  </w:style>
  <w:style w:type="character" w:styleId="ListLabel34" w:customStyle="1">
    <w:name w:val="ListLabel 34"/>
    <w:qFormat w:val="1"/>
    <w:rPr>
      <w:u w:val="none"/>
    </w:rPr>
  </w:style>
  <w:style w:type="character" w:styleId="ListLabel35" w:customStyle="1">
    <w:name w:val="ListLabel 35"/>
    <w:qFormat w:val="1"/>
    <w:rPr>
      <w:u w:val="none"/>
    </w:rPr>
  </w:style>
  <w:style w:type="character" w:styleId="ListLabel36" w:customStyle="1">
    <w:name w:val="ListLabel 36"/>
    <w:qFormat w:val="1"/>
    <w:rPr>
      <w:u w:val="none"/>
    </w:rPr>
  </w:style>
  <w:style w:type="character" w:styleId="ListLabel37" w:customStyle="1">
    <w:name w:val="ListLabel 37"/>
    <w:qFormat w:val="1"/>
    <w:rPr>
      <w:u w:val="none"/>
    </w:rPr>
  </w:style>
  <w:style w:type="character" w:styleId="ListLabel38" w:customStyle="1">
    <w:name w:val="ListLabel 38"/>
    <w:qFormat w:val="1"/>
    <w:rPr>
      <w:u w:val="none"/>
    </w:rPr>
  </w:style>
  <w:style w:type="character" w:styleId="ListLabel39" w:customStyle="1">
    <w:name w:val="ListLabel 39"/>
    <w:qFormat w:val="1"/>
    <w:rPr>
      <w:u w:val="none"/>
    </w:rPr>
  </w:style>
  <w:style w:type="character" w:styleId="ListLabel40" w:customStyle="1">
    <w:name w:val="ListLabel 40"/>
    <w:qFormat w:val="1"/>
    <w:rPr>
      <w:u w:val="none"/>
    </w:rPr>
  </w:style>
  <w:style w:type="character" w:styleId="ListLabel41" w:customStyle="1">
    <w:name w:val="ListLabel 41"/>
    <w:qFormat w:val="1"/>
    <w:rPr>
      <w:u w:val="none"/>
    </w:rPr>
  </w:style>
  <w:style w:type="character" w:styleId="ListLabel42" w:customStyle="1">
    <w:name w:val="ListLabel 42"/>
    <w:qFormat w:val="1"/>
    <w:rPr>
      <w:u w:val="none"/>
    </w:rPr>
  </w:style>
  <w:style w:type="character" w:styleId="ListLabel43" w:customStyle="1">
    <w:name w:val="ListLabel 43"/>
    <w:qFormat w:val="1"/>
    <w:rPr>
      <w:u w:val="none"/>
    </w:rPr>
  </w:style>
  <w:style w:type="character" w:styleId="ListLabel44" w:customStyle="1">
    <w:name w:val="ListLabel 44"/>
    <w:qFormat w:val="1"/>
    <w:rPr>
      <w:u w:val="none"/>
    </w:rPr>
  </w:style>
  <w:style w:type="character" w:styleId="ListLabel45" w:customStyle="1">
    <w:name w:val="ListLabel 45"/>
    <w:qFormat w:val="1"/>
    <w:rPr>
      <w:u w:val="none"/>
    </w:rPr>
  </w:style>
  <w:style w:type="character" w:styleId="ListLabel46" w:customStyle="1">
    <w:name w:val="ListLabel 46"/>
    <w:qFormat w:val="1"/>
    <w:rPr>
      <w:u w:val="none"/>
    </w:rPr>
  </w:style>
  <w:style w:type="character" w:styleId="ListLabel47" w:customStyle="1">
    <w:name w:val="ListLabel 47"/>
    <w:qFormat w:val="1"/>
    <w:rPr>
      <w:u w:val="none"/>
    </w:rPr>
  </w:style>
  <w:style w:type="character" w:styleId="ListLabel48" w:customStyle="1">
    <w:name w:val="ListLabel 48"/>
    <w:qFormat w:val="1"/>
    <w:rPr>
      <w:u w:val="none"/>
    </w:rPr>
  </w:style>
  <w:style w:type="character" w:styleId="ListLabel49" w:customStyle="1">
    <w:name w:val="ListLabel 49"/>
    <w:qFormat w:val="1"/>
    <w:rPr>
      <w:u w:val="none"/>
    </w:rPr>
  </w:style>
  <w:style w:type="character" w:styleId="ListLabel50" w:customStyle="1">
    <w:name w:val="ListLabel 50"/>
    <w:qFormat w:val="1"/>
    <w:rPr>
      <w:u w:val="none"/>
    </w:rPr>
  </w:style>
  <w:style w:type="character" w:styleId="ListLabel51" w:customStyle="1">
    <w:name w:val="ListLabel 51"/>
    <w:qFormat w:val="1"/>
    <w:rPr>
      <w:u w:val="none"/>
    </w:rPr>
  </w:style>
  <w:style w:type="character" w:styleId="ListLabel52" w:customStyle="1">
    <w:name w:val="ListLabel 52"/>
    <w:qFormat w:val="1"/>
    <w:rPr>
      <w:u w:val="none"/>
    </w:rPr>
  </w:style>
  <w:style w:type="character" w:styleId="ListLabel53" w:customStyle="1">
    <w:name w:val="ListLabel 53"/>
    <w:qFormat w:val="1"/>
    <w:rPr>
      <w:u w:val="none"/>
    </w:rPr>
  </w:style>
  <w:style w:type="character" w:styleId="ListLabel54" w:customStyle="1">
    <w:name w:val="ListLabel 54"/>
    <w:qFormat w:val="1"/>
    <w:rPr>
      <w:u w:val="none"/>
    </w:rPr>
  </w:style>
  <w:style w:type="character" w:styleId="ListLabel55" w:customStyle="1">
    <w:name w:val="ListLabel 55"/>
    <w:qFormat w:val="1"/>
    <w:rPr>
      <w:rFonts w:cs="Courier New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Courier New"/>
    </w:rPr>
  </w:style>
  <w:style w:type="character" w:styleId="ListLabel58" w:customStyle="1">
    <w:name w:val="ListLabel 58"/>
    <w:qFormat w:val="1"/>
    <w:rPr>
      <w:rFonts w:cs="Courier New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Courier New"/>
    </w:rPr>
  </w:style>
  <w:style w:type="character" w:styleId="ListLabel61" w:customStyle="1">
    <w:name w:val="ListLabel 61"/>
    <w:qFormat w:val="1"/>
    <w:rPr>
      <w:rFonts w:cs="Courier New"/>
    </w:rPr>
  </w:style>
  <w:style w:type="character" w:styleId="ListLabel62" w:customStyle="1">
    <w:name w:val="ListLabel 62"/>
    <w:qFormat w:val="1"/>
    <w:rPr>
      <w:b w:val="1"/>
      <w:bCs w:val="1"/>
    </w:rPr>
  </w:style>
  <w:style w:type="character" w:styleId="ListLabel63" w:customStyle="1">
    <w:name w:val="ListLabel 63"/>
    <w:qFormat w:val="1"/>
    <w:rPr>
      <w:rFonts w:cs="Roboto" w:eastAsia="Roboto"/>
    </w:rPr>
  </w:style>
  <w:style w:type="character" w:styleId="ListLabel64" w:customStyle="1">
    <w:name w:val="ListLabel 64"/>
    <w:qFormat w:val="1"/>
    <w:rPr>
      <w:rFonts w:cs="Courier New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Courier New"/>
    </w:rPr>
  </w:style>
  <w:style w:type="character" w:styleId="ListLabel67" w:customStyle="1">
    <w:name w:val="ListLabel 67"/>
    <w:qFormat w:val="1"/>
    <w:rPr>
      <w:rFonts w:asciiTheme="majorHAnsi" w:cstheme="majorHAnsi" w:hAnsiTheme="majorHAnsi"/>
      <w:sz w:val="20"/>
      <w:szCs w:val="20"/>
    </w:rPr>
  </w:style>
  <w:style w:type="character" w:styleId="ListLabel68" w:customStyle="1">
    <w:name w:val="ListLabel 68"/>
    <w:qFormat w:val="1"/>
    <w:rPr>
      <w:rFonts w:asciiTheme="majorHAnsi" w:cstheme="majorHAnsi" w:hAnsiTheme="majorHAnsi"/>
    </w:rPr>
  </w:style>
  <w:style w:type="character" w:styleId="Vnculodendice" w:customStyle="1">
    <w:name w:val="Vínculo de índice"/>
    <w:qFormat w:val="1"/>
  </w:style>
  <w:style w:type="character" w:styleId="Marcas" w:customStyle="1">
    <w:name w:val="Marcas"/>
    <w:qFormat w:val="1"/>
    <w:rPr>
      <w:rFonts w:ascii="OpenSymbol" w:cs="OpenSymbol" w:eastAsia="OpenSymbol" w:hAnsi="OpenSymbol"/>
    </w:rPr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line="331" w:lineRule="auto"/>
      <w:jc w:val="center"/>
    </w:pPr>
    <w:rPr>
      <w:b w:val="1"/>
      <w:smallCaps w:val="1"/>
      <w:color w:val="cc0000"/>
      <w:sz w:val="48"/>
      <w:szCs w:val="4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FreeSan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120" w:before="360" w:line="331" w:lineRule="auto"/>
    </w:pPr>
    <w:rPr>
      <w:rFonts w:ascii="Trebuchet MS" w:cs="Trebuchet MS" w:eastAsia="Trebuchet MS" w:hAnsi="Trebuchet MS"/>
      <w:b w:val="1"/>
      <w:color w:val="000000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 w:val="1"/>
    <w:rsid w:val="00A65DF3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A65DF3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A65DF3"/>
    <w:pPr>
      <w:ind w:left="720"/>
      <w:contextualSpacing w:val="1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047D33"/>
    <w:pPr>
      <w:spacing w:after="100"/>
      <w:ind w:left="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047D33"/>
    <w:pPr>
      <w:spacing w:after="100"/>
      <w:ind w:left="240"/>
    </w:pPr>
  </w:style>
  <w:style w:type="paragraph" w:styleId="Ttulodendicedeautoridades">
    <w:name w:val="toa heading"/>
    <w:basedOn w:val="Ttulo"/>
    <w:pPr>
      <w:suppressLineNumbers w:val="1"/>
      <w:ind w:left="0"/>
    </w:pPr>
    <w:rPr>
      <w:bCs w:val="1"/>
      <w:sz w:val="32"/>
      <w:szCs w:val="32"/>
    </w:rPr>
  </w:style>
  <w:style w:type="paragraph" w:styleId="Sumrio3">
    <w:name w:val="toc 3"/>
    <w:basedOn w:val="ndice"/>
    <w:uiPriority w:val="39"/>
    <w:pPr>
      <w:tabs>
        <w:tab w:val="right" w:leader="dot" w:pos="9900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365D2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223AE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91B0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91B0C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D52DE0"/>
    <w:pPr>
      <w:autoSpaceDE w:val="0"/>
      <w:autoSpaceDN w:val="0"/>
      <w:adjustRightInd w:val="0"/>
    </w:pPr>
    <w:rPr>
      <w:rFonts w:ascii="Calibri" w:cs="Calibri" w:hAnsi="Calibri"/>
      <w:color w:val="000000"/>
    </w:rPr>
  </w:style>
  <w:style w:type="character" w:styleId="json-formatter-key" w:customStyle="1">
    <w:name w:val="json-formatter-key"/>
    <w:basedOn w:val="Fontepargpadro"/>
    <w:rsid w:val="00F526B8"/>
  </w:style>
  <w:style w:type="paragraph" w:styleId="NormalWeb">
    <w:name w:val="Normal (Web)"/>
    <w:basedOn w:val="Normal"/>
    <w:uiPriority w:val="99"/>
    <w:unhideWhenUsed w:val="1"/>
    <w:rsid w:val="00AF22EE"/>
    <w:pPr>
      <w:spacing w:after="100" w:afterAutospacing="1" w:before="100" w:beforeAutospacing="1" w:line="240" w:lineRule="auto"/>
      <w:ind w:left="0" w:right="0"/>
      <w:jc w:val="left"/>
    </w:pPr>
    <w:rPr>
      <w:rFonts w:ascii="Times New Roman" w:cs="Times New Roman" w:eastAsia="Times New Roman" w:hAnsi="Times New Roman"/>
      <w:lang w:eastAsia="en-US" w:val="en-US"/>
    </w:rPr>
  </w:style>
  <w:style w:type="character" w:styleId="Forte">
    <w:name w:val="Strong"/>
    <w:uiPriority w:val="22"/>
    <w:qFormat w:val="1"/>
    <w:rsid w:val="00AF22EE"/>
    <w:rPr>
      <w:b w:val="1"/>
      <w:bCs w:val="1"/>
    </w:rPr>
  </w:style>
  <w:style w:type="character" w:styleId="opblock-summary-path" w:customStyle="1">
    <w:name w:val="opblock-summary-path"/>
    <w:rsid w:val="00833A16"/>
  </w:style>
  <w:style w:type="character" w:styleId="MenoPendente">
    <w:name w:val="Unresolved Mention"/>
    <w:basedOn w:val="Fontepargpadro"/>
    <w:uiPriority w:val="99"/>
    <w:semiHidden w:val="1"/>
    <w:unhideWhenUsed w:val="1"/>
    <w:rsid w:val="0077126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="331" w:lineRule="auto"/>
    </w:pPr>
    <w:rPr>
      <w:rFonts w:ascii="Trebuchet MS" w:cs="Trebuchet MS" w:eastAsia="Trebuchet MS" w:hAnsi="Trebuchet MS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yperlink" Target="https://5843489-sb1.app.netsuite.com/app/common/search/searchresults.nl?searchid=1223&amp;whence=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7eSNbVdUf9HUFkpJ7v50wre4zg==">AMUW2mVboQZ+BzYOyoCQKTjcqAaT7PMnoFTztp58z0u5ZnqXCFlt3NjNxge8nb+bZsXJ79F7Ujvx1bgtaWivSxnL+JgA46g59YOlX8joe968yaUjG8F98yEFh1ORhYpFy399i6rvBsTGnQ6KcwyO+rdH54If/uE/j9WCVntZnfMDGvCcIyjxrhTwosxXMoh8pR6nYr6HcuHLH9efwDHQNGEe5xkmzY4afQy70jAh0vitj+MT80jyn8T9L08XnUB5qx4xtcABjaOGllXix2905P9CYHCvaO/gQImdOn/We2Xm2oPe/ARSwA6+B8KCF0lnRDZToTaPPtqSuHv9k4a+KyPBmtz/hsBo8OZhyDqdGp1ggQgEogYFj+35nTuyzH39kRWH/1CH4SEGa+EE/Z8rV98EfQogVDM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2022-06-17T13:24:00Z</dcterms:created>
  <dc:creator>Lincon Cesar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