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theme/theme1.xml" ContentType="application/vnd.openxmlformats-officedocument.them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rPr/>
      </w:pPr>
      <w:r>
        <w:rPr/>
      </w:r>
    </w:p>
    <w:p>
      <w:pPr>
        <w:pStyle w:val="Normal"/>
        <w:spacing w:before="1200" w:after="0"/>
        <w:jc w:val="center"/>
        <w:rPr/>
      </w:pPr>
      <w:r>
        <w:rPr>
          <w:b/>
          <w:bCs/>
          <w:sz w:val="28"/>
          <w:szCs w:val="28"/>
        </w:rPr>
        <w:t>PROJETO CIAPE</w:t>
      </w:r>
    </w:p>
    <w:p>
      <w:pPr>
        <w:pStyle w:val="Normal"/>
        <w:spacing w:before="120" w:after="0"/>
        <w:jc w:val="center"/>
        <w:rPr/>
      </w:pPr>
      <w:r>
        <w:rPr>
          <w:sz w:val="24"/>
          <w:szCs w:val="24"/>
        </w:rPr>
        <w:t>Consolidação e Inteligência Analítica sobre Permanência Estudantil</w:t>
      </w:r>
    </w:p>
    <w:p>
      <w:pPr>
        <w:pStyle w:val="Normal"/>
        <w:rPr/>
      </w:pPr>
      <w:r>
        <w:rPr/>
      </w:r>
      <w:r>
        <w:br w:type="page"/>
      </w:r>
    </w:p>
    <w:p>
      <w:pPr>
        <w:pStyle w:val="Normal"/>
        <w:spacing w:before="0" w:after="0"/>
        <w:jc w:val="center"/>
        <w:rPr/>
      </w:pPr>
      <w:r>
        <w:rPr>
          <w:b/>
          <w:bCs/>
          <w:sz w:val="28"/>
          <w:szCs w:val="28"/>
        </w:rPr>
        <w:t>PROTOCOLO METODOLÓGICO PARA EXTRAÇÃO E PADRONIZAÇÃO DE DADOS DE ASSISTÊNCIA ESTUDANTIL EM EDITAIS DE INSTITUIÇÕES DE ENSINO SUPERIOR PÚBLICAS DO BRASIL</w:t>
      </w:r>
    </w:p>
    <w:p>
      <w:pPr>
        <w:pStyle w:val="Normal"/>
        <w:spacing w:before="480" w:after="0"/>
        <w:jc w:val="center"/>
        <w:rPr/>
      </w:pPr>
      <w:r>
        <w:rPr>
          <w:i/>
          <w:iCs/>
          <w:sz w:val="24"/>
          <w:szCs w:val="24"/>
        </w:rPr>
        <w:t>Versão 2.0 — revisão crítica e generalização nacional</w:t>
      </w:r>
    </w:p>
    <w:p>
      <w:pPr>
        <w:pStyle w:val="Normal"/>
        <w:rPr/>
      </w:pPr>
      <w:r>
        <w:rPr/>
      </w:r>
      <w:r>
        <w:br w:type="page"/>
      </w:r>
    </w:p>
    <w:p>
      <w:pPr>
        <w:pStyle w:val="Normal"/>
        <w:spacing w:before="0" w:after="0"/>
        <w:jc w:val="center"/>
        <w:rPr/>
      </w:pPr>
      <w:r>
        <w:rPr>
          <w:b/>
          <w:bCs/>
          <w:sz w:val="26"/>
          <w:szCs w:val="26"/>
        </w:rPr>
        <w:t>PROTOCOLO METODOLÓGICO PARA EXTRAÇÃO E PADRONIZAÇÃO DE DADOS DE ASSISTÊNCIA ESTUDANTIL EM EDITAIS DE INSTITUIÇÕES DE ENSINO SUPERIOR PÚBLICAS DO BRASIL</w:t>
      </w:r>
    </w:p>
    <w:p>
      <w:pPr>
        <w:pStyle w:val="Normal"/>
        <w:spacing w:before="800" w:after="0"/>
        <w:ind w:start="4535"/>
        <w:jc w:val="both"/>
        <w:rPr/>
      </w:pPr>
      <w:r>
        <w:rPr>
          <w:sz w:val="24"/>
          <w:szCs w:val="24"/>
        </w:rPr>
        <w:t>Documento técnico-metodológico elaborado no âmbito do Projeto CIAPE, descrevendo o protocolo de extração, padronização, validação e versionamento de dados de vagas, valores e critérios de auxílios de assistência estudantil publicados em editais oficiais, com vistas à replicação em Instituições de Ensino Superior (IES) públicas de qualquer esfera administrativa no Brasil.</w:t>
      </w:r>
    </w:p>
    <w:p>
      <w:pPr>
        <w:pStyle w:val="Normal"/>
        <w:spacing w:before="3200" w:after="0"/>
        <w:jc w:val="center"/>
        <w:rPr/>
      </w:pPr>
      <w:r>
        <w:rPr>
          <w:sz w:val="24"/>
          <w:szCs w:val="24"/>
        </w:rPr>
        <w:t>Versão 2.0</w:t>
      </w:r>
    </w:p>
    <w:p>
      <w:pPr>
        <w:pStyle w:val="Normal"/>
        <w:jc w:val="center"/>
        <w:rPr/>
      </w:pPr>
      <w:r>
        <w:rPr>
          <w:sz w:val="24"/>
          <w:szCs w:val="24"/>
        </w:rPr>
        <w:t>2026</w:t>
      </w:r>
    </w:p>
    <w:p>
      <w:pPr>
        <w:pStyle w:val="Normal"/>
        <w:rPr/>
      </w:pPr>
      <w:r>
        <w:rPr/>
      </w:r>
      <w:r>
        <w:br w:type="page"/>
      </w:r>
    </w:p>
    <w:p>
      <w:pPr>
        <w:pStyle w:val="Normal"/>
        <w:spacing w:before="0" w:after="240"/>
        <w:jc w:val="center"/>
        <w:rPr/>
      </w:pPr>
      <w:r>
        <w:rPr>
          <w:b/>
          <w:bCs/>
          <w:sz w:val="24"/>
          <w:szCs w:val="24"/>
        </w:rPr>
        <w:t>RESUMO</w:t>
      </w:r>
    </w:p>
    <w:p>
      <w:pPr>
        <w:pStyle w:val="Normal"/>
        <w:spacing w:lineRule="auto" w:line="240" w:before="0" w:after="240"/>
        <w:jc w:val="both"/>
        <w:rPr/>
      </w:pPr>
      <w:r>
        <w:rPr>
          <w:sz w:val="24"/>
          <w:szCs w:val="24"/>
        </w:rPr>
        <w:t>Este documento apresenta um protocolo metodológico para extração, padronização e validação de dados de vagas, valores e critérios de auxílios de assistência estudantil publicados em editais de Instituições de Ensino Superior (IES) públicas brasileiras. Desenvolvido a partir da análise de editais da Universidade Federal da Paraíba (UFPB, quatro campi, múltiplos ciclos), o protocolo foi submetido a uma revisão crítica que corrige limitações identificadas na versão anterior: (i) generalização não sustentada empiricamente para o território nacional, validada até então em uma única instituição; (ii) ausência de limiares quantitativos para validação temporal de plausibilidade; (iii) citação metodológica não verificada; (iv) ausência de métrica de confiabilidade entre extratores; (v) ausência de enquadramento do universo institucional de referência; (vi) estruturação incompleta do campo de critérios de elegibilidade; (vii) ausência de controle de versão do próprio protocolo; (viii) viés de seleção do corpus documental; (ix) desarticulação com a infraestrutura de dados abertos já existente no país; e (x) falta de reconciliação entre o instrumento de coleta e o esquema de banco de dados operacional do projeto. O método consiste em análise documental estruturada, com esquema de codificação fechado, validação aritmética obrigatória contra totais declarados nos documentos-fonte e regras objetivas de tratamento de retificações e séries temporais. O protocolo resultante inclui instrumento de coleta padronizado, taxonomia funcional extensível de benefícios, protocolo de adaptação institucional e agenda explícita de validação empírica ainda pendente de execução.</w:t>
      </w:r>
    </w:p>
    <w:p>
      <w:pPr>
        <w:pStyle w:val="Normal"/>
        <w:jc w:val="both"/>
        <w:rPr/>
      </w:pPr>
      <w:r>
        <w:rPr>
          <w:sz w:val="24"/>
          <w:szCs w:val="24"/>
        </w:rPr>
        <w:t>Palavras-chave: Assistência Estudantil; PNAES; Extração de Dados; Análise Documental; Ciência de Dados; Políticas Públicas Educacionais.</w:t>
      </w:r>
    </w:p>
    <w:p>
      <w:pPr>
        <w:pStyle w:val="Normal"/>
        <w:rPr/>
      </w:pPr>
      <w:r>
        <w:rPr/>
      </w:r>
      <w:r>
        <w:br w:type="page"/>
      </w:r>
    </w:p>
    <w:p>
      <w:pPr>
        <w:pStyle w:val="Normal"/>
        <w:spacing w:before="0" w:after="240"/>
        <w:jc w:val="center"/>
        <w:rPr/>
      </w:pPr>
      <w:r>
        <w:rPr>
          <w:b/>
          <w:bCs/>
          <w:sz w:val="24"/>
          <w:szCs w:val="24"/>
        </w:rPr>
        <w:t>ABSTRACT</w:t>
      </w:r>
    </w:p>
    <w:p>
      <w:pPr>
        <w:pStyle w:val="Normal"/>
        <w:spacing w:lineRule="auto" w:line="240" w:before="0" w:after="240"/>
        <w:jc w:val="both"/>
        <w:rPr/>
      </w:pPr>
      <w:r>
        <w:rPr>
          <w:sz w:val="24"/>
          <w:szCs w:val="24"/>
        </w:rPr>
        <w:t>This document presents a methodological protocol for extracting, standardizing, and validating data on slots, values, and eligibility criteria for student assistance benefits published in official notices (editais) issued by Brazilian public Higher Education Institutions (HEIs). Developed from the analysis of notices issued by the Federal University of Paraíba (UFPB, four campuses, multiple cycles), the protocol underwent a critical review that corrects limitations identified in the previous version: (i) generalization to the national territory unsupported by empirical evidence, validated until then on a single institution; (ii) absence of quantitative thresholds for temporal plausibility validation; (iii) an unverified methodological citation; (iv) absence of an inter-coder reliability metric; (v) absence of a defined reference institutional universe; (vi) incomplete structuring of the eligibility-criteria field; (vii) absence of version control for the protocol itself; (viii) selection bias in the document corpus; (ix) disconnection from Brazil's existing open-data infrastructure; and (x) lack of reconciliation between the collection instrument and the project's operational database schema. The method consists of structured document analysis with a closed coding scheme, mandatory arithmetic validation against totals declared in source documents, and objective rules for handling corrigenda and time series. The resulting protocol includes a standardized data-collection instrument, an extensible functional taxonomy of benefits, an institutional onboarding protocol, and an explicit empirical validation agenda still pending execution.</w:t>
      </w:r>
    </w:p>
    <w:p>
      <w:pPr>
        <w:pStyle w:val="Normal"/>
        <w:jc w:val="both"/>
        <w:rPr/>
      </w:pPr>
      <w:r>
        <w:rPr>
          <w:sz w:val="24"/>
          <w:szCs w:val="24"/>
        </w:rPr>
        <w:t>Keywords: Student Assistance; PNAES; Data Extraction; Document Analysis; Data Science; Educational Public Policy.</w:t>
      </w:r>
    </w:p>
    <w:p>
      <w:pPr>
        <w:pStyle w:val="Normal"/>
        <w:rPr/>
      </w:pPr>
      <w:r>
        <w:rPr/>
      </w:r>
      <w:r>
        <w:br w:type="page"/>
      </w:r>
    </w:p>
    <w:p>
      <w:pPr>
        <w:pStyle w:val="Heading1"/>
        <w:spacing w:before="0" w:after="240"/>
        <w:rPr/>
      </w:pPr>
      <w:r>
        <w:rPr>
          <w:b/>
          <w:bCs/>
          <w:sz w:val="24"/>
          <w:szCs w:val="24"/>
        </w:rPr>
        <w:t>LISTA DE QUADROS</w:t>
      </w:r>
    </w:p>
    <w:p>
      <w:pPr>
        <w:pStyle w:val="Normal"/>
        <w:spacing w:lineRule="auto" w:line="360" w:before="0" w:after="160"/>
        <w:jc w:val="both"/>
        <w:rPr/>
      </w:pPr>
      <w:r>
        <w:rPr>
          <w:sz w:val="24"/>
          <w:szCs w:val="24"/>
        </w:rPr>
        <w:t>Quadro 1 – Esferas administrativas, marco legal e nomenclatura</w:t>
      </w:r>
    </w:p>
    <w:p>
      <w:pPr>
        <w:pStyle w:val="Normal"/>
        <w:spacing w:lineRule="auto" w:line="360" w:before="0" w:after="160"/>
        <w:jc w:val="both"/>
        <w:rPr/>
      </w:pPr>
      <w:r>
        <w:rPr>
          <w:sz w:val="24"/>
          <w:szCs w:val="24"/>
        </w:rPr>
        <w:t>Quadro 2 – Objetivos específicos</w:t>
      </w:r>
    </w:p>
    <w:p>
      <w:pPr>
        <w:pStyle w:val="Normal"/>
        <w:spacing w:lineRule="auto" w:line="360" w:before="0" w:after="160"/>
        <w:jc w:val="both"/>
        <w:rPr/>
      </w:pPr>
      <w:r>
        <w:rPr>
          <w:sz w:val="24"/>
          <w:szCs w:val="24"/>
        </w:rPr>
        <w:t>Quadro 3 – Tipos de validação e limiares quantitativos</w:t>
      </w:r>
    </w:p>
    <w:p>
      <w:pPr>
        <w:pStyle w:val="Normal"/>
        <w:spacing w:lineRule="auto" w:line="360" w:before="0" w:after="160"/>
        <w:jc w:val="both"/>
        <w:rPr/>
      </w:pPr>
      <w:r>
        <w:rPr>
          <w:sz w:val="24"/>
          <w:szCs w:val="24"/>
        </w:rPr>
        <w:t>Quadro 4 – Etapas do protocolo operacional de extração</w:t>
      </w:r>
    </w:p>
    <w:p>
      <w:pPr>
        <w:pStyle w:val="Normal"/>
        <w:spacing w:lineRule="auto" w:line="360" w:before="0" w:after="160"/>
        <w:jc w:val="both"/>
        <w:rPr/>
      </w:pPr>
      <w:r>
        <w:rPr>
          <w:sz w:val="24"/>
          <w:szCs w:val="24"/>
        </w:rPr>
        <w:t>Quadro 5 – Taxonomia funcional de benefícios (vocabulário controlado)</w:t>
      </w:r>
    </w:p>
    <w:p>
      <w:pPr>
        <w:pStyle w:val="Normal"/>
        <w:spacing w:lineRule="auto" w:line="360" w:before="0" w:after="160"/>
        <w:jc w:val="both"/>
        <w:rPr/>
      </w:pPr>
      <w:r>
        <w:rPr>
          <w:sz w:val="24"/>
          <w:szCs w:val="24"/>
        </w:rPr>
        <w:t>Quadro 6 – Protocolo de adaptação institucional (onboarding)</w:t>
      </w:r>
    </w:p>
    <w:p>
      <w:pPr>
        <w:pStyle w:val="Normal"/>
        <w:spacing w:lineRule="auto" w:line="360" w:before="0" w:after="160"/>
        <w:jc w:val="both"/>
        <w:rPr/>
      </w:pPr>
      <w:r>
        <w:rPr>
          <w:sz w:val="24"/>
          <w:szCs w:val="24"/>
        </w:rPr>
        <w:t>Quadro 7 – Registro de revisão crítica (versão 1 → versão 2)</w:t>
      </w:r>
    </w:p>
    <w:p>
      <w:pPr>
        <w:pStyle w:val="Normal"/>
        <w:spacing w:lineRule="auto" w:line="360" w:before="0" w:after="160"/>
        <w:jc w:val="both"/>
        <w:rPr/>
      </w:pPr>
      <w:r>
        <w:rPr>
          <w:sz w:val="24"/>
          <w:szCs w:val="24"/>
        </w:rPr>
        <w:t>Quadro 8 – Instrumento de coleta de dados (schema padronizado)</w:t>
      </w:r>
    </w:p>
    <w:p>
      <w:pPr>
        <w:pStyle w:val="Normal"/>
        <w:rPr/>
      </w:pPr>
      <w:r>
        <w:rPr/>
      </w:r>
      <w:r>
        <w:br w:type="page"/>
      </w:r>
    </w:p>
    <w:p>
      <w:pPr>
        <w:pStyle w:val="Heading1"/>
        <w:spacing w:before="0" w:after="240"/>
        <w:rPr/>
      </w:pPr>
      <w:r>
        <w:rPr>
          <w:b/>
          <w:bCs/>
          <w:sz w:val="24"/>
          <w:szCs w:val="24"/>
        </w:rPr>
        <w:t>SUMÁRIO</w:t>
      </w:r>
    </w:p>
    <w:p>
      <w:pPr>
        <w:pStyle w:val="Normal"/>
        <w:spacing w:lineRule="auto" w:line="240" w:before="0" w:after="140"/>
        <w:ind w:start="0"/>
        <w:rPr/>
      </w:pPr>
      <w:r>
        <w:rPr>
          <w:b/>
          <w:bCs/>
          <w:sz w:val="24"/>
          <w:szCs w:val="24"/>
        </w:rPr>
        <w:t>1 INTRODUÇÃO</w:t>
      </w:r>
      <w:r>
        <w:rPr/>
        <w:tab/>
      </w:r>
      <w:r>
        <w:rPr>
          <w:sz w:val="24"/>
          <w:szCs w:val="24"/>
        </w:rPr>
        <w:t>8</w:t>
      </w:r>
    </w:p>
    <w:p>
      <w:pPr>
        <w:pStyle w:val="Normal"/>
        <w:spacing w:lineRule="auto" w:line="240" w:before="0" w:after="140"/>
        <w:ind w:start="0"/>
        <w:rPr/>
      </w:pPr>
      <w:r>
        <w:rPr>
          <w:b/>
          <w:bCs/>
          <w:sz w:val="24"/>
          <w:szCs w:val="24"/>
        </w:rPr>
        <w:t>2 FUNDAMENTAÇÃO LEGAL E DIVERSIDADE INSTITUCIONAL</w:t>
      </w:r>
      <w:r>
        <w:rPr/>
        <w:tab/>
      </w:r>
      <w:r>
        <w:rPr>
          <w:sz w:val="24"/>
          <w:szCs w:val="24"/>
        </w:rPr>
        <w:t>9</w:t>
      </w:r>
    </w:p>
    <w:p>
      <w:pPr>
        <w:pStyle w:val="Normal"/>
        <w:spacing w:lineRule="auto" w:line="240" w:before="0" w:after="140"/>
        <w:ind w:start="0"/>
        <w:rPr/>
      </w:pPr>
      <w:r>
        <w:rPr>
          <w:b/>
          <w:bCs/>
          <w:sz w:val="24"/>
          <w:szCs w:val="24"/>
        </w:rPr>
        <w:t>3 OBJETIVOS</w:t>
      </w:r>
      <w:r>
        <w:rPr/>
        <w:tab/>
      </w:r>
      <w:r>
        <w:rPr>
          <w:sz w:val="24"/>
          <w:szCs w:val="24"/>
        </w:rPr>
        <w:t>9</w:t>
      </w:r>
    </w:p>
    <w:p>
      <w:pPr>
        <w:pStyle w:val="Normal"/>
        <w:spacing w:lineRule="auto" w:line="240" w:before="0" w:after="80"/>
        <w:ind w:start="397"/>
        <w:rPr/>
      </w:pPr>
      <w:r>
        <w:rPr>
          <w:b w:val="false"/>
          <w:bCs w:val="false"/>
          <w:sz w:val="24"/>
          <w:szCs w:val="24"/>
        </w:rPr>
        <w:t>3.1 Objetivo Geral</w:t>
      </w:r>
      <w:r>
        <w:rPr/>
        <w:tab/>
      </w:r>
      <w:r>
        <w:rPr>
          <w:sz w:val="24"/>
          <w:szCs w:val="24"/>
        </w:rPr>
        <w:t>9</w:t>
      </w:r>
    </w:p>
    <w:p>
      <w:pPr>
        <w:pStyle w:val="Normal"/>
        <w:spacing w:lineRule="auto" w:line="240" w:before="0" w:after="80"/>
        <w:ind w:start="397"/>
        <w:rPr/>
      </w:pPr>
      <w:r>
        <w:rPr>
          <w:b w:val="false"/>
          <w:bCs w:val="false"/>
          <w:sz w:val="24"/>
          <w:szCs w:val="24"/>
        </w:rPr>
        <w:t>3.2 Objetivos Específicos</w:t>
      </w:r>
      <w:r>
        <w:rPr/>
        <w:tab/>
      </w:r>
      <w:r>
        <w:rPr>
          <w:sz w:val="24"/>
          <w:szCs w:val="24"/>
        </w:rPr>
        <w:t>10</w:t>
      </w:r>
    </w:p>
    <w:p>
      <w:pPr>
        <w:pStyle w:val="Normal"/>
        <w:spacing w:lineRule="auto" w:line="240" w:before="0" w:after="140"/>
        <w:ind w:start="0"/>
        <w:rPr/>
      </w:pPr>
      <w:r>
        <w:rPr>
          <w:b/>
          <w:bCs/>
          <w:sz w:val="24"/>
          <w:szCs w:val="24"/>
        </w:rPr>
        <w:t>4 PROCEDIMENTOS METODOLÓGICOS</w:t>
      </w:r>
      <w:r>
        <w:rPr/>
        <w:tab/>
      </w:r>
      <w:r>
        <w:rPr>
          <w:sz w:val="24"/>
          <w:szCs w:val="24"/>
        </w:rPr>
        <w:t>10</w:t>
      </w:r>
    </w:p>
    <w:p>
      <w:pPr>
        <w:pStyle w:val="Normal"/>
        <w:spacing w:lineRule="auto" w:line="240" w:before="0" w:after="80"/>
        <w:ind w:start="397"/>
        <w:rPr/>
      </w:pPr>
      <w:r>
        <w:rPr>
          <w:b w:val="false"/>
          <w:bCs w:val="false"/>
          <w:sz w:val="24"/>
          <w:szCs w:val="24"/>
        </w:rPr>
        <w:t>4.1 Delineamento do Estudo</w:t>
      </w:r>
      <w:r>
        <w:rPr/>
        <w:tab/>
      </w:r>
      <w:r>
        <w:rPr>
          <w:sz w:val="24"/>
          <w:szCs w:val="24"/>
        </w:rPr>
        <w:t>10</w:t>
      </w:r>
    </w:p>
    <w:p>
      <w:pPr>
        <w:pStyle w:val="Normal"/>
        <w:spacing w:lineRule="auto" w:line="240" w:before="0" w:after="80"/>
        <w:ind w:start="397"/>
        <w:rPr/>
      </w:pPr>
      <w:r>
        <w:rPr>
          <w:b w:val="false"/>
          <w:bCs w:val="false"/>
          <w:sz w:val="24"/>
          <w:szCs w:val="24"/>
        </w:rPr>
        <w:t>4.2 Unidade de Análise e Corpus Documental</w:t>
      </w:r>
      <w:r>
        <w:rPr/>
        <w:tab/>
      </w:r>
      <w:r>
        <w:rPr>
          <w:sz w:val="24"/>
          <w:szCs w:val="24"/>
        </w:rPr>
        <w:t>11</w:t>
      </w:r>
    </w:p>
    <w:p>
      <w:pPr>
        <w:pStyle w:val="Normal"/>
        <w:spacing w:lineRule="auto" w:line="240" w:before="0" w:after="80"/>
        <w:ind w:start="397"/>
        <w:rPr/>
      </w:pPr>
      <w:r>
        <w:rPr>
          <w:b w:val="false"/>
          <w:bCs w:val="false"/>
          <w:sz w:val="24"/>
          <w:szCs w:val="24"/>
        </w:rPr>
        <w:t>4.3 Instrumento de Coleta de Dados</w:t>
      </w:r>
      <w:r>
        <w:rPr/>
        <w:tab/>
      </w:r>
      <w:r>
        <w:rPr>
          <w:sz w:val="24"/>
          <w:szCs w:val="24"/>
        </w:rPr>
        <w:t>11</w:t>
      </w:r>
    </w:p>
    <w:p>
      <w:pPr>
        <w:pStyle w:val="Normal"/>
        <w:spacing w:lineRule="auto" w:line="240" w:before="0" w:after="80"/>
        <w:ind w:start="397"/>
        <w:rPr/>
      </w:pPr>
      <w:r>
        <w:rPr>
          <w:b w:val="false"/>
          <w:bCs w:val="false"/>
          <w:sz w:val="24"/>
          <w:szCs w:val="24"/>
        </w:rPr>
        <w:t>4.4 Confiabilidade, Validação e Controle de Qualidade</w:t>
      </w:r>
      <w:r>
        <w:rPr/>
        <w:tab/>
      </w:r>
      <w:r>
        <w:rPr>
          <w:sz w:val="24"/>
          <w:szCs w:val="24"/>
        </w:rPr>
        <w:t>12</w:t>
      </w:r>
    </w:p>
    <w:p>
      <w:pPr>
        <w:pStyle w:val="Normal"/>
        <w:spacing w:lineRule="auto" w:line="240" w:before="0" w:after="140"/>
        <w:ind w:start="0"/>
        <w:rPr/>
      </w:pPr>
      <w:r>
        <w:rPr>
          <w:b/>
          <w:bCs/>
          <w:sz w:val="24"/>
          <w:szCs w:val="24"/>
        </w:rPr>
        <w:t>5 PROTOCOLO OPERACIONAL DE EXTRAÇÃO</w:t>
      </w:r>
      <w:r>
        <w:rPr/>
        <w:tab/>
      </w:r>
      <w:r>
        <w:rPr>
          <w:sz w:val="24"/>
          <w:szCs w:val="24"/>
        </w:rPr>
        <w:t>12</w:t>
      </w:r>
    </w:p>
    <w:p>
      <w:pPr>
        <w:pStyle w:val="Normal"/>
        <w:spacing w:lineRule="auto" w:line="240" w:before="0" w:after="80"/>
        <w:ind w:start="397"/>
        <w:rPr/>
      </w:pPr>
      <w:r>
        <w:rPr>
          <w:b w:val="false"/>
          <w:bCs w:val="false"/>
          <w:sz w:val="24"/>
          <w:szCs w:val="24"/>
        </w:rPr>
        <w:t>5.1 Etapa Preliminar: Identificação do Marco Institucional Local</w:t>
      </w:r>
      <w:r>
        <w:rPr/>
        <w:tab/>
      </w:r>
      <w:r>
        <w:rPr>
          <w:sz w:val="24"/>
          <w:szCs w:val="24"/>
        </w:rPr>
        <w:t>12</w:t>
      </w:r>
    </w:p>
    <w:p>
      <w:pPr>
        <w:pStyle w:val="Normal"/>
        <w:spacing w:lineRule="auto" w:line="240" w:before="0" w:after="80"/>
        <w:ind w:start="397"/>
        <w:rPr/>
      </w:pPr>
      <w:r>
        <w:rPr>
          <w:b w:val="false"/>
          <w:bCs w:val="false"/>
          <w:sz w:val="24"/>
          <w:szCs w:val="24"/>
        </w:rPr>
        <w:t>5.2 Etapas de Extração</w:t>
      </w:r>
      <w:r>
        <w:rPr/>
        <w:tab/>
      </w:r>
      <w:r>
        <w:rPr>
          <w:sz w:val="24"/>
          <w:szCs w:val="24"/>
        </w:rPr>
        <w:t>13</w:t>
      </w:r>
    </w:p>
    <w:p>
      <w:pPr>
        <w:pStyle w:val="Normal"/>
        <w:spacing w:lineRule="auto" w:line="240" w:before="0" w:after="140"/>
        <w:ind w:start="0"/>
        <w:rPr/>
      </w:pPr>
      <w:r>
        <w:rPr>
          <w:b/>
          <w:bCs/>
          <w:sz w:val="24"/>
          <w:szCs w:val="24"/>
        </w:rPr>
        <w:t>6 TAXONOMIA FUNCIONAL DE BENEFÍCIOS DE ASSISTÊNCIA ESTUDANTIL</w:t>
      </w:r>
      <w:r>
        <w:rPr/>
        <w:tab/>
      </w:r>
      <w:r>
        <w:rPr>
          <w:sz w:val="24"/>
          <w:szCs w:val="24"/>
        </w:rPr>
        <w:t>13</w:t>
      </w:r>
    </w:p>
    <w:p>
      <w:pPr>
        <w:pStyle w:val="Normal"/>
        <w:spacing w:lineRule="auto" w:line="240" w:before="0" w:after="80"/>
        <w:ind w:start="397"/>
        <w:rPr/>
      </w:pPr>
      <w:r>
        <w:rPr>
          <w:b w:val="false"/>
          <w:bCs w:val="false"/>
          <w:sz w:val="24"/>
          <w:szCs w:val="24"/>
        </w:rPr>
        <w:t>6.1 Vocabulário Controlado</w:t>
      </w:r>
      <w:r>
        <w:rPr/>
        <w:tab/>
      </w:r>
      <w:r>
        <w:rPr>
          <w:sz w:val="24"/>
          <w:szCs w:val="24"/>
        </w:rPr>
        <w:t>13</w:t>
      </w:r>
    </w:p>
    <w:p>
      <w:pPr>
        <w:pStyle w:val="Normal"/>
        <w:spacing w:lineRule="auto" w:line="240" w:before="0" w:after="80"/>
        <w:ind w:start="397"/>
        <w:rPr/>
      </w:pPr>
      <w:r>
        <w:rPr>
          <w:b w:val="false"/>
          <w:bCs w:val="false"/>
          <w:sz w:val="24"/>
          <w:szCs w:val="24"/>
        </w:rPr>
        <w:t>6.2 Regra de Extensão da Taxonomia</w:t>
      </w:r>
      <w:r>
        <w:rPr/>
        <w:tab/>
      </w:r>
      <w:r>
        <w:rPr>
          <w:sz w:val="24"/>
          <w:szCs w:val="24"/>
        </w:rPr>
        <w:t>14</w:t>
      </w:r>
    </w:p>
    <w:p>
      <w:pPr>
        <w:pStyle w:val="Normal"/>
        <w:spacing w:lineRule="auto" w:line="240" w:before="0" w:after="140"/>
        <w:ind w:start="0"/>
        <w:rPr/>
      </w:pPr>
      <w:r>
        <w:rPr>
          <w:b/>
          <w:bCs/>
          <w:sz w:val="24"/>
          <w:szCs w:val="24"/>
        </w:rPr>
        <w:t>7 REGRAS DE DECISÃO PARA AGREGAÇÃO E DESAGREGAÇÃO DE SUBGRUPOS</w:t>
      </w:r>
      <w:r>
        <w:rPr/>
        <w:tab/>
      </w:r>
      <w:r>
        <w:rPr>
          <w:sz w:val="24"/>
          <w:szCs w:val="24"/>
        </w:rPr>
        <w:t>14</w:t>
      </w:r>
    </w:p>
    <w:p>
      <w:pPr>
        <w:pStyle w:val="Normal"/>
        <w:spacing w:lineRule="auto" w:line="240" w:before="0" w:after="140"/>
        <w:ind w:start="0"/>
        <w:rPr/>
      </w:pPr>
      <w:r>
        <w:rPr>
          <w:b/>
          <w:bCs/>
          <w:sz w:val="24"/>
          <w:szCs w:val="24"/>
        </w:rPr>
        <w:t>8 PROTOCOLO DE VERSIONAMENTO: RETIFICAÇÕES E SÉRIES TEMPORAIS</w:t>
      </w:r>
      <w:r>
        <w:rPr/>
        <w:tab/>
      </w:r>
      <w:r>
        <w:rPr>
          <w:sz w:val="24"/>
          <w:szCs w:val="24"/>
        </w:rPr>
        <w:t>15</w:t>
      </w:r>
    </w:p>
    <w:p>
      <w:pPr>
        <w:pStyle w:val="Normal"/>
        <w:spacing w:lineRule="auto" w:line="240" w:before="0" w:after="140"/>
        <w:ind w:start="0"/>
        <w:rPr/>
      </w:pPr>
      <w:r>
        <w:rPr>
          <w:b/>
          <w:bCs/>
          <w:sz w:val="24"/>
          <w:szCs w:val="24"/>
        </w:rPr>
        <w:t>9 PROTOCOLO DE ADAPTAÇÃO INSTITUCIONAL (ONBOARDING)</w:t>
      </w:r>
      <w:r>
        <w:rPr/>
        <w:tab/>
      </w:r>
      <w:r>
        <w:rPr>
          <w:sz w:val="24"/>
          <w:szCs w:val="24"/>
        </w:rPr>
        <w:t>15</w:t>
      </w:r>
    </w:p>
    <w:p>
      <w:pPr>
        <w:pStyle w:val="Normal"/>
        <w:spacing w:lineRule="auto" w:line="240" w:before="0" w:after="140"/>
        <w:ind w:start="0"/>
        <w:rPr/>
      </w:pPr>
      <w:r>
        <w:rPr>
          <w:b/>
          <w:bCs/>
          <w:sz w:val="24"/>
          <w:szCs w:val="24"/>
        </w:rPr>
        <w:t>10 LIMITAÇÕES E AMEAÇAS À VALIDADE</w:t>
      </w:r>
      <w:r>
        <w:rPr/>
        <w:tab/>
      </w:r>
      <w:r>
        <w:rPr>
          <w:sz w:val="24"/>
          <w:szCs w:val="24"/>
        </w:rPr>
        <w:t>15</w:t>
      </w:r>
    </w:p>
    <w:p>
      <w:pPr>
        <w:pStyle w:val="Normal"/>
        <w:spacing w:lineRule="auto" w:line="240" w:before="0" w:after="140"/>
        <w:ind w:start="0"/>
        <w:rPr/>
      </w:pPr>
      <w:r>
        <w:rPr>
          <w:b/>
          <w:bCs/>
          <w:sz w:val="24"/>
          <w:szCs w:val="24"/>
        </w:rPr>
        <w:t>11 AGENDA DE VALIDAÇÃO EMPÍRICA E ESCALABILIDADE NACIONAL</w:t>
      </w:r>
      <w:r>
        <w:rPr/>
        <w:tab/>
      </w:r>
      <w:r>
        <w:rPr>
          <w:sz w:val="24"/>
          <w:szCs w:val="24"/>
        </w:rPr>
        <w:t>16</w:t>
      </w:r>
    </w:p>
    <w:p>
      <w:pPr>
        <w:pStyle w:val="Normal"/>
        <w:spacing w:lineRule="auto" w:line="240" w:before="0" w:after="140"/>
        <w:ind w:start="0"/>
        <w:rPr/>
      </w:pPr>
      <w:r>
        <w:rPr>
          <w:b/>
          <w:bCs/>
          <w:sz w:val="24"/>
          <w:szCs w:val="24"/>
        </w:rPr>
        <w:t>12 DADOS ABERTOS, TRANSPARÊNCIA E CONSIDERAÇÕES ÉTICAS</w:t>
      </w:r>
      <w:r>
        <w:rPr/>
        <w:tab/>
      </w:r>
      <w:r>
        <w:rPr>
          <w:sz w:val="24"/>
          <w:szCs w:val="24"/>
        </w:rPr>
        <w:t>17</w:t>
      </w:r>
    </w:p>
    <w:p>
      <w:pPr>
        <w:pStyle w:val="Normal"/>
        <w:spacing w:lineRule="auto" w:line="240" w:before="0" w:after="140"/>
        <w:ind w:start="0"/>
        <w:rPr/>
      </w:pPr>
      <w:r>
        <w:rPr>
          <w:b/>
          <w:bCs/>
          <w:sz w:val="24"/>
          <w:szCs w:val="24"/>
        </w:rPr>
        <w:t>13 CONTROLE DE VERSÃO DO PROTOCOLO</w:t>
      </w:r>
      <w:r>
        <w:rPr/>
        <w:tab/>
      </w:r>
      <w:r>
        <w:rPr>
          <w:sz w:val="24"/>
          <w:szCs w:val="24"/>
        </w:rPr>
        <w:t>18</w:t>
      </w:r>
    </w:p>
    <w:p>
      <w:pPr>
        <w:pStyle w:val="Normal"/>
        <w:spacing w:lineRule="auto" w:line="240" w:before="0" w:after="140"/>
        <w:ind w:start="0"/>
        <w:rPr/>
      </w:pPr>
      <w:r>
        <w:rPr>
          <w:b/>
          <w:bCs/>
          <w:sz w:val="24"/>
          <w:szCs w:val="24"/>
        </w:rPr>
        <w:t>14 CONSIDERAÇÕES FINAIS</w:t>
      </w:r>
      <w:r>
        <w:rPr/>
        <w:tab/>
      </w:r>
      <w:r>
        <w:rPr>
          <w:sz w:val="24"/>
          <w:szCs w:val="24"/>
        </w:rPr>
        <w:t>19</w:t>
      </w:r>
    </w:p>
    <w:p>
      <w:pPr>
        <w:pStyle w:val="Normal"/>
        <w:spacing w:lineRule="auto" w:line="240" w:before="0" w:after="140"/>
        <w:ind w:start="0"/>
        <w:rPr/>
      </w:pPr>
      <w:r>
        <w:rPr>
          <w:b/>
          <w:bCs/>
          <w:sz w:val="24"/>
          <w:szCs w:val="24"/>
        </w:rPr>
        <w:t>REFERÊNCIAS</w:t>
      </w:r>
      <w:r>
        <w:rPr/>
        <w:tab/>
      </w:r>
      <w:r>
        <w:rPr>
          <w:sz w:val="24"/>
          <w:szCs w:val="24"/>
        </w:rPr>
        <w:t>20</w:t>
      </w:r>
    </w:p>
    <w:p>
      <w:pPr>
        <w:pStyle w:val="Normal"/>
        <w:spacing w:lineRule="auto" w:line="240" w:before="0" w:after="140"/>
        <w:ind w:start="0"/>
        <w:rPr/>
      </w:pPr>
      <w:r>
        <w:rPr>
          <w:b/>
          <w:bCs/>
          <w:sz w:val="24"/>
          <w:szCs w:val="24"/>
        </w:rPr>
        <w:t>APÊNDICE A — Instrumento de Coleta de Dados (Schema Padronizado)</w:t>
      </w:r>
      <w:r>
        <w:rPr/>
        <w:tab/>
      </w:r>
      <w:r>
        <w:rPr>
          <w:sz w:val="24"/>
          <w:szCs w:val="24"/>
        </w:rPr>
        <w:t>21</w:t>
      </w:r>
    </w:p>
    <w:p>
      <w:pPr>
        <w:pStyle w:val="Normal"/>
        <w:spacing w:lineRule="auto" w:line="240" w:before="0" w:after="140"/>
        <w:ind w:start="0"/>
        <w:rPr/>
      </w:pPr>
      <w:r>
        <w:rPr>
          <w:b/>
          <w:bCs/>
          <w:sz w:val="24"/>
          <w:szCs w:val="24"/>
        </w:rPr>
        <w:t>APÊNDICE B — Log de Extensão da Taxonomia (modelo)</w:t>
      </w:r>
      <w:r>
        <w:rPr/>
        <w:tab/>
      </w:r>
      <w:r>
        <w:rPr>
          <w:sz w:val="24"/>
          <w:szCs w:val="24"/>
        </w:rPr>
        <w:t>22</w:t>
      </w:r>
    </w:p>
    <w:p>
      <w:pPr>
        <w:pStyle w:val="Normal"/>
        <w:spacing w:lineRule="auto" w:line="240" w:before="0" w:after="0"/>
        <w:ind w:start="0"/>
        <w:rPr/>
        <w:sectPr>
          <w:headerReference w:type="even" r:id="rId2"/>
          <w:headerReference w:type="default" r:id="rId3"/>
          <w:headerReference w:type="first" r:id="rId4"/>
          <w:type w:val="nextPage"/>
          <w:pgSz w:w="11906" w:h="16838"/>
          <w:pgMar w:left="1701" w:right="1134" w:gutter="0" w:header="708" w:top="1701" w:footer="0" w:bottom="1134"/>
          <w:pgNumType w:fmt="decimal"/>
          <w:formProt w:val="false"/>
          <w:textDirection w:val="lrTb"/>
          <w:docGrid w:type="default" w:linePitch="360" w:charSpace="0"/>
        </w:sectPr>
      </w:pPr>
      <w:r>
        <w:rPr>
          <w:b/>
          <w:bCs/>
          <w:sz w:val="24"/>
          <w:szCs w:val="24"/>
        </w:rPr>
        <w:t>APÊNDICE C — Checklist Operacional Resumido</w:t>
      </w:r>
      <w:r>
        <w:rPr/>
        <w:tab/>
      </w:r>
      <w:r>
        <w:rPr>
          <w:sz w:val="24"/>
          <w:szCs w:val="24"/>
        </w:rPr>
        <w:t>23</w:t>
      </w:r>
    </w:p>
    <w:p>
      <w:pPr>
        <w:pStyle w:val="Heading1"/>
        <w:spacing w:before="480" w:after="240"/>
        <w:rPr/>
      </w:pPr>
      <w:r>
        <w:rPr>
          <w:b/>
          <w:bCs/>
          <w:sz w:val="24"/>
          <w:szCs w:val="24"/>
        </w:rPr>
        <w:t>1 INTRODUÇÃO</w:t>
      </w:r>
    </w:p>
    <w:p>
      <w:pPr>
        <w:pStyle w:val="Normal"/>
        <w:spacing w:lineRule="auto" w:line="360" w:before="0" w:after="160"/>
        <w:ind w:firstLine="709"/>
        <w:jc w:val="both"/>
        <w:rPr/>
      </w:pPr>
      <w:r>
        <w:rPr>
          <w:sz w:val="24"/>
          <w:szCs w:val="24"/>
        </w:rPr>
        <w:t>A rede de Instituições de Ensino Superior (IES) públicas brasileiras publica, periodicamente, editais de seleção para auxílios de assistência estudantil. Esses documentos concentram informação relevante para pesquisa e gestão de política pública — número de vagas ofertadas, valores dos benefícios, critérios de elegibilidade, cronogramas — mas são publicados em formato textual não estruturado, com nomenclatura e organização que variam de instituição para instituição.</w:t>
      </w:r>
    </w:p>
    <w:p>
      <w:pPr>
        <w:pStyle w:val="Normal"/>
        <w:spacing w:lineRule="auto" w:line="360" w:before="0" w:after="160"/>
        <w:ind w:firstLine="709"/>
        <w:jc w:val="both"/>
        <w:rPr/>
      </w:pPr>
      <w:r>
        <w:rPr>
          <w:sz w:val="24"/>
          <w:szCs w:val="24"/>
        </w:rPr>
        <w:t>Este documento descreve um protocolo metodológico para converter esse conteúdo em dados estruturados, comparáveis e auditáveis. A versão inicial do protocolo foi desenvolvida e testada sobre editais da Pró-Reitoria de Assistência e Promoção ao Estudante (PRAPE) da Universidade Federal da Paraíba (UFPB), cobrindo os quatro campi da instituição em múltiplos ciclos seletivos (2025–2026).</w:t>
      </w:r>
    </w:p>
    <w:p>
      <w:pPr>
        <w:pStyle w:val="Normal"/>
        <w:spacing w:lineRule="auto" w:line="360" w:before="0" w:after="160"/>
        <w:ind w:firstLine="709"/>
        <w:jc w:val="both"/>
        <w:rPr/>
      </w:pPr>
      <w:r>
        <w:rPr>
          <w:sz w:val="24"/>
          <w:szCs w:val="24"/>
        </w:rPr>
        <w:t>A presente versão decorre de uma revisão crítica conduzida com o objetivo explícito de identificar e corrigir fragilidades metodológicas da versão anterior antes de qualquer alegação de aplicabilidade nacional. A revisão identificou dez problemas — detalhados no Quadro 7 (Seção 13) — relativos a validade externa, operacionalização de regras de validação, rastreabilidade de citações, confiabilidade entre extratores, definição do universo de referência, estruturação incompleta de campos, controle de versão, viés amostral do corpus, articulação com infraestrutura pública de dados abertos, e reconciliação com o esquema de banco de dados operacional do projeto.</w:t>
      </w:r>
    </w:p>
    <w:p>
      <w:pPr>
        <w:pStyle w:val="Normal"/>
        <w:spacing w:lineRule="auto" w:line="360" w:before="0" w:after="160"/>
        <w:ind w:firstLine="709"/>
        <w:jc w:val="both"/>
        <w:rPr/>
      </w:pPr>
      <w:r>
        <w:rPr>
          <w:sz w:val="24"/>
          <w:szCs w:val="24"/>
        </w:rPr>
        <w:t>O documento está organizado da seguinte forma: a Seção 2 situa o protocolo na diversidade de marcos legais que regem a assistência estudantil no Brasil; a Seção 3 define os objetivos; a Seção 4 detalha os procedimentos metodológicos, incluindo os critérios de confiabilidade e validação; as Seções 5 a 9 descrevem o protocolo operacional propriamente dito; as Seções 10 e 11 tratam, respectivamente, das limitações do método e da agenda de validação empírica ainda necessária; a Seção 12 aborda dados abertos e ética; a Seção 13 registra o controle de versão do próprio protocolo; e a Seção 14 apresenta as considerações finais.</w:t>
      </w:r>
    </w:p>
    <w:p>
      <w:pPr>
        <w:pStyle w:val="Heading1"/>
        <w:spacing w:before="480" w:after="240"/>
        <w:rPr/>
      </w:pPr>
      <w:r>
        <w:rPr>
          <w:b/>
          <w:bCs/>
          <w:sz w:val="24"/>
          <w:szCs w:val="24"/>
        </w:rPr>
        <w:t>2 FUNDAMENTAÇÃO LEGAL E DIVERSIDADE INSTITUCIONAL</w:t>
      </w:r>
    </w:p>
    <w:p>
      <w:pPr>
        <w:pStyle w:val="Normal"/>
        <w:spacing w:lineRule="auto" w:line="360" w:before="0" w:after="160"/>
        <w:ind w:firstLine="709"/>
        <w:jc w:val="both"/>
        <w:rPr/>
      </w:pPr>
      <w:r>
        <w:rPr>
          <w:sz w:val="24"/>
          <w:szCs w:val="24"/>
        </w:rPr>
        <w:t>A assistência estudantil no ensino superior público brasileiro não decorre de um único marco legal nacional. O Programa Nacional de Assistência Estudantil (PNAES), instituído por lei federal e citado nos editais analisados como fundamento normativo — "Lei nº 14.914/2024, que institui a Política Nacional de Assistência Estudantil (PNAES)" — aplica-se a universidades federais e institutos federais. Universidades estaduais e municipais operam sob legislação e resoluções internas próprias, sem equivalente nacional único (Quadro 1).</w:t>
      </w:r>
    </w:p>
    <w:p>
      <w:pPr>
        <w:pStyle w:val="Normal"/>
        <w:spacing w:before="240" w:after="80"/>
        <w:jc w:val="center"/>
        <w:rPr/>
      </w:pPr>
      <w:r>
        <w:rPr>
          <w:b/>
          <w:bCs/>
          <w:sz w:val="20"/>
          <w:szCs w:val="20"/>
        </w:rPr>
        <w:t>Quadro 1 – Esferas administrativas, marco legal e nomenclatura</w:t>
      </w:r>
    </w:p>
    <w:tbl>
      <w:tblPr>
        <w:tblW w:w="9900" w:type="dxa"/>
        <w:jc w:val="start"/>
        <w:tblInd w:w="0" w:type="dxa"/>
        <w:tblLayout w:type="fixed"/>
        <w:tblCellMar>
          <w:top w:w="60" w:type="dxa"/>
          <w:start w:w="80" w:type="dxa"/>
          <w:bottom w:w="60" w:type="dxa"/>
          <w:end w:w="80" w:type="dxa"/>
        </w:tblCellMar>
      </w:tblPr>
      <w:tblGrid>
        <w:gridCol w:w="2399"/>
        <w:gridCol w:w="4201"/>
        <w:gridCol w:w="3300"/>
      </w:tblGrid>
      <w:tr>
        <w:trPr>
          <w:tblHeader w:val="true"/>
        </w:trPr>
        <w:tc>
          <w:tcPr>
            <w:tcW w:w="2399" w:type="dxa"/>
            <w:tcBorders>
              <w:top w:val="single" w:sz="4" w:space="0" w:color="000000"/>
              <w:start w:val="single" w:sz="4" w:space="0" w:color="000000"/>
              <w:bottom w:val="single" w:sz="2" w:space="0" w:color="888888"/>
              <w:end w:val="single" w:sz="2" w:space="0" w:color="888888"/>
            </w:tcBorders>
            <w:shd w:fill="D9D9D9" w:val="clear"/>
            <w:vAlign w:val="center"/>
          </w:tcPr>
          <w:p>
            <w:pPr>
              <w:pStyle w:val="Normal"/>
              <w:spacing w:lineRule="auto" w:line="240"/>
              <w:jc w:val="center"/>
              <w:rPr/>
            </w:pPr>
            <w:r>
              <w:rPr>
                <w:b/>
                <w:bCs/>
                <w:sz w:val="20"/>
                <w:szCs w:val="20"/>
              </w:rPr>
              <w:t>Esfera administrativa</w:t>
            </w:r>
          </w:p>
        </w:tc>
        <w:tc>
          <w:tcPr>
            <w:tcW w:w="4201" w:type="dxa"/>
            <w:tcBorders>
              <w:top w:val="single" w:sz="4" w:space="0" w:color="000000"/>
              <w:start w:val="single" w:sz="2" w:space="0" w:color="888888"/>
              <w:bottom w:val="single" w:sz="2" w:space="0" w:color="888888"/>
              <w:end w:val="single" w:sz="2" w:space="0" w:color="888888"/>
            </w:tcBorders>
            <w:shd w:fill="D9D9D9" w:val="clear"/>
            <w:vAlign w:val="center"/>
          </w:tcPr>
          <w:p>
            <w:pPr>
              <w:pStyle w:val="Normal"/>
              <w:spacing w:lineRule="auto" w:line="240"/>
              <w:jc w:val="center"/>
              <w:rPr/>
            </w:pPr>
            <w:r>
              <w:rPr>
                <w:b/>
                <w:bCs/>
                <w:sz w:val="20"/>
                <w:szCs w:val="20"/>
              </w:rPr>
              <w:t>Marco legal típico</w:t>
            </w:r>
          </w:p>
        </w:tc>
        <w:tc>
          <w:tcPr>
            <w:tcW w:w="3300" w:type="dxa"/>
            <w:tcBorders>
              <w:top w:val="single" w:sz="4" w:space="0" w:color="000000"/>
              <w:start w:val="single" w:sz="2" w:space="0" w:color="888888"/>
              <w:bottom w:val="single" w:sz="2" w:space="0" w:color="888888"/>
              <w:end w:val="single" w:sz="4" w:space="0" w:color="000000"/>
            </w:tcBorders>
            <w:shd w:fill="D9D9D9" w:val="clear"/>
            <w:vAlign w:val="center"/>
          </w:tcPr>
          <w:p>
            <w:pPr>
              <w:pStyle w:val="Normal"/>
              <w:spacing w:lineRule="auto" w:line="240"/>
              <w:jc w:val="center"/>
              <w:rPr/>
            </w:pPr>
            <w:r>
              <w:rPr>
                <w:b/>
                <w:bCs/>
                <w:sz w:val="20"/>
                <w:szCs w:val="20"/>
              </w:rPr>
              <w:t>Exemplos de nomenclatura observada</w:t>
            </w:r>
          </w:p>
        </w:tc>
      </w:tr>
      <w:tr>
        <w:trPr/>
        <w:tc>
          <w:tcPr>
            <w:tcW w:w="2399" w:type="dxa"/>
            <w:tcBorders>
              <w:top w:val="single" w:sz="2" w:space="0" w:color="888888"/>
              <w:start w:val="single" w:sz="4" w:space="0" w:color="000000"/>
              <w:bottom w:val="single" w:sz="2" w:space="0" w:color="888888"/>
              <w:end w:val="single" w:sz="2" w:space="0" w:color="888888"/>
            </w:tcBorders>
            <w:vAlign w:val="center"/>
          </w:tcPr>
          <w:p>
            <w:pPr>
              <w:pStyle w:val="Normal"/>
              <w:spacing w:lineRule="auto" w:line="240"/>
              <w:jc w:val="start"/>
              <w:rPr/>
            </w:pPr>
            <w:r>
              <w:rPr>
                <w:sz w:val="20"/>
                <w:szCs w:val="20"/>
              </w:rPr>
              <w:t>Federal — Universidades</w:t>
            </w:r>
          </w:p>
        </w:tc>
        <w:tc>
          <w:tcPr>
            <w:tcW w:w="4201" w:type="dxa"/>
            <w:tcBorders>
              <w:top w:val="single" w:sz="2" w:space="0" w:color="888888"/>
              <w:start w:val="single" w:sz="2" w:space="0" w:color="888888"/>
              <w:bottom w:val="single" w:sz="2" w:space="0" w:color="888888"/>
              <w:end w:val="single" w:sz="2" w:space="0" w:color="888888"/>
            </w:tcBorders>
            <w:vAlign w:val="center"/>
          </w:tcPr>
          <w:p>
            <w:pPr>
              <w:pStyle w:val="Normal"/>
              <w:spacing w:lineRule="auto" w:line="240"/>
              <w:jc w:val="start"/>
              <w:rPr/>
            </w:pPr>
            <w:r>
              <w:rPr>
                <w:sz w:val="20"/>
                <w:szCs w:val="20"/>
              </w:rPr>
              <w:t>Lei nº 14.914/2024 (institui o PNAES), resoluções internas de CONSUNI</w:t>
            </w:r>
          </w:p>
        </w:tc>
        <w:tc>
          <w:tcPr>
            <w:tcW w:w="3300" w:type="dxa"/>
            <w:tcBorders>
              <w:top w:val="single" w:sz="2" w:space="0" w:color="888888"/>
              <w:start w:val="single" w:sz="2" w:space="0" w:color="888888"/>
              <w:bottom w:val="single" w:sz="2" w:space="0" w:color="888888"/>
              <w:end w:val="single" w:sz="4" w:space="0" w:color="000000"/>
            </w:tcBorders>
            <w:vAlign w:val="center"/>
          </w:tcPr>
          <w:p>
            <w:pPr>
              <w:pStyle w:val="Normal"/>
              <w:spacing w:lineRule="auto" w:line="240"/>
              <w:jc w:val="start"/>
              <w:rPr/>
            </w:pPr>
            <w:r>
              <w:rPr>
                <w:sz w:val="20"/>
                <w:szCs w:val="20"/>
              </w:rPr>
              <w:t>PRAPE, PROAE, COSEAS</w:t>
            </w:r>
          </w:p>
        </w:tc>
      </w:tr>
      <w:tr>
        <w:trPr/>
        <w:tc>
          <w:tcPr>
            <w:tcW w:w="2399" w:type="dxa"/>
            <w:tcBorders>
              <w:top w:val="single" w:sz="2" w:space="0" w:color="888888"/>
              <w:start w:val="single" w:sz="4" w:space="0" w:color="000000"/>
              <w:bottom w:val="single" w:sz="2" w:space="0" w:color="888888"/>
              <w:end w:val="single" w:sz="2" w:space="0" w:color="888888"/>
            </w:tcBorders>
            <w:vAlign w:val="center"/>
          </w:tcPr>
          <w:p>
            <w:pPr>
              <w:pStyle w:val="Normal"/>
              <w:spacing w:lineRule="auto" w:line="240"/>
              <w:jc w:val="start"/>
              <w:rPr/>
            </w:pPr>
            <w:r>
              <w:rPr>
                <w:sz w:val="20"/>
                <w:szCs w:val="20"/>
              </w:rPr>
              <w:t>Federal — Institutos Federais</w:t>
            </w:r>
          </w:p>
        </w:tc>
        <w:tc>
          <w:tcPr>
            <w:tcW w:w="4201" w:type="dxa"/>
            <w:tcBorders>
              <w:top w:val="single" w:sz="2" w:space="0" w:color="888888"/>
              <w:start w:val="single" w:sz="2" w:space="0" w:color="888888"/>
              <w:bottom w:val="single" w:sz="2" w:space="0" w:color="888888"/>
              <w:end w:val="single" w:sz="2" w:space="0" w:color="888888"/>
            </w:tcBorders>
            <w:vAlign w:val="center"/>
          </w:tcPr>
          <w:p>
            <w:pPr>
              <w:pStyle w:val="Normal"/>
              <w:spacing w:lineRule="auto" w:line="240"/>
              <w:jc w:val="start"/>
              <w:rPr/>
            </w:pPr>
            <w:r>
              <w:rPr>
                <w:sz w:val="20"/>
                <w:szCs w:val="20"/>
              </w:rPr>
              <w:t>Mesmo marco legal do PNAES; gestão administrativa via CAE/NAE</w:t>
            </w:r>
          </w:p>
        </w:tc>
        <w:tc>
          <w:tcPr>
            <w:tcW w:w="3300" w:type="dxa"/>
            <w:tcBorders>
              <w:top w:val="single" w:sz="2" w:space="0" w:color="888888"/>
              <w:start w:val="single" w:sz="2" w:space="0" w:color="888888"/>
              <w:bottom w:val="single" w:sz="2" w:space="0" w:color="888888"/>
              <w:end w:val="single" w:sz="4" w:space="0" w:color="000000"/>
            </w:tcBorders>
            <w:vAlign w:val="center"/>
          </w:tcPr>
          <w:p>
            <w:pPr>
              <w:pStyle w:val="Normal"/>
              <w:spacing w:lineRule="auto" w:line="240"/>
              <w:jc w:val="start"/>
              <w:rPr/>
            </w:pPr>
            <w:r>
              <w:rPr>
                <w:sz w:val="20"/>
                <w:szCs w:val="20"/>
              </w:rPr>
              <w:t>Auxílio Permanência, Bolsa Alimentação</w:t>
            </w:r>
          </w:p>
        </w:tc>
      </w:tr>
      <w:tr>
        <w:trPr/>
        <w:tc>
          <w:tcPr>
            <w:tcW w:w="2399" w:type="dxa"/>
            <w:tcBorders>
              <w:top w:val="single" w:sz="2" w:space="0" w:color="888888"/>
              <w:start w:val="single" w:sz="4" w:space="0" w:color="000000"/>
              <w:bottom w:val="single" w:sz="2" w:space="0" w:color="888888"/>
              <w:end w:val="single" w:sz="2" w:space="0" w:color="888888"/>
            </w:tcBorders>
            <w:vAlign w:val="center"/>
          </w:tcPr>
          <w:p>
            <w:pPr>
              <w:pStyle w:val="Normal"/>
              <w:spacing w:lineRule="auto" w:line="240"/>
              <w:jc w:val="start"/>
              <w:rPr/>
            </w:pPr>
            <w:r>
              <w:rPr>
                <w:sz w:val="20"/>
                <w:szCs w:val="20"/>
              </w:rPr>
              <w:t>Estadual</w:t>
            </w:r>
          </w:p>
        </w:tc>
        <w:tc>
          <w:tcPr>
            <w:tcW w:w="4201" w:type="dxa"/>
            <w:tcBorders>
              <w:top w:val="single" w:sz="2" w:space="0" w:color="888888"/>
              <w:start w:val="single" w:sz="2" w:space="0" w:color="888888"/>
              <w:bottom w:val="single" w:sz="2" w:space="0" w:color="888888"/>
              <w:end w:val="single" w:sz="2" w:space="0" w:color="888888"/>
            </w:tcBorders>
            <w:vAlign w:val="center"/>
          </w:tcPr>
          <w:p>
            <w:pPr>
              <w:pStyle w:val="Normal"/>
              <w:spacing w:lineRule="auto" w:line="240"/>
              <w:jc w:val="start"/>
              <w:rPr/>
            </w:pPr>
            <w:r>
              <w:rPr>
                <w:sz w:val="20"/>
                <w:szCs w:val="20"/>
              </w:rPr>
              <w:t>Legislação e resoluções de CONSU/CONSEPE próprias de cada estado — sem marco nacional equivalente ao PNAES</w:t>
            </w:r>
          </w:p>
        </w:tc>
        <w:tc>
          <w:tcPr>
            <w:tcW w:w="3300" w:type="dxa"/>
            <w:tcBorders>
              <w:top w:val="single" w:sz="2" w:space="0" w:color="888888"/>
              <w:start w:val="single" w:sz="2" w:space="0" w:color="888888"/>
              <w:bottom w:val="single" w:sz="2" w:space="0" w:color="888888"/>
              <w:end w:val="single" w:sz="4" w:space="0" w:color="000000"/>
            </w:tcBorders>
            <w:vAlign w:val="center"/>
          </w:tcPr>
          <w:p>
            <w:pPr>
              <w:pStyle w:val="Normal"/>
              <w:spacing w:lineRule="auto" w:line="240"/>
              <w:jc w:val="start"/>
              <w:rPr/>
            </w:pPr>
            <w:r>
              <w:rPr>
                <w:sz w:val="20"/>
                <w:szCs w:val="20"/>
              </w:rPr>
              <w:t>Bolsa Trabalho, Bolsa Moradia, Programa Moradia Estudantil</w:t>
            </w:r>
          </w:p>
        </w:tc>
      </w:tr>
      <w:tr>
        <w:trPr/>
        <w:tc>
          <w:tcPr>
            <w:tcW w:w="2399" w:type="dxa"/>
            <w:tcBorders>
              <w:top w:val="single" w:sz="2" w:space="0" w:color="888888"/>
              <w:start w:val="single" w:sz="4" w:space="0" w:color="000000"/>
              <w:bottom w:val="single" w:sz="4" w:space="0" w:color="000000"/>
              <w:end w:val="single" w:sz="2" w:space="0" w:color="888888"/>
            </w:tcBorders>
            <w:vAlign w:val="center"/>
          </w:tcPr>
          <w:p>
            <w:pPr>
              <w:pStyle w:val="Normal"/>
              <w:spacing w:lineRule="auto" w:line="240"/>
              <w:jc w:val="start"/>
              <w:rPr/>
            </w:pPr>
            <w:r>
              <w:rPr>
                <w:sz w:val="20"/>
                <w:szCs w:val="20"/>
              </w:rPr>
              <w:t>Municipal</w:t>
            </w:r>
          </w:p>
        </w:tc>
        <w:tc>
          <w:tcPr>
            <w:tcW w:w="4201" w:type="dxa"/>
            <w:tcBorders>
              <w:top w:val="single" w:sz="2" w:space="0" w:color="888888"/>
              <w:start w:val="single" w:sz="2" w:space="0" w:color="888888"/>
              <w:bottom w:val="single" w:sz="4" w:space="0" w:color="000000"/>
              <w:end w:val="single" w:sz="2" w:space="0" w:color="888888"/>
            </w:tcBorders>
            <w:vAlign w:val="center"/>
          </w:tcPr>
          <w:p>
            <w:pPr>
              <w:pStyle w:val="Normal"/>
              <w:spacing w:lineRule="auto" w:line="240"/>
              <w:jc w:val="start"/>
              <w:rPr/>
            </w:pPr>
            <w:r>
              <w:rPr>
                <w:sz w:val="20"/>
                <w:szCs w:val="20"/>
              </w:rPr>
              <w:t>Legislação municipal própria, quando existente</w:t>
            </w:r>
          </w:p>
        </w:tc>
        <w:tc>
          <w:tcPr>
            <w:tcW w:w="3300" w:type="dxa"/>
            <w:tcBorders>
              <w:top w:val="single" w:sz="2" w:space="0" w:color="888888"/>
              <w:start w:val="single" w:sz="2" w:space="0" w:color="888888"/>
              <w:bottom w:val="single" w:sz="4" w:space="0" w:color="000000"/>
              <w:end w:val="single" w:sz="4" w:space="0" w:color="000000"/>
            </w:tcBorders>
            <w:vAlign w:val="center"/>
          </w:tcPr>
          <w:p>
            <w:pPr>
              <w:pStyle w:val="Normal"/>
              <w:spacing w:lineRule="auto" w:line="240"/>
              <w:jc w:val="start"/>
              <w:rPr/>
            </w:pPr>
            <w:r>
              <w:rPr>
                <w:sz w:val="20"/>
                <w:szCs w:val="20"/>
              </w:rPr>
              <w:t>Variável, sem padrão consolidado</w:t>
            </w:r>
          </w:p>
        </w:tc>
      </w:tr>
    </w:tbl>
    <w:p>
      <w:pPr>
        <w:pStyle w:val="Normal"/>
        <w:spacing w:before="0" w:after="240"/>
        <w:jc w:val="start"/>
        <w:rPr/>
      </w:pPr>
      <w:r>
        <w:rPr>
          <w:sz w:val="20"/>
          <w:szCs w:val="20"/>
        </w:rPr>
        <w:t>Fonte: elaborado pelos autores a partir dos editais analisados.</w:t>
      </w:r>
    </w:p>
    <w:p>
      <w:pPr>
        <w:pStyle w:val="Normal"/>
        <w:spacing w:lineRule="auto" w:line="360" w:before="0" w:after="160"/>
        <w:ind w:firstLine="709"/>
        <w:jc w:val="both"/>
        <w:rPr/>
      </w:pPr>
      <w:r>
        <w:rPr>
          <w:sz w:val="24"/>
          <w:szCs w:val="24"/>
        </w:rPr>
        <w:t>Essa diversidade tem uma implicação metodológica direta: o protocolo não pode assumir uma nomenclatura fixa herdada da legislação federal. Ele precisa operar sobre o tipo funcional do benefício — o que o benefício custeia — preservando, ao mesmo tempo, o nome e o marco legal originais para fins de rastreabilidade (Seção 6).</w:t>
      </w:r>
    </w:p>
    <w:p>
      <w:pPr>
        <w:pStyle w:val="Normal"/>
        <w:spacing w:lineRule="auto" w:line="360" w:before="0" w:after="160"/>
        <w:ind w:firstLine="709"/>
        <w:jc w:val="both"/>
        <w:rPr/>
      </w:pPr>
      <w:r>
        <w:rPr>
          <w:sz w:val="24"/>
          <w:szCs w:val="24"/>
        </w:rPr>
        <w:t>Cabe registrar explicitamente uma limitação de escopo: o corpus documental que fundamenta este protocolo até a presente versão restringe-se a uma única instituição federal (UFPB). A extensão da taxonomia e das regras aqui descritas para universidades estaduais e municipais é, nesta versão, uma proposta a ser validada empiricamente (Seção 11), não um resultado já demonstrado.</w:t>
      </w:r>
    </w:p>
    <w:p>
      <w:pPr>
        <w:pStyle w:val="Heading1"/>
        <w:spacing w:before="480" w:after="240"/>
        <w:rPr/>
      </w:pPr>
      <w:r>
        <w:rPr>
          <w:b/>
          <w:bCs/>
          <w:sz w:val="24"/>
          <w:szCs w:val="24"/>
        </w:rPr>
        <w:t>3 OBJETIVOS</w:t>
      </w:r>
    </w:p>
    <w:p>
      <w:pPr>
        <w:pStyle w:val="Heading2"/>
        <w:spacing w:before="360" w:after="180"/>
        <w:rPr/>
      </w:pPr>
      <w:r>
        <w:rPr>
          <w:b/>
          <w:bCs/>
          <w:sz w:val="24"/>
          <w:szCs w:val="24"/>
        </w:rPr>
        <w:t>3.1 Objetivo Geral</w:t>
      </w:r>
    </w:p>
    <w:p>
      <w:pPr>
        <w:pStyle w:val="Normal"/>
        <w:spacing w:lineRule="auto" w:line="360" w:before="0" w:after="160"/>
        <w:ind w:firstLine="709"/>
        <w:jc w:val="both"/>
        <w:rPr/>
      </w:pPr>
      <w:r>
        <w:rPr>
          <w:sz w:val="24"/>
          <w:szCs w:val="24"/>
        </w:rPr>
        <w:t>Estabelecer um procedimento sistemático, replicável e auditável para converter o texto não estruturado de editais de assistência estudantil em dados estruturados e comparáveis, aplicável a qualquer IES pública brasileira, sujeito a validação empírica progressiva conforme novas instituições forem incorporadas.</w:t>
      </w:r>
    </w:p>
    <w:p>
      <w:pPr>
        <w:pStyle w:val="Heading2"/>
        <w:spacing w:before="360" w:after="180"/>
        <w:rPr/>
      </w:pPr>
      <w:r>
        <w:rPr>
          <w:b/>
          <w:bCs/>
          <w:sz w:val="24"/>
          <w:szCs w:val="24"/>
        </w:rPr>
        <w:t>3.2 Objetivos Específicos</w:t>
      </w:r>
    </w:p>
    <w:p>
      <w:pPr>
        <w:pStyle w:val="ListParagraph"/>
        <w:numPr>
          <w:ilvl w:val="0"/>
          <w:numId w:val="3"/>
        </w:numPr>
        <w:spacing w:lineRule="auto" w:line="360" w:before="0" w:after="100"/>
        <w:jc w:val="both"/>
        <w:rPr/>
      </w:pPr>
      <w:r>
        <w:rPr>
          <w:sz w:val="24"/>
          <w:szCs w:val="24"/>
        </w:rPr>
        <w:t>Padronizar uma taxonomia funcional de benefícios, desacoplada do marco legal de origem (Seção 6).</w:t>
      </w:r>
    </w:p>
    <w:p>
      <w:pPr>
        <w:pStyle w:val="ListParagraph"/>
        <w:numPr>
          <w:ilvl w:val="0"/>
          <w:numId w:val="1"/>
        </w:numPr>
        <w:spacing w:lineRule="auto" w:line="360" w:before="0" w:after="100"/>
        <w:jc w:val="both"/>
        <w:rPr/>
      </w:pPr>
      <w:r>
        <w:rPr>
          <w:sz w:val="24"/>
          <w:szCs w:val="24"/>
        </w:rPr>
        <w:t>Definir regras de validação quantificáveis — aritmética, temporal e estrutural — com limiares explícitos (Seção 4.4).</w:t>
      </w:r>
    </w:p>
    <w:p>
      <w:pPr>
        <w:pStyle w:val="ListParagraph"/>
        <w:numPr>
          <w:ilvl w:val="0"/>
          <w:numId w:val="1"/>
        </w:numPr>
        <w:spacing w:lineRule="auto" w:line="360" w:before="0" w:after="100"/>
        <w:jc w:val="both"/>
        <w:rPr/>
      </w:pPr>
      <w:r>
        <w:rPr>
          <w:sz w:val="24"/>
          <w:szCs w:val="24"/>
        </w:rPr>
        <w:t>Garantir rastreabilidade plena de cada registro até o documento de origem.</w:t>
      </w:r>
    </w:p>
    <w:p>
      <w:pPr>
        <w:pStyle w:val="ListParagraph"/>
        <w:numPr>
          <w:ilvl w:val="0"/>
          <w:numId w:val="1"/>
        </w:numPr>
        <w:spacing w:lineRule="auto" w:line="360" w:before="0" w:after="100"/>
        <w:jc w:val="both"/>
        <w:rPr/>
      </w:pPr>
      <w:r>
        <w:rPr>
          <w:sz w:val="24"/>
          <w:szCs w:val="24"/>
        </w:rPr>
        <w:t>Preservar séries históricas por unidade institucional, sem sobreposição ou perda de edições anteriores (Seção 8).</w:t>
      </w:r>
    </w:p>
    <w:p>
      <w:pPr>
        <w:pStyle w:val="ListParagraph"/>
        <w:numPr>
          <w:ilvl w:val="0"/>
          <w:numId w:val="1"/>
        </w:numPr>
        <w:spacing w:lineRule="auto" w:line="360" w:before="0" w:after="100"/>
        <w:jc w:val="both"/>
        <w:rPr/>
      </w:pPr>
      <w:r>
        <w:rPr>
          <w:sz w:val="24"/>
          <w:szCs w:val="24"/>
        </w:rPr>
        <w:t>Definir um protocolo de incorporação (onboarding) de novas instituições, incluindo validação piloto obrigatória antes da extração em escala (Seção 9).</w:t>
      </w:r>
    </w:p>
    <w:p>
      <w:pPr>
        <w:pStyle w:val="ListParagraph"/>
        <w:numPr>
          <w:ilvl w:val="0"/>
          <w:numId w:val="1"/>
        </w:numPr>
        <w:spacing w:lineRule="auto" w:line="360" w:before="0" w:after="100"/>
        <w:jc w:val="both"/>
        <w:rPr/>
      </w:pPr>
      <w:r>
        <w:rPr>
          <w:sz w:val="24"/>
          <w:szCs w:val="24"/>
        </w:rPr>
        <w:t>Registrar, de forma auditável, as limitações do método e a agenda de validação empírica ainda pendente (Seções 10 e 11).</w:t>
      </w:r>
    </w:p>
    <w:p>
      <w:pPr>
        <w:pStyle w:val="Heading1"/>
        <w:spacing w:before="480" w:after="240"/>
        <w:rPr/>
      </w:pPr>
      <w:r>
        <w:rPr>
          <w:b/>
          <w:bCs/>
          <w:sz w:val="24"/>
          <w:szCs w:val="24"/>
        </w:rPr>
        <w:t>4 PROCEDIMENTOS METODOLÓGICOS</w:t>
      </w:r>
    </w:p>
    <w:p>
      <w:pPr>
        <w:pStyle w:val="Heading2"/>
        <w:spacing w:before="360" w:after="180"/>
        <w:rPr/>
      </w:pPr>
      <w:r>
        <w:rPr>
          <w:b/>
          <w:bCs/>
          <w:sz w:val="24"/>
          <w:szCs w:val="24"/>
        </w:rPr>
        <w:t>4.1 Delineamento do Estudo</w:t>
      </w:r>
    </w:p>
    <w:p>
      <w:pPr>
        <w:pStyle w:val="Normal"/>
        <w:spacing w:lineRule="auto" w:line="360" w:before="0" w:after="160"/>
        <w:ind w:firstLine="709"/>
        <w:jc w:val="both"/>
        <w:rPr/>
      </w:pPr>
      <w:r>
        <w:rPr>
          <w:sz w:val="24"/>
          <w:szCs w:val="24"/>
        </w:rPr>
        <w:t>O protocolo caracteriza-se como um procedimento de análise documental estruturada: aplicação sistemática de um esquema de codificação fechado a um corpus de documentos oficiais, com validação aritmética obrigatória contra os totais declarados nos próprios documentos. Trata-se de um delineamento observacional e longitudinal por construção — a unidade institucional é acompanhada ao longo de sucessivos ciclos seletivos, preservando-se a série temporal completa.</w:t>
      </w:r>
    </w:p>
    <w:p>
      <w:pPr>
        <w:pStyle w:val="Normal"/>
        <w:spacing w:lineRule="auto" w:line="360" w:before="0" w:after="160"/>
        <w:ind w:firstLine="709"/>
        <w:jc w:val="both"/>
        <w:rPr/>
      </w:pPr>
      <w:r>
        <w:rPr>
          <w:sz w:val="24"/>
          <w:szCs w:val="24"/>
        </w:rPr>
        <w:t>Nesta versão, opta-se por não atribuir o método a uma tradição metodológica específica de análise de conteúdo sem referência bibliográfica plenamente verificável. A versão anterior mencionava uma "tradição metodológica de Bardin" sem citação completa — prática que constitui risco de citação não verificada. O método é descrito aqui em termos operacionais próprios, sem apelo a autoridade bibliográfica externa não conferida.</w:t>
      </w:r>
    </w:p>
    <w:p>
      <w:pPr>
        <w:pStyle w:val="Heading2"/>
        <w:spacing w:before="360" w:after="180"/>
        <w:rPr/>
      </w:pPr>
      <w:r>
        <w:rPr>
          <w:b/>
          <w:bCs/>
          <w:sz w:val="24"/>
          <w:szCs w:val="24"/>
        </w:rPr>
        <w:t>4.2 Unidade de Análise e Corpus Documental</w:t>
      </w:r>
    </w:p>
    <w:p>
      <w:pPr>
        <w:pStyle w:val="Normal"/>
        <w:spacing w:lineRule="auto" w:line="360" w:before="0" w:after="160"/>
        <w:ind w:firstLine="709"/>
        <w:jc w:val="both"/>
        <w:rPr/>
      </w:pPr>
      <w:r>
        <w:rPr>
          <w:sz w:val="24"/>
          <w:szCs w:val="24"/>
        </w:rPr>
        <w:t>A unidade de análise é a linha de dado: uma modalidade de auxílio, ofertada por uma unidade institucional (campus, polo ou unidade equivalente), em um processo seletivo (edital) específico.</w:t>
      </w:r>
    </w:p>
    <w:p>
      <w:pPr>
        <w:pStyle w:val="Normal"/>
        <w:spacing w:lineRule="auto" w:line="360" w:before="0" w:after="160"/>
        <w:ind w:firstLine="709"/>
        <w:jc w:val="both"/>
        <w:rPr/>
      </w:pPr>
      <w:r>
        <w:rPr>
          <w:sz w:val="24"/>
          <w:szCs w:val="24"/>
        </w:rPr>
        <w:t>O corpus é definido, nesta versão, como documentos oficiais em formato PDF publicados pelos setores responsáveis. Esse critério de inclusão introduz um viés de seleção que deve ser declarado explicitamente: instituições que publicam exclusivamente em sistemas internos, HTML não arquivável, ou que não digitalizam seus editais, ficam sistematicamente fora do corpus. Como a capacidade de publicação digital estruturada tende a correlacionar-se com o porte e o orçamento da instituição, esse viés pode subestimar sistematicamente instituições menores ou com menor infraestrutura administrativa — uma ameaça à representatividade que deve ser monitorada à medida que o protocolo for aplicado a novas instituições (ver também Seção 10).</w:t>
      </w:r>
    </w:p>
    <w:p>
      <w:pPr>
        <w:pStyle w:val="Heading2"/>
        <w:spacing w:before="360" w:after="180"/>
        <w:rPr/>
      </w:pPr>
      <w:r>
        <w:rPr>
          <w:b/>
          <w:bCs/>
          <w:sz w:val="24"/>
          <w:szCs w:val="24"/>
        </w:rPr>
        <w:t>4.3 Instrumento de Coleta de Dados</w:t>
      </w:r>
    </w:p>
    <w:p>
      <w:pPr>
        <w:pStyle w:val="Normal"/>
        <w:spacing w:lineRule="auto" w:line="360" w:before="0" w:after="160"/>
        <w:ind w:firstLine="709"/>
        <w:jc w:val="both"/>
        <w:rPr/>
      </w:pPr>
      <w:r>
        <w:rPr>
          <w:sz w:val="24"/>
          <w:szCs w:val="24"/>
        </w:rPr>
        <w:t>O instrumento de coleta é o schema de dados padronizado apresentado no Apêndice A, preenchido a partir da leitura integral do documento-fonte — nunca de resumos, notícias ou fontes secundárias sobre o edital.</w:t>
      </w:r>
    </w:p>
    <w:p>
      <w:pPr>
        <w:pStyle w:val="Normal"/>
        <w:spacing w:lineRule="auto" w:line="360" w:before="0" w:after="160"/>
        <w:ind w:firstLine="709"/>
        <w:jc w:val="both"/>
        <w:rPr/>
      </w:pPr>
      <w:r>
        <w:rPr>
          <w:sz w:val="24"/>
          <w:szCs w:val="24"/>
        </w:rPr>
        <w:t>Um ponto de estruturação incompleta deve ser registrado: o campo `criterios_elegibilidade` permanece, nesta versão, como texto livre. Isso compromete parcialmente a alegação de dado "totalmente estruturado" para fins de análise comparativa automatizada entre instituições — por exemplo, não é possível hoje filtrar programaticamente "todos os auxílios com restrição geográfica municipal" sem processamento adicional de linguagem natural sobre esse campo. Como direção de trabalho futuro, propõe-se decompor esse campo em subcampos estruturados (por exemplo: `restricao_geografica` como booleano, `lista_municipios_elegiveis` como vetor, `exige_documentacao_especial` como booleano), o que não foi implementado nesta versão por não ter sido ainda validado contra um volume suficiente de editais heterogêneos.</w:t>
      </w:r>
    </w:p>
    <w:p>
      <w:pPr>
        <w:pStyle w:val="Normal"/>
        <w:spacing w:lineRule="auto" w:line="360" w:before="0" w:after="160"/>
        <w:ind w:firstLine="709"/>
        <w:jc w:val="both"/>
        <w:rPr/>
      </w:pPr>
      <w:r>
        <w:rPr>
          <w:sz w:val="24"/>
          <w:szCs w:val="24"/>
        </w:rPr>
        <w:t>O instrumento de coleta (Apêndice A) é uma representação plana (flat) dos dados. O projeto mantém, em paralelo, um esquema de banco de dados operacional em modelo dimensional (star schema, com tabelas dimensão de instituição, campus e tempo, e uma tabela-fato de permanência). Esta versão registra explicitamente que os dois esquemas não foram formalmente reconciliados: o mapeamento campo-a-campo entre o instrumento plano deste protocolo e o modelo dimensional operacional é uma pendência técnica, não uma equivalência já demonstrada, e deve ser tratado como item da agenda de trabalho (Seção 11).</w:t>
      </w:r>
    </w:p>
    <w:p>
      <w:pPr>
        <w:pStyle w:val="Heading2"/>
        <w:spacing w:before="360" w:after="180"/>
        <w:rPr/>
      </w:pPr>
      <w:r>
        <w:rPr>
          <w:b/>
          <w:bCs/>
          <w:sz w:val="24"/>
          <w:szCs w:val="24"/>
        </w:rPr>
        <w:t>4.4 Confiabilidade, Validação e Controle de Qualidade</w:t>
      </w:r>
    </w:p>
    <w:p>
      <w:pPr>
        <w:pStyle w:val="Normal"/>
        <w:spacing w:lineRule="auto" w:line="360" w:before="0" w:after="160"/>
        <w:ind w:firstLine="709"/>
        <w:jc w:val="both"/>
        <w:rPr/>
      </w:pPr>
      <w:r>
        <w:rPr>
          <w:sz w:val="24"/>
          <w:szCs w:val="24"/>
        </w:rPr>
        <w:t>A versão anterior mencionava "amostragem de auditoria" e "faixa plausível" sem operacionalização quantitativa — o que as tornava, na prática, não verificáveis. Esta versão substitui essas menções por critérios explícitos (Quadro 3).</w:t>
      </w:r>
    </w:p>
    <w:p>
      <w:pPr>
        <w:pStyle w:val="Normal"/>
        <w:spacing w:before="240" w:after="80"/>
        <w:jc w:val="center"/>
        <w:rPr/>
      </w:pPr>
      <w:r>
        <w:rPr>
          <w:b/>
          <w:bCs/>
          <w:sz w:val="20"/>
          <w:szCs w:val="20"/>
        </w:rPr>
        <w:t>Quadro 3 – Tipos de validação e limiares quantitativos</w:t>
      </w:r>
    </w:p>
    <w:tbl>
      <w:tblPr>
        <w:tblW w:w="9900" w:type="dxa"/>
        <w:jc w:val="start"/>
        <w:tblInd w:w="0" w:type="dxa"/>
        <w:tblLayout w:type="fixed"/>
        <w:tblCellMar>
          <w:top w:w="60" w:type="dxa"/>
          <w:start w:w="80" w:type="dxa"/>
          <w:bottom w:w="60" w:type="dxa"/>
          <w:end w:w="80" w:type="dxa"/>
        </w:tblCellMar>
      </w:tblPr>
      <w:tblGrid>
        <w:gridCol w:w="2599"/>
        <w:gridCol w:w="4401"/>
        <w:gridCol w:w="2900"/>
      </w:tblGrid>
      <w:tr>
        <w:trPr>
          <w:tblHeader w:val="true"/>
        </w:trPr>
        <w:tc>
          <w:tcPr>
            <w:tcW w:w="2599" w:type="dxa"/>
            <w:tcBorders>
              <w:top w:val="single" w:sz="4" w:space="0" w:color="000000"/>
              <w:start w:val="single" w:sz="4" w:space="0" w:color="000000"/>
              <w:bottom w:val="single" w:sz="2" w:space="0" w:color="888888"/>
              <w:end w:val="single" w:sz="2" w:space="0" w:color="888888"/>
            </w:tcBorders>
            <w:shd w:fill="D9D9D9" w:val="clear"/>
            <w:vAlign w:val="center"/>
          </w:tcPr>
          <w:p>
            <w:pPr>
              <w:pStyle w:val="Normal"/>
              <w:spacing w:lineRule="auto" w:line="240"/>
              <w:jc w:val="center"/>
              <w:rPr/>
            </w:pPr>
            <w:r>
              <w:rPr>
                <w:b/>
                <w:bCs/>
                <w:sz w:val="20"/>
                <w:szCs w:val="20"/>
              </w:rPr>
              <w:t>Tipo de validação</w:t>
            </w:r>
          </w:p>
        </w:tc>
        <w:tc>
          <w:tcPr>
            <w:tcW w:w="4401" w:type="dxa"/>
            <w:tcBorders>
              <w:top w:val="single" w:sz="4" w:space="0" w:color="000000"/>
              <w:start w:val="single" w:sz="2" w:space="0" w:color="888888"/>
              <w:bottom w:val="single" w:sz="2" w:space="0" w:color="888888"/>
              <w:end w:val="single" w:sz="2" w:space="0" w:color="888888"/>
            </w:tcBorders>
            <w:shd w:fill="D9D9D9" w:val="clear"/>
            <w:vAlign w:val="center"/>
          </w:tcPr>
          <w:p>
            <w:pPr>
              <w:pStyle w:val="Normal"/>
              <w:spacing w:lineRule="auto" w:line="240"/>
              <w:jc w:val="center"/>
              <w:rPr/>
            </w:pPr>
            <w:r>
              <w:rPr>
                <w:b/>
                <w:bCs/>
                <w:sz w:val="20"/>
                <w:szCs w:val="20"/>
              </w:rPr>
              <w:t>Regra operacional</w:t>
            </w:r>
          </w:p>
        </w:tc>
        <w:tc>
          <w:tcPr>
            <w:tcW w:w="2900" w:type="dxa"/>
            <w:tcBorders>
              <w:top w:val="single" w:sz="4" w:space="0" w:color="000000"/>
              <w:start w:val="single" w:sz="2" w:space="0" w:color="888888"/>
              <w:bottom w:val="single" w:sz="2" w:space="0" w:color="888888"/>
              <w:end w:val="single" w:sz="4" w:space="0" w:color="000000"/>
            </w:tcBorders>
            <w:shd w:fill="D9D9D9" w:val="clear"/>
            <w:vAlign w:val="center"/>
          </w:tcPr>
          <w:p>
            <w:pPr>
              <w:pStyle w:val="Normal"/>
              <w:spacing w:lineRule="auto" w:line="240"/>
              <w:jc w:val="center"/>
              <w:rPr/>
            </w:pPr>
            <w:r>
              <w:rPr>
                <w:b/>
                <w:bCs/>
                <w:sz w:val="20"/>
                <w:szCs w:val="20"/>
              </w:rPr>
              <w:t>Limiar / métrica</w:t>
            </w:r>
          </w:p>
        </w:tc>
      </w:tr>
      <w:tr>
        <w:trPr/>
        <w:tc>
          <w:tcPr>
            <w:tcW w:w="2599" w:type="dxa"/>
            <w:tcBorders>
              <w:top w:val="single" w:sz="2" w:space="0" w:color="888888"/>
              <w:start w:val="single" w:sz="4" w:space="0" w:color="000000"/>
              <w:bottom w:val="single" w:sz="2" w:space="0" w:color="888888"/>
              <w:end w:val="single" w:sz="2" w:space="0" w:color="888888"/>
            </w:tcBorders>
            <w:vAlign w:val="center"/>
          </w:tcPr>
          <w:p>
            <w:pPr>
              <w:pStyle w:val="Normal"/>
              <w:spacing w:lineRule="auto" w:line="240"/>
              <w:jc w:val="start"/>
              <w:rPr/>
            </w:pPr>
            <w:r>
              <w:rPr>
                <w:sz w:val="20"/>
                <w:szCs w:val="20"/>
              </w:rPr>
              <w:t>Aritmética (interna)</w:t>
            </w:r>
          </w:p>
        </w:tc>
        <w:tc>
          <w:tcPr>
            <w:tcW w:w="4401" w:type="dxa"/>
            <w:tcBorders>
              <w:top w:val="single" w:sz="2" w:space="0" w:color="888888"/>
              <w:start w:val="single" w:sz="2" w:space="0" w:color="888888"/>
              <w:bottom w:val="single" w:sz="2" w:space="0" w:color="888888"/>
              <w:end w:val="single" w:sz="2" w:space="0" w:color="888888"/>
            </w:tcBorders>
            <w:vAlign w:val="center"/>
          </w:tcPr>
          <w:p>
            <w:pPr>
              <w:pStyle w:val="Normal"/>
              <w:spacing w:lineRule="auto" w:line="240"/>
              <w:jc w:val="start"/>
              <w:rPr/>
            </w:pPr>
            <w:r>
              <w:rPr>
                <w:sz w:val="20"/>
                <w:szCs w:val="20"/>
              </w:rPr>
              <w:t>Soma das vagas lançadas para uma unidade+edital deve igualar o total declarado no documento</w:t>
            </w:r>
          </w:p>
        </w:tc>
        <w:tc>
          <w:tcPr>
            <w:tcW w:w="2900" w:type="dxa"/>
            <w:tcBorders>
              <w:top w:val="single" w:sz="2" w:space="0" w:color="888888"/>
              <w:start w:val="single" w:sz="2" w:space="0" w:color="888888"/>
              <w:bottom w:val="single" w:sz="2" w:space="0" w:color="888888"/>
              <w:end w:val="single" w:sz="4" w:space="0" w:color="000000"/>
            </w:tcBorders>
            <w:vAlign w:val="center"/>
          </w:tcPr>
          <w:p>
            <w:pPr>
              <w:pStyle w:val="Normal"/>
              <w:spacing w:lineRule="auto" w:line="240"/>
              <w:jc w:val="start"/>
              <w:rPr/>
            </w:pPr>
            <w:r>
              <w:rPr>
                <w:sz w:val="20"/>
                <w:szCs w:val="20"/>
              </w:rPr>
              <w:t>Divergência = 0; qualquer diferença bloqueia o lançamento</w:t>
            </w:r>
          </w:p>
        </w:tc>
      </w:tr>
      <w:tr>
        <w:trPr/>
        <w:tc>
          <w:tcPr>
            <w:tcW w:w="2599" w:type="dxa"/>
            <w:tcBorders>
              <w:top w:val="single" w:sz="2" w:space="0" w:color="888888"/>
              <w:start w:val="single" w:sz="4" w:space="0" w:color="000000"/>
              <w:bottom w:val="single" w:sz="2" w:space="0" w:color="888888"/>
              <w:end w:val="single" w:sz="2" w:space="0" w:color="888888"/>
            </w:tcBorders>
            <w:vAlign w:val="center"/>
          </w:tcPr>
          <w:p>
            <w:pPr>
              <w:pStyle w:val="Normal"/>
              <w:spacing w:lineRule="auto" w:line="240"/>
              <w:jc w:val="start"/>
              <w:rPr/>
            </w:pPr>
            <w:r>
              <w:rPr>
                <w:sz w:val="20"/>
                <w:szCs w:val="20"/>
              </w:rPr>
              <w:t>Temporal (plausibilidade)</w:t>
            </w:r>
          </w:p>
        </w:tc>
        <w:tc>
          <w:tcPr>
            <w:tcW w:w="4401" w:type="dxa"/>
            <w:tcBorders>
              <w:top w:val="single" w:sz="2" w:space="0" w:color="888888"/>
              <w:start w:val="single" w:sz="2" w:space="0" w:color="888888"/>
              <w:bottom w:val="single" w:sz="2" w:space="0" w:color="888888"/>
              <w:end w:val="single" w:sz="2" w:space="0" w:color="888888"/>
            </w:tcBorders>
            <w:vAlign w:val="center"/>
          </w:tcPr>
          <w:p>
            <w:pPr>
              <w:pStyle w:val="Normal"/>
              <w:spacing w:lineRule="auto" w:line="240"/>
              <w:jc w:val="start"/>
              <w:rPr/>
            </w:pPr>
            <w:r>
              <w:rPr>
                <w:sz w:val="20"/>
                <w:szCs w:val="20"/>
              </w:rPr>
              <w:t>Variação percentual de vagas ou de valor recorrente entre duas edições consecutivas da mesma unidade</w:t>
            </w:r>
          </w:p>
        </w:tc>
        <w:tc>
          <w:tcPr>
            <w:tcW w:w="2900" w:type="dxa"/>
            <w:tcBorders>
              <w:top w:val="single" w:sz="2" w:space="0" w:color="888888"/>
              <w:start w:val="single" w:sz="2" w:space="0" w:color="888888"/>
              <w:bottom w:val="single" w:sz="2" w:space="0" w:color="888888"/>
              <w:end w:val="single" w:sz="4" w:space="0" w:color="000000"/>
            </w:tcBorders>
            <w:vAlign w:val="center"/>
          </w:tcPr>
          <w:p>
            <w:pPr>
              <w:pStyle w:val="Normal"/>
              <w:spacing w:lineRule="auto" w:line="240"/>
              <w:jc w:val="start"/>
              <w:rPr/>
            </w:pPr>
            <w:r>
              <w:rPr>
                <w:sz w:val="20"/>
                <w:szCs w:val="20"/>
              </w:rPr>
              <w:t>Variação &gt; 30% (heurística inicial, a calibrar empiricamente) é sinalizada para revisão manual, não bloqueada automaticamente</w:t>
            </w:r>
          </w:p>
        </w:tc>
      </w:tr>
      <w:tr>
        <w:trPr/>
        <w:tc>
          <w:tcPr>
            <w:tcW w:w="2599" w:type="dxa"/>
            <w:tcBorders>
              <w:top w:val="single" w:sz="2" w:space="0" w:color="888888"/>
              <w:start w:val="single" w:sz="4" w:space="0" w:color="000000"/>
              <w:bottom w:val="single" w:sz="2" w:space="0" w:color="888888"/>
              <w:end w:val="single" w:sz="2" w:space="0" w:color="888888"/>
            </w:tcBorders>
            <w:vAlign w:val="center"/>
          </w:tcPr>
          <w:p>
            <w:pPr>
              <w:pStyle w:val="Normal"/>
              <w:spacing w:lineRule="auto" w:line="240"/>
              <w:jc w:val="start"/>
              <w:rPr/>
            </w:pPr>
            <w:r>
              <w:rPr>
                <w:sz w:val="20"/>
                <w:szCs w:val="20"/>
              </w:rPr>
              <w:t>Confiabilidade entre extratores</w:t>
            </w:r>
          </w:p>
        </w:tc>
        <w:tc>
          <w:tcPr>
            <w:tcW w:w="4401" w:type="dxa"/>
            <w:tcBorders>
              <w:top w:val="single" w:sz="2" w:space="0" w:color="888888"/>
              <w:start w:val="single" w:sz="2" w:space="0" w:color="888888"/>
              <w:bottom w:val="single" w:sz="2" w:space="0" w:color="888888"/>
              <w:end w:val="single" w:sz="2" w:space="0" w:color="888888"/>
            </w:tcBorders>
            <w:vAlign w:val="center"/>
          </w:tcPr>
          <w:p>
            <w:pPr>
              <w:pStyle w:val="Normal"/>
              <w:spacing w:lineRule="auto" w:line="240"/>
              <w:jc w:val="start"/>
              <w:rPr/>
            </w:pPr>
            <w:r>
              <w:rPr>
                <w:sz w:val="20"/>
                <w:szCs w:val="20"/>
              </w:rPr>
              <w:t>Reextração independente de uma amostra de editais já processados, por um segundo extrator (humano ou execução independente do protocolo)</w:t>
            </w:r>
          </w:p>
        </w:tc>
        <w:tc>
          <w:tcPr>
            <w:tcW w:w="2900" w:type="dxa"/>
            <w:tcBorders>
              <w:top w:val="single" w:sz="2" w:space="0" w:color="888888"/>
              <w:start w:val="single" w:sz="2" w:space="0" w:color="888888"/>
              <w:bottom w:val="single" w:sz="2" w:space="0" w:color="888888"/>
              <w:end w:val="single" w:sz="4" w:space="0" w:color="000000"/>
            </w:tcBorders>
            <w:vAlign w:val="center"/>
          </w:tcPr>
          <w:p>
            <w:pPr>
              <w:pStyle w:val="Normal"/>
              <w:spacing w:lineRule="auto" w:line="240"/>
              <w:jc w:val="start"/>
              <w:rPr/>
            </w:pPr>
            <w:r>
              <w:rPr>
                <w:sz w:val="20"/>
                <w:szCs w:val="20"/>
              </w:rPr>
              <w:t>Percentual de concordância campo a campo ≥ 90% nos campos numéricos (vagas, valores); divergências abaixo do limiar exigem revisão do dicionário de tradução (Seção 6.2)</w:t>
            </w:r>
          </w:p>
        </w:tc>
      </w:tr>
      <w:tr>
        <w:trPr/>
        <w:tc>
          <w:tcPr>
            <w:tcW w:w="2599" w:type="dxa"/>
            <w:tcBorders>
              <w:top w:val="single" w:sz="2" w:space="0" w:color="888888"/>
              <w:start w:val="single" w:sz="4" w:space="0" w:color="000000"/>
              <w:bottom w:val="single" w:sz="2" w:space="0" w:color="888888"/>
              <w:end w:val="single" w:sz="2" w:space="0" w:color="888888"/>
            </w:tcBorders>
            <w:vAlign w:val="center"/>
          </w:tcPr>
          <w:p>
            <w:pPr>
              <w:pStyle w:val="Normal"/>
              <w:spacing w:lineRule="auto" w:line="240"/>
              <w:jc w:val="start"/>
              <w:rPr/>
            </w:pPr>
            <w:r>
              <w:rPr>
                <w:sz w:val="20"/>
                <w:szCs w:val="20"/>
              </w:rPr>
              <w:t>Estrutural (schema)</w:t>
            </w:r>
          </w:p>
        </w:tc>
        <w:tc>
          <w:tcPr>
            <w:tcW w:w="4401" w:type="dxa"/>
            <w:tcBorders>
              <w:top w:val="single" w:sz="2" w:space="0" w:color="888888"/>
              <w:start w:val="single" w:sz="2" w:space="0" w:color="888888"/>
              <w:bottom w:val="single" w:sz="2" w:space="0" w:color="888888"/>
              <w:end w:val="single" w:sz="2" w:space="0" w:color="888888"/>
            </w:tcBorders>
            <w:vAlign w:val="center"/>
          </w:tcPr>
          <w:p>
            <w:pPr>
              <w:pStyle w:val="Normal"/>
              <w:spacing w:lineRule="auto" w:line="240"/>
              <w:jc w:val="start"/>
              <w:rPr/>
            </w:pPr>
            <w:r>
              <w:rPr>
                <w:sz w:val="20"/>
                <w:szCs w:val="20"/>
              </w:rPr>
              <w:t>Todo campo obrigatório do instrumento (Apêndice A) preenchido</w:t>
            </w:r>
          </w:p>
        </w:tc>
        <w:tc>
          <w:tcPr>
            <w:tcW w:w="2900" w:type="dxa"/>
            <w:tcBorders>
              <w:top w:val="single" w:sz="2" w:space="0" w:color="888888"/>
              <w:start w:val="single" w:sz="2" w:space="0" w:color="888888"/>
              <w:bottom w:val="single" w:sz="2" w:space="0" w:color="888888"/>
              <w:end w:val="single" w:sz="4" w:space="0" w:color="000000"/>
            </w:tcBorders>
            <w:vAlign w:val="center"/>
          </w:tcPr>
          <w:p>
            <w:pPr>
              <w:pStyle w:val="Normal"/>
              <w:spacing w:lineRule="auto" w:line="240"/>
              <w:jc w:val="start"/>
              <w:rPr/>
            </w:pPr>
            <w:r>
              <w:rPr>
                <w:sz w:val="20"/>
                <w:szCs w:val="20"/>
              </w:rPr>
              <w:t>Cobertura de campos obrigatórios = 100%</w:t>
            </w:r>
          </w:p>
        </w:tc>
      </w:tr>
      <w:tr>
        <w:trPr/>
        <w:tc>
          <w:tcPr>
            <w:tcW w:w="2599" w:type="dxa"/>
            <w:tcBorders>
              <w:top w:val="single" w:sz="2" w:space="0" w:color="888888"/>
              <w:start w:val="single" w:sz="4" w:space="0" w:color="000000"/>
              <w:bottom w:val="single" w:sz="4" w:space="0" w:color="000000"/>
              <w:end w:val="single" w:sz="2" w:space="0" w:color="888888"/>
            </w:tcBorders>
            <w:vAlign w:val="center"/>
          </w:tcPr>
          <w:p>
            <w:pPr>
              <w:pStyle w:val="Normal"/>
              <w:spacing w:lineRule="auto" w:line="240"/>
              <w:jc w:val="start"/>
              <w:rPr/>
            </w:pPr>
            <w:r>
              <w:rPr>
                <w:sz w:val="20"/>
                <w:szCs w:val="20"/>
              </w:rPr>
              <w:t>Rastreabilidade</w:t>
            </w:r>
          </w:p>
        </w:tc>
        <w:tc>
          <w:tcPr>
            <w:tcW w:w="4401" w:type="dxa"/>
            <w:tcBorders>
              <w:top w:val="single" w:sz="2" w:space="0" w:color="888888"/>
              <w:start w:val="single" w:sz="2" w:space="0" w:color="888888"/>
              <w:bottom w:val="single" w:sz="4" w:space="0" w:color="000000"/>
              <w:end w:val="single" w:sz="2" w:space="0" w:color="888888"/>
            </w:tcBorders>
            <w:vAlign w:val="center"/>
          </w:tcPr>
          <w:p>
            <w:pPr>
              <w:pStyle w:val="Normal"/>
              <w:spacing w:lineRule="auto" w:line="240"/>
              <w:jc w:val="start"/>
              <w:rPr/>
            </w:pPr>
            <w:r>
              <w:rPr>
                <w:sz w:val="20"/>
                <w:szCs w:val="20"/>
              </w:rPr>
              <w:t>Campo de fonte aponta exatamente para o documento e status de retificação</w:t>
            </w:r>
          </w:p>
        </w:tc>
        <w:tc>
          <w:tcPr>
            <w:tcW w:w="2900" w:type="dxa"/>
            <w:tcBorders>
              <w:top w:val="single" w:sz="2" w:space="0" w:color="888888"/>
              <w:start w:val="single" w:sz="2" w:space="0" w:color="888888"/>
              <w:bottom w:val="single" w:sz="4" w:space="0" w:color="000000"/>
              <w:end w:val="single" w:sz="4" w:space="0" w:color="000000"/>
            </w:tcBorders>
            <w:vAlign w:val="center"/>
          </w:tcPr>
          <w:p>
            <w:pPr>
              <w:pStyle w:val="Normal"/>
              <w:spacing w:lineRule="auto" w:line="240"/>
              <w:jc w:val="start"/>
              <w:rPr/>
            </w:pPr>
            <w:r>
              <w:rPr>
                <w:sz w:val="20"/>
                <w:szCs w:val="20"/>
              </w:rPr>
              <w:t>Obrigatório em 100% dos registros</w:t>
            </w:r>
          </w:p>
        </w:tc>
      </w:tr>
    </w:tbl>
    <w:p>
      <w:pPr>
        <w:pStyle w:val="Normal"/>
        <w:spacing w:before="0" w:after="240"/>
        <w:jc w:val="start"/>
        <w:rPr/>
      </w:pPr>
      <w:r>
        <w:rPr>
          <w:sz w:val="20"/>
          <w:szCs w:val="20"/>
        </w:rPr>
        <w:t>Fonte: elaborado pelos autores; limiares heurísticos sujeitos a calibração empírica (Seção 11).</w:t>
      </w:r>
    </w:p>
    <w:p>
      <w:pPr>
        <w:pStyle w:val="Normal"/>
        <w:spacing w:lineRule="auto" w:line="360" w:before="0" w:after="160"/>
        <w:ind w:firstLine="709"/>
        <w:jc w:val="both"/>
        <w:rPr/>
      </w:pPr>
      <w:r>
        <w:rPr>
          <w:sz w:val="24"/>
          <w:szCs w:val="24"/>
        </w:rPr>
        <w:t>Os limiares acima — em particular os 30% de variação temporal e os 90% de concordância entre extratores — são heurísticas de partida, não valores derivados de calibração estatística sobre múltiplas instituições. Essa limitação é reconhecida explicitamente na Seção 10 e integra a agenda de validação da Seção 11.</w:t>
      </w:r>
    </w:p>
    <w:p>
      <w:pPr>
        <w:pStyle w:val="Heading1"/>
        <w:spacing w:before="480" w:after="240"/>
        <w:rPr/>
      </w:pPr>
      <w:r>
        <w:rPr>
          <w:b/>
          <w:bCs/>
          <w:sz w:val="24"/>
          <w:szCs w:val="24"/>
        </w:rPr>
        <w:t>5 PROTOCOLO OPERACIONAL DE EXTRAÇÃO</w:t>
      </w:r>
    </w:p>
    <w:p>
      <w:pPr>
        <w:pStyle w:val="Heading2"/>
        <w:spacing w:before="360" w:after="180"/>
        <w:rPr/>
      </w:pPr>
      <w:r>
        <w:rPr>
          <w:b/>
          <w:bCs/>
          <w:sz w:val="24"/>
          <w:szCs w:val="24"/>
        </w:rPr>
        <w:t>5.1 Etapa Preliminar: Identificação do Marco Institucional Local</w:t>
      </w:r>
    </w:p>
    <w:p>
      <w:pPr>
        <w:pStyle w:val="Normal"/>
        <w:spacing w:lineRule="auto" w:line="360" w:before="0" w:after="160"/>
        <w:ind w:firstLine="709"/>
        <w:jc w:val="both"/>
        <w:rPr/>
      </w:pPr>
      <w:r>
        <w:rPr>
          <w:sz w:val="24"/>
          <w:szCs w:val="24"/>
        </w:rPr>
        <w:t>Antes de extrair qualquer edital de uma instituição ainda não presente na base, executar: (a) identificação da esfera administrativa e do marco legal que rege a assistência estudantil ali; (b) mapeamento da hierarquia institucional local (campus, polo, unidade) para o campo genérico `unidade_institucional`; (c) construção de um dicionário de tradução entre o termo local do auxílio e a categoria funcional padronizada (Seção 6); (d) validação desse dicionário sobre um edital-piloto antes de escalar (Seção 9).</w:t>
      </w:r>
    </w:p>
    <w:p>
      <w:pPr>
        <w:pStyle w:val="Heading2"/>
        <w:spacing w:before="360" w:after="180"/>
        <w:rPr/>
      </w:pPr>
      <w:r>
        <w:rPr>
          <w:b/>
          <w:bCs/>
          <w:sz w:val="24"/>
          <w:szCs w:val="24"/>
        </w:rPr>
        <w:t>5.2 Etapas de Extração</w:t>
      </w:r>
    </w:p>
    <w:p>
      <w:pPr>
        <w:pStyle w:val="Normal"/>
        <w:spacing w:before="240" w:after="80"/>
        <w:jc w:val="center"/>
        <w:rPr/>
      </w:pPr>
      <w:r>
        <w:rPr>
          <w:b/>
          <w:bCs/>
          <w:sz w:val="20"/>
          <w:szCs w:val="20"/>
        </w:rPr>
        <w:t>Quadro 4 – Etapas do protocolo operacional de extração</w:t>
      </w:r>
    </w:p>
    <w:tbl>
      <w:tblPr>
        <w:tblW w:w="10586" w:type="dxa"/>
        <w:jc w:val="start"/>
        <w:tblInd w:w="-686" w:type="dxa"/>
        <w:tblLayout w:type="fixed"/>
        <w:tblCellMar>
          <w:top w:w="60" w:type="dxa"/>
          <w:start w:w="80" w:type="dxa"/>
          <w:bottom w:w="60" w:type="dxa"/>
          <w:end w:w="80" w:type="dxa"/>
        </w:tblCellMar>
      </w:tblPr>
      <w:tblGrid>
        <w:gridCol w:w="1695"/>
        <w:gridCol w:w="3300"/>
        <w:gridCol w:w="5591"/>
      </w:tblGrid>
      <w:tr>
        <w:trPr>
          <w:tblHeader w:val="true"/>
        </w:trPr>
        <w:tc>
          <w:tcPr>
            <w:tcW w:w="1695" w:type="dxa"/>
            <w:tcBorders>
              <w:top w:val="single" w:sz="4" w:space="0" w:color="000000"/>
              <w:start w:val="single" w:sz="4" w:space="0" w:color="000000"/>
              <w:bottom w:val="single" w:sz="2" w:space="0" w:color="888888"/>
              <w:end w:val="single" w:sz="2" w:space="0" w:color="888888"/>
            </w:tcBorders>
            <w:shd w:fill="D9D9D9" w:val="clear"/>
            <w:vAlign w:val="center"/>
          </w:tcPr>
          <w:p>
            <w:pPr>
              <w:pStyle w:val="Normal"/>
              <w:spacing w:lineRule="auto" w:line="240"/>
              <w:jc w:val="center"/>
              <w:rPr/>
            </w:pPr>
            <w:r>
              <w:rPr>
                <w:b/>
                <w:bCs/>
                <w:sz w:val="20"/>
                <w:szCs w:val="20"/>
              </w:rPr>
              <w:t>Etapa</w:t>
            </w:r>
          </w:p>
        </w:tc>
        <w:tc>
          <w:tcPr>
            <w:tcW w:w="3300" w:type="dxa"/>
            <w:tcBorders>
              <w:top w:val="single" w:sz="4" w:space="0" w:color="000000"/>
              <w:start w:val="single" w:sz="2" w:space="0" w:color="888888"/>
              <w:bottom w:val="single" w:sz="2" w:space="0" w:color="888888"/>
              <w:end w:val="single" w:sz="2" w:space="0" w:color="888888"/>
            </w:tcBorders>
            <w:shd w:fill="D9D9D9" w:val="clear"/>
            <w:vAlign w:val="center"/>
          </w:tcPr>
          <w:p>
            <w:pPr>
              <w:pStyle w:val="Normal"/>
              <w:spacing w:lineRule="auto" w:line="240"/>
              <w:jc w:val="center"/>
              <w:rPr/>
            </w:pPr>
            <w:r>
              <w:rPr>
                <w:b/>
                <w:bCs/>
                <w:sz w:val="20"/>
                <w:szCs w:val="20"/>
              </w:rPr>
              <w:t>Nome</w:t>
            </w:r>
          </w:p>
        </w:tc>
        <w:tc>
          <w:tcPr>
            <w:tcW w:w="5591" w:type="dxa"/>
            <w:tcBorders>
              <w:top w:val="single" w:sz="4" w:space="0" w:color="000000"/>
              <w:start w:val="single" w:sz="2" w:space="0" w:color="888888"/>
              <w:bottom w:val="single" w:sz="2" w:space="0" w:color="888888"/>
              <w:end w:val="single" w:sz="4" w:space="0" w:color="000000"/>
            </w:tcBorders>
            <w:shd w:fill="D9D9D9" w:val="clear"/>
            <w:vAlign w:val="center"/>
          </w:tcPr>
          <w:p>
            <w:pPr>
              <w:pStyle w:val="Normal"/>
              <w:spacing w:lineRule="auto" w:line="240"/>
              <w:jc w:val="center"/>
              <w:rPr/>
            </w:pPr>
            <w:r>
              <w:rPr>
                <w:b/>
                <w:bCs/>
                <w:sz w:val="20"/>
                <w:szCs w:val="20"/>
              </w:rPr>
              <w:t>Regra operacional</w:t>
            </w:r>
          </w:p>
        </w:tc>
      </w:tr>
      <w:tr>
        <w:trPr/>
        <w:tc>
          <w:tcPr>
            <w:tcW w:w="1695" w:type="dxa"/>
            <w:tcBorders>
              <w:top w:val="single" w:sz="2" w:space="0" w:color="888888"/>
              <w:start w:val="single" w:sz="4" w:space="0" w:color="000000"/>
              <w:bottom w:val="single" w:sz="2" w:space="0" w:color="888888"/>
              <w:end w:val="single" w:sz="2" w:space="0" w:color="888888"/>
            </w:tcBorders>
            <w:vAlign w:val="center"/>
          </w:tcPr>
          <w:p>
            <w:pPr>
              <w:pStyle w:val="Normal"/>
              <w:spacing w:lineRule="auto" w:line="240"/>
              <w:jc w:val="start"/>
              <w:rPr/>
            </w:pPr>
            <w:r>
              <w:rPr>
                <w:sz w:val="20"/>
                <w:szCs w:val="20"/>
              </w:rPr>
              <w:t>0 (pré-requisito)</w:t>
            </w:r>
          </w:p>
        </w:tc>
        <w:tc>
          <w:tcPr>
            <w:tcW w:w="3300" w:type="dxa"/>
            <w:tcBorders>
              <w:top w:val="single" w:sz="2" w:space="0" w:color="888888"/>
              <w:start w:val="single" w:sz="2" w:space="0" w:color="888888"/>
              <w:bottom w:val="single" w:sz="2" w:space="0" w:color="888888"/>
              <w:end w:val="single" w:sz="2" w:space="0" w:color="888888"/>
            </w:tcBorders>
            <w:vAlign w:val="center"/>
          </w:tcPr>
          <w:p>
            <w:pPr>
              <w:pStyle w:val="Normal"/>
              <w:spacing w:lineRule="auto" w:line="240"/>
              <w:jc w:val="start"/>
              <w:rPr/>
            </w:pPr>
            <w:r>
              <w:rPr>
                <w:sz w:val="20"/>
                <w:szCs w:val="20"/>
              </w:rPr>
              <w:t>Identificação do marco institucional local</w:t>
            </w:r>
          </w:p>
        </w:tc>
        <w:tc>
          <w:tcPr>
            <w:tcW w:w="5591" w:type="dxa"/>
            <w:tcBorders>
              <w:top w:val="single" w:sz="2" w:space="0" w:color="888888"/>
              <w:start w:val="single" w:sz="2" w:space="0" w:color="888888"/>
              <w:bottom w:val="single" w:sz="2" w:space="0" w:color="888888"/>
              <w:end w:val="single" w:sz="4" w:space="0" w:color="000000"/>
            </w:tcBorders>
            <w:vAlign w:val="center"/>
          </w:tcPr>
          <w:p>
            <w:pPr>
              <w:pStyle w:val="Normal"/>
              <w:spacing w:lineRule="auto" w:line="240"/>
              <w:jc w:val="start"/>
              <w:rPr/>
            </w:pPr>
            <w:r>
              <w:rPr>
                <w:sz w:val="20"/>
                <w:szCs w:val="20"/>
              </w:rPr>
              <w:t>Executada apenas na incorporação de instituição nova (Seção 9); não se repete a cada edital</w:t>
            </w:r>
          </w:p>
        </w:tc>
      </w:tr>
      <w:tr>
        <w:trPr/>
        <w:tc>
          <w:tcPr>
            <w:tcW w:w="1695" w:type="dxa"/>
            <w:tcBorders>
              <w:top w:val="single" w:sz="2" w:space="0" w:color="888888"/>
              <w:start w:val="single" w:sz="4" w:space="0" w:color="000000"/>
              <w:bottom w:val="single" w:sz="2" w:space="0" w:color="888888"/>
              <w:end w:val="single" w:sz="2" w:space="0" w:color="888888"/>
            </w:tcBorders>
            <w:vAlign w:val="center"/>
          </w:tcPr>
          <w:p>
            <w:pPr>
              <w:pStyle w:val="Normal"/>
              <w:spacing w:lineRule="auto" w:line="240"/>
              <w:jc w:val="start"/>
              <w:rPr/>
            </w:pPr>
            <w:r>
              <w:rPr>
                <w:sz w:val="20"/>
                <w:szCs w:val="20"/>
              </w:rPr>
              <w:t>1</w:t>
            </w:r>
          </w:p>
        </w:tc>
        <w:tc>
          <w:tcPr>
            <w:tcW w:w="3300" w:type="dxa"/>
            <w:tcBorders>
              <w:top w:val="single" w:sz="2" w:space="0" w:color="888888"/>
              <w:start w:val="single" w:sz="2" w:space="0" w:color="888888"/>
              <w:bottom w:val="single" w:sz="2" w:space="0" w:color="888888"/>
              <w:end w:val="single" w:sz="2" w:space="0" w:color="888888"/>
            </w:tcBorders>
            <w:vAlign w:val="center"/>
          </w:tcPr>
          <w:p>
            <w:pPr>
              <w:pStyle w:val="Normal"/>
              <w:spacing w:lineRule="auto" w:line="240"/>
              <w:jc w:val="start"/>
              <w:rPr/>
            </w:pPr>
            <w:r>
              <w:rPr>
                <w:sz w:val="20"/>
                <w:szCs w:val="20"/>
              </w:rPr>
              <w:t>Leitura estrutural do documento</w:t>
            </w:r>
          </w:p>
        </w:tc>
        <w:tc>
          <w:tcPr>
            <w:tcW w:w="5591" w:type="dxa"/>
            <w:tcBorders>
              <w:top w:val="single" w:sz="2" w:space="0" w:color="888888"/>
              <w:start w:val="single" w:sz="2" w:space="0" w:color="888888"/>
              <w:bottom w:val="single" w:sz="2" w:space="0" w:color="888888"/>
              <w:end w:val="single" w:sz="4" w:space="0" w:color="000000"/>
            </w:tcBorders>
            <w:vAlign w:val="center"/>
          </w:tcPr>
          <w:p>
            <w:pPr>
              <w:pStyle w:val="Normal"/>
              <w:spacing w:lineRule="auto" w:line="240"/>
              <w:jc w:val="start"/>
              <w:rPr/>
            </w:pPr>
            <w:r>
              <w:rPr>
                <w:sz w:val="20"/>
                <w:szCs w:val="20"/>
              </w:rPr>
              <w:t>Localizar seções equivalentes a objeto, cronograma, quadro de vagas, critérios, valores, regras de acumulação, metodologia de avaliação</w:t>
            </w:r>
          </w:p>
        </w:tc>
      </w:tr>
      <w:tr>
        <w:trPr/>
        <w:tc>
          <w:tcPr>
            <w:tcW w:w="1695" w:type="dxa"/>
            <w:tcBorders>
              <w:top w:val="single" w:sz="2" w:space="0" w:color="888888"/>
              <w:start w:val="single" w:sz="4" w:space="0" w:color="000000"/>
              <w:bottom w:val="single" w:sz="2" w:space="0" w:color="888888"/>
              <w:end w:val="single" w:sz="2" w:space="0" w:color="888888"/>
            </w:tcBorders>
            <w:vAlign w:val="center"/>
          </w:tcPr>
          <w:p>
            <w:pPr>
              <w:pStyle w:val="Normal"/>
              <w:spacing w:lineRule="auto" w:line="240"/>
              <w:jc w:val="start"/>
              <w:rPr/>
            </w:pPr>
            <w:r>
              <w:rPr>
                <w:sz w:val="20"/>
                <w:szCs w:val="20"/>
              </w:rPr>
              <w:t>2</w:t>
            </w:r>
          </w:p>
        </w:tc>
        <w:tc>
          <w:tcPr>
            <w:tcW w:w="3300" w:type="dxa"/>
            <w:tcBorders>
              <w:top w:val="single" w:sz="2" w:space="0" w:color="888888"/>
              <w:start w:val="single" w:sz="2" w:space="0" w:color="888888"/>
              <w:bottom w:val="single" w:sz="2" w:space="0" w:color="888888"/>
              <w:end w:val="single" w:sz="2" w:space="0" w:color="888888"/>
            </w:tcBorders>
            <w:vAlign w:val="center"/>
          </w:tcPr>
          <w:p>
            <w:pPr>
              <w:pStyle w:val="Normal"/>
              <w:spacing w:lineRule="auto" w:line="240"/>
              <w:jc w:val="start"/>
              <w:rPr/>
            </w:pPr>
            <w:r>
              <w:rPr>
                <w:sz w:val="20"/>
                <w:szCs w:val="20"/>
              </w:rPr>
              <w:t>Localização do quadro de vagas</w:t>
            </w:r>
          </w:p>
        </w:tc>
        <w:tc>
          <w:tcPr>
            <w:tcW w:w="5591" w:type="dxa"/>
            <w:tcBorders>
              <w:top w:val="single" w:sz="2" w:space="0" w:color="888888"/>
              <w:start w:val="single" w:sz="2" w:space="0" w:color="888888"/>
              <w:bottom w:val="single" w:sz="2" w:space="0" w:color="888888"/>
              <w:end w:val="single" w:sz="4" w:space="0" w:color="000000"/>
            </w:tcBorders>
            <w:vAlign w:val="center"/>
          </w:tcPr>
          <w:p>
            <w:pPr>
              <w:pStyle w:val="Normal"/>
              <w:spacing w:lineRule="auto" w:line="240"/>
              <w:jc w:val="start"/>
              <w:rPr/>
            </w:pPr>
            <w:r>
              <w:rPr>
                <w:sz w:val="20"/>
                <w:szCs w:val="20"/>
              </w:rPr>
              <w:t>Extrair a tabela de vagas por auxílio; registrar à parte o total declarado (âncora da etapa 8)</w:t>
            </w:r>
          </w:p>
        </w:tc>
      </w:tr>
      <w:tr>
        <w:trPr/>
        <w:tc>
          <w:tcPr>
            <w:tcW w:w="1695" w:type="dxa"/>
            <w:tcBorders>
              <w:top w:val="single" w:sz="2" w:space="0" w:color="888888"/>
              <w:start w:val="single" w:sz="4" w:space="0" w:color="000000"/>
              <w:bottom w:val="single" w:sz="2" w:space="0" w:color="888888"/>
              <w:end w:val="single" w:sz="2" w:space="0" w:color="888888"/>
            </w:tcBorders>
            <w:vAlign w:val="center"/>
          </w:tcPr>
          <w:p>
            <w:pPr>
              <w:pStyle w:val="Normal"/>
              <w:spacing w:lineRule="auto" w:line="240"/>
              <w:jc w:val="start"/>
              <w:rPr/>
            </w:pPr>
            <w:r>
              <w:rPr>
                <w:sz w:val="20"/>
                <w:szCs w:val="20"/>
              </w:rPr>
              <w:t>3</w:t>
            </w:r>
          </w:p>
        </w:tc>
        <w:tc>
          <w:tcPr>
            <w:tcW w:w="3300" w:type="dxa"/>
            <w:tcBorders>
              <w:top w:val="single" w:sz="2" w:space="0" w:color="888888"/>
              <w:start w:val="single" w:sz="2" w:space="0" w:color="888888"/>
              <w:bottom w:val="single" w:sz="2" w:space="0" w:color="888888"/>
              <w:end w:val="single" w:sz="2" w:space="0" w:color="888888"/>
            </w:tcBorders>
            <w:vAlign w:val="center"/>
          </w:tcPr>
          <w:p>
            <w:pPr>
              <w:pStyle w:val="Normal"/>
              <w:spacing w:lineRule="auto" w:line="240"/>
              <w:jc w:val="start"/>
              <w:rPr/>
            </w:pPr>
            <w:r>
              <w:rPr>
                <w:sz w:val="20"/>
                <w:szCs w:val="20"/>
              </w:rPr>
              <w:t>Mapeamento taxonômico</w:t>
            </w:r>
          </w:p>
        </w:tc>
        <w:tc>
          <w:tcPr>
            <w:tcW w:w="5591" w:type="dxa"/>
            <w:tcBorders>
              <w:top w:val="single" w:sz="2" w:space="0" w:color="888888"/>
              <w:start w:val="single" w:sz="2" w:space="0" w:color="888888"/>
              <w:bottom w:val="single" w:sz="2" w:space="0" w:color="888888"/>
              <w:end w:val="single" w:sz="4" w:space="0" w:color="000000"/>
            </w:tcBorders>
            <w:vAlign w:val="center"/>
          </w:tcPr>
          <w:p>
            <w:pPr>
              <w:pStyle w:val="Normal"/>
              <w:spacing w:lineRule="auto" w:line="240"/>
              <w:jc w:val="start"/>
              <w:rPr/>
            </w:pPr>
            <w:r>
              <w:rPr>
                <w:sz w:val="20"/>
                <w:szCs w:val="20"/>
              </w:rPr>
              <w:t>Classificar cada modalidade em categoria da taxonomia funcional (Seção 6); toda categoria nova é registrada no log de extensão (Apêndice B)</w:t>
            </w:r>
          </w:p>
        </w:tc>
      </w:tr>
      <w:tr>
        <w:trPr/>
        <w:tc>
          <w:tcPr>
            <w:tcW w:w="1695" w:type="dxa"/>
            <w:tcBorders>
              <w:top w:val="single" w:sz="2" w:space="0" w:color="888888"/>
              <w:start w:val="single" w:sz="4" w:space="0" w:color="000000"/>
              <w:bottom w:val="single" w:sz="2" w:space="0" w:color="888888"/>
              <w:end w:val="single" w:sz="2" w:space="0" w:color="888888"/>
            </w:tcBorders>
            <w:vAlign w:val="center"/>
          </w:tcPr>
          <w:p>
            <w:pPr>
              <w:pStyle w:val="Normal"/>
              <w:spacing w:lineRule="auto" w:line="240"/>
              <w:jc w:val="start"/>
              <w:rPr/>
            </w:pPr>
            <w:r>
              <w:rPr>
                <w:sz w:val="20"/>
                <w:szCs w:val="20"/>
              </w:rPr>
              <w:t>4</w:t>
            </w:r>
          </w:p>
        </w:tc>
        <w:tc>
          <w:tcPr>
            <w:tcW w:w="3300" w:type="dxa"/>
            <w:tcBorders>
              <w:top w:val="single" w:sz="2" w:space="0" w:color="888888"/>
              <w:start w:val="single" w:sz="2" w:space="0" w:color="888888"/>
              <w:bottom w:val="single" w:sz="2" w:space="0" w:color="888888"/>
              <w:end w:val="single" w:sz="2" w:space="0" w:color="888888"/>
            </w:tcBorders>
            <w:vAlign w:val="center"/>
          </w:tcPr>
          <w:p>
            <w:pPr>
              <w:pStyle w:val="Normal"/>
              <w:spacing w:lineRule="auto" w:line="240"/>
              <w:jc w:val="start"/>
              <w:rPr/>
            </w:pPr>
            <w:r>
              <w:rPr>
                <w:sz w:val="20"/>
                <w:szCs w:val="20"/>
              </w:rPr>
              <w:t>Granularidade</w:t>
            </w:r>
          </w:p>
        </w:tc>
        <w:tc>
          <w:tcPr>
            <w:tcW w:w="5591" w:type="dxa"/>
            <w:tcBorders>
              <w:top w:val="single" w:sz="2" w:space="0" w:color="888888"/>
              <w:start w:val="single" w:sz="2" w:space="0" w:color="888888"/>
              <w:bottom w:val="single" w:sz="2" w:space="0" w:color="888888"/>
              <w:end w:val="single" w:sz="4" w:space="0" w:color="000000"/>
            </w:tcBorders>
            <w:vAlign w:val="center"/>
          </w:tcPr>
          <w:p>
            <w:pPr>
              <w:pStyle w:val="Normal"/>
              <w:spacing w:lineRule="auto" w:line="240"/>
              <w:jc w:val="start"/>
              <w:rPr/>
            </w:pPr>
            <w:r>
              <w:rPr>
                <w:sz w:val="20"/>
                <w:szCs w:val="20"/>
              </w:rPr>
              <w:t>Uma linha por combinação unidade + edital + modalidade</w:t>
            </w:r>
          </w:p>
        </w:tc>
      </w:tr>
      <w:tr>
        <w:trPr/>
        <w:tc>
          <w:tcPr>
            <w:tcW w:w="1695" w:type="dxa"/>
            <w:tcBorders>
              <w:top w:val="single" w:sz="2" w:space="0" w:color="888888"/>
              <w:start w:val="single" w:sz="4" w:space="0" w:color="000000"/>
              <w:bottom w:val="single" w:sz="2" w:space="0" w:color="888888"/>
              <w:end w:val="single" w:sz="2" w:space="0" w:color="888888"/>
            </w:tcBorders>
            <w:vAlign w:val="center"/>
          </w:tcPr>
          <w:p>
            <w:pPr>
              <w:pStyle w:val="Normal"/>
              <w:spacing w:lineRule="auto" w:line="240"/>
              <w:jc w:val="start"/>
              <w:rPr/>
            </w:pPr>
            <w:r>
              <w:rPr>
                <w:sz w:val="20"/>
                <w:szCs w:val="20"/>
              </w:rPr>
              <w:t>5</w:t>
            </w:r>
          </w:p>
        </w:tc>
        <w:tc>
          <w:tcPr>
            <w:tcW w:w="3300" w:type="dxa"/>
            <w:tcBorders>
              <w:top w:val="single" w:sz="2" w:space="0" w:color="888888"/>
              <w:start w:val="single" w:sz="2" w:space="0" w:color="888888"/>
              <w:bottom w:val="single" w:sz="2" w:space="0" w:color="888888"/>
              <w:end w:val="single" w:sz="2" w:space="0" w:color="888888"/>
            </w:tcBorders>
            <w:vAlign w:val="center"/>
          </w:tcPr>
          <w:p>
            <w:pPr>
              <w:pStyle w:val="Normal"/>
              <w:spacing w:lineRule="auto" w:line="240"/>
              <w:jc w:val="start"/>
              <w:rPr/>
            </w:pPr>
            <w:r>
              <w:rPr>
                <w:sz w:val="20"/>
                <w:szCs w:val="20"/>
              </w:rPr>
              <w:t>Agregação/desagregação de subgrupos</w:t>
            </w:r>
          </w:p>
        </w:tc>
        <w:tc>
          <w:tcPr>
            <w:tcW w:w="5591" w:type="dxa"/>
            <w:tcBorders>
              <w:top w:val="single" w:sz="2" w:space="0" w:color="888888"/>
              <w:start w:val="single" w:sz="2" w:space="0" w:color="888888"/>
              <w:bottom w:val="single" w:sz="2" w:space="0" w:color="888888"/>
              <w:end w:val="single" w:sz="4" w:space="0" w:color="000000"/>
            </w:tcBorders>
            <w:vAlign w:val="center"/>
          </w:tcPr>
          <w:p>
            <w:pPr>
              <w:pStyle w:val="Normal"/>
              <w:spacing w:lineRule="auto" w:line="240"/>
              <w:jc w:val="start"/>
              <w:rPr/>
            </w:pPr>
            <w:r>
              <w:rPr>
                <w:sz w:val="20"/>
                <w:szCs w:val="20"/>
              </w:rPr>
              <w:t>Regra objetiva da Seção 7</w:t>
            </w:r>
          </w:p>
        </w:tc>
      </w:tr>
      <w:tr>
        <w:trPr/>
        <w:tc>
          <w:tcPr>
            <w:tcW w:w="1695" w:type="dxa"/>
            <w:tcBorders>
              <w:top w:val="single" w:sz="2" w:space="0" w:color="888888"/>
              <w:start w:val="single" w:sz="4" w:space="0" w:color="000000"/>
              <w:bottom w:val="single" w:sz="2" w:space="0" w:color="888888"/>
              <w:end w:val="single" w:sz="2" w:space="0" w:color="888888"/>
            </w:tcBorders>
            <w:vAlign w:val="center"/>
          </w:tcPr>
          <w:p>
            <w:pPr>
              <w:pStyle w:val="Normal"/>
              <w:spacing w:lineRule="auto" w:line="240"/>
              <w:jc w:val="start"/>
              <w:rPr/>
            </w:pPr>
            <w:r>
              <w:rPr>
                <w:sz w:val="20"/>
                <w:szCs w:val="20"/>
              </w:rPr>
              <w:t>6</w:t>
            </w:r>
          </w:p>
        </w:tc>
        <w:tc>
          <w:tcPr>
            <w:tcW w:w="3300" w:type="dxa"/>
            <w:tcBorders>
              <w:top w:val="single" w:sz="2" w:space="0" w:color="888888"/>
              <w:start w:val="single" w:sz="2" w:space="0" w:color="888888"/>
              <w:bottom w:val="single" w:sz="2" w:space="0" w:color="888888"/>
              <w:end w:val="single" w:sz="2" w:space="0" w:color="888888"/>
            </w:tcBorders>
            <w:vAlign w:val="center"/>
          </w:tcPr>
          <w:p>
            <w:pPr>
              <w:pStyle w:val="Normal"/>
              <w:spacing w:lineRule="auto" w:line="240"/>
              <w:jc w:val="start"/>
              <w:rPr/>
            </w:pPr>
            <w:r>
              <w:rPr>
                <w:sz w:val="20"/>
                <w:szCs w:val="20"/>
              </w:rPr>
              <w:t>Valores monetários</w:t>
            </w:r>
          </w:p>
        </w:tc>
        <w:tc>
          <w:tcPr>
            <w:tcW w:w="5591" w:type="dxa"/>
            <w:tcBorders>
              <w:top w:val="single" w:sz="2" w:space="0" w:color="888888"/>
              <w:start w:val="single" w:sz="2" w:space="0" w:color="888888"/>
              <w:bottom w:val="single" w:sz="2" w:space="0" w:color="888888"/>
              <w:end w:val="single" w:sz="4" w:space="0" w:color="000000"/>
            </w:tcBorders>
            <w:vAlign w:val="center"/>
          </w:tcPr>
          <w:p>
            <w:pPr>
              <w:pStyle w:val="Normal"/>
              <w:spacing w:lineRule="auto" w:line="240"/>
              <w:jc w:val="start"/>
              <w:rPr/>
            </w:pPr>
            <w:r>
              <w:rPr>
                <w:sz w:val="20"/>
                <w:szCs w:val="20"/>
              </w:rPr>
              <w:t>`valor_recorrente_brl` = valor periódico recorrente; benefício em espécie = "Serviço Direto"; parcela única registrada em campo separado</w:t>
            </w:r>
          </w:p>
        </w:tc>
      </w:tr>
      <w:tr>
        <w:trPr/>
        <w:tc>
          <w:tcPr>
            <w:tcW w:w="1695" w:type="dxa"/>
            <w:tcBorders>
              <w:top w:val="single" w:sz="2" w:space="0" w:color="888888"/>
              <w:start w:val="single" w:sz="4" w:space="0" w:color="000000"/>
              <w:bottom w:val="single" w:sz="2" w:space="0" w:color="888888"/>
              <w:end w:val="single" w:sz="2" w:space="0" w:color="888888"/>
            </w:tcBorders>
            <w:vAlign w:val="center"/>
          </w:tcPr>
          <w:p>
            <w:pPr>
              <w:pStyle w:val="Normal"/>
              <w:spacing w:lineRule="auto" w:line="240"/>
              <w:jc w:val="start"/>
              <w:rPr/>
            </w:pPr>
            <w:r>
              <w:rPr>
                <w:sz w:val="20"/>
                <w:szCs w:val="20"/>
              </w:rPr>
              <w:t>7</w:t>
            </w:r>
          </w:p>
        </w:tc>
        <w:tc>
          <w:tcPr>
            <w:tcW w:w="3300" w:type="dxa"/>
            <w:tcBorders>
              <w:top w:val="single" w:sz="2" w:space="0" w:color="888888"/>
              <w:start w:val="single" w:sz="2" w:space="0" w:color="888888"/>
              <w:bottom w:val="single" w:sz="2" w:space="0" w:color="888888"/>
              <w:end w:val="single" w:sz="2" w:space="0" w:color="888888"/>
            </w:tcBorders>
            <w:vAlign w:val="center"/>
          </w:tcPr>
          <w:p>
            <w:pPr>
              <w:pStyle w:val="Normal"/>
              <w:spacing w:lineRule="auto" w:line="240"/>
              <w:jc w:val="start"/>
              <w:rPr/>
            </w:pPr>
            <w:r>
              <w:rPr>
                <w:sz w:val="20"/>
                <w:szCs w:val="20"/>
              </w:rPr>
              <w:t>Critérios de elegibilidade</w:t>
            </w:r>
          </w:p>
        </w:tc>
        <w:tc>
          <w:tcPr>
            <w:tcW w:w="5591" w:type="dxa"/>
            <w:tcBorders>
              <w:top w:val="single" w:sz="2" w:space="0" w:color="888888"/>
              <w:start w:val="single" w:sz="2" w:space="0" w:color="888888"/>
              <w:bottom w:val="single" w:sz="2" w:space="0" w:color="888888"/>
              <w:end w:val="single" w:sz="4" w:space="0" w:color="000000"/>
            </w:tcBorders>
            <w:vAlign w:val="center"/>
          </w:tcPr>
          <w:p>
            <w:pPr>
              <w:pStyle w:val="Normal"/>
              <w:spacing w:lineRule="auto" w:line="240"/>
              <w:jc w:val="start"/>
              <w:rPr/>
            </w:pPr>
            <w:r>
              <w:rPr>
                <w:sz w:val="20"/>
                <w:szCs w:val="20"/>
              </w:rPr>
              <w:t>Registrar apenas critérios adicionais e específicos da modalidade; critérios gerais documentados uma única vez por edital</w:t>
            </w:r>
          </w:p>
        </w:tc>
      </w:tr>
      <w:tr>
        <w:trPr/>
        <w:tc>
          <w:tcPr>
            <w:tcW w:w="1695" w:type="dxa"/>
            <w:tcBorders>
              <w:top w:val="single" w:sz="2" w:space="0" w:color="888888"/>
              <w:start w:val="single" w:sz="4" w:space="0" w:color="000000"/>
              <w:bottom w:val="single" w:sz="2" w:space="0" w:color="888888"/>
              <w:end w:val="single" w:sz="2" w:space="0" w:color="888888"/>
            </w:tcBorders>
            <w:vAlign w:val="center"/>
          </w:tcPr>
          <w:p>
            <w:pPr>
              <w:pStyle w:val="Normal"/>
              <w:spacing w:lineRule="auto" w:line="240"/>
              <w:jc w:val="start"/>
              <w:rPr/>
            </w:pPr>
            <w:r>
              <w:rPr>
                <w:sz w:val="20"/>
                <w:szCs w:val="20"/>
              </w:rPr>
              <w:t>8</w:t>
            </w:r>
          </w:p>
        </w:tc>
        <w:tc>
          <w:tcPr>
            <w:tcW w:w="3300" w:type="dxa"/>
            <w:tcBorders>
              <w:top w:val="single" w:sz="2" w:space="0" w:color="888888"/>
              <w:start w:val="single" w:sz="2" w:space="0" w:color="888888"/>
              <w:bottom w:val="single" w:sz="2" w:space="0" w:color="888888"/>
              <w:end w:val="single" w:sz="2" w:space="0" w:color="888888"/>
            </w:tcBorders>
            <w:vAlign w:val="center"/>
          </w:tcPr>
          <w:p>
            <w:pPr>
              <w:pStyle w:val="Normal"/>
              <w:spacing w:lineRule="auto" w:line="240"/>
              <w:jc w:val="start"/>
              <w:rPr/>
            </w:pPr>
            <w:r>
              <w:rPr>
                <w:sz w:val="20"/>
                <w:szCs w:val="20"/>
              </w:rPr>
              <w:t>Validação aritmética obrigatória</w:t>
            </w:r>
          </w:p>
        </w:tc>
        <w:tc>
          <w:tcPr>
            <w:tcW w:w="5591" w:type="dxa"/>
            <w:tcBorders>
              <w:top w:val="single" w:sz="2" w:space="0" w:color="888888"/>
              <w:start w:val="single" w:sz="2" w:space="0" w:color="888888"/>
              <w:bottom w:val="single" w:sz="2" w:space="0" w:color="888888"/>
              <w:end w:val="single" w:sz="4" w:space="0" w:color="000000"/>
            </w:tcBorders>
            <w:vAlign w:val="center"/>
          </w:tcPr>
          <w:p>
            <w:pPr>
              <w:pStyle w:val="Normal"/>
              <w:spacing w:lineRule="auto" w:line="240"/>
              <w:jc w:val="start"/>
              <w:rPr/>
            </w:pPr>
            <w:r>
              <w:rPr>
                <w:sz w:val="20"/>
                <w:szCs w:val="20"/>
              </w:rPr>
              <w:t>Soma das linhas = total declarado (Quadro 3); divergência bloqueia o lançamento</w:t>
            </w:r>
          </w:p>
        </w:tc>
      </w:tr>
      <w:tr>
        <w:trPr/>
        <w:tc>
          <w:tcPr>
            <w:tcW w:w="1695" w:type="dxa"/>
            <w:tcBorders>
              <w:top w:val="single" w:sz="2" w:space="0" w:color="888888"/>
              <w:start w:val="single" w:sz="4" w:space="0" w:color="000000"/>
              <w:bottom w:val="single" w:sz="2" w:space="0" w:color="888888"/>
              <w:end w:val="single" w:sz="2" w:space="0" w:color="888888"/>
            </w:tcBorders>
            <w:vAlign w:val="center"/>
          </w:tcPr>
          <w:p>
            <w:pPr>
              <w:pStyle w:val="Normal"/>
              <w:spacing w:lineRule="auto" w:line="240"/>
              <w:jc w:val="start"/>
              <w:rPr/>
            </w:pPr>
            <w:r>
              <w:rPr>
                <w:sz w:val="20"/>
                <w:szCs w:val="20"/>
              </w:rPr>
              <w:t>9</w:t>
            </w:r>
          </w:p>
        </w:tc>
        <w:tc>
          <w:tcPr>
            <w:tcW w:w="3300" w:type="dxa"/>
            <w:tcBorders>
              <w:top w:val="single" w:sz="2" w:space="0" w:color="888888"/>
              <w:start w:val="single" w:sz="2" w:space="0" w:color="888888"/>
              <w:bottom w:val="single" w:sz="2" w:space="0" w:color="888888"/>
              <w:end w:val="single" w:sz="2" w:space="0" w:color="888888"/>
            </w:tcBorders>
            <w:vAlign w:val="center"/>
          </w:tcPr>
          <w:p>
            <w:pPr>
              <w:pStyle w:val="Normal"/>
              <w:spacing w:lineRule="auto" w:line="240"/>
              <w:jc w:val="start"/>
              <w:rPr/>
            </w:pPr>
            <w:r>
              <w:rPr>
                <w:sz w:val="20"/>
                <w:szCs w:val="20"/>
              </w:rPr>
              <w:t>Numeração sequencial e fonte</w:t>
            </w:r>
          </w:p>
        </w:tc>
        <w:tc>
          <w:tcPr>
            <w:tcW w:w="5591" w:type="dxa"/>
            <w:tcBorders>
              <w:top w:val="single" w:sz="2" w:space="0" w:color="888888"/>
              <w:start w:val="single" w:sz="2" w:space="0" w:color="888888"/>
              <w:bottom w:val="single" w:sz="2" w:space="0" w:color="888888"/>
              <w:end w:val="single" w:sz="4" w:space="0" w:color="000000"/>
            </w:tcBorders>
            <w:vAlign w:val="center"/>
          </w:tcPr>
          <w:p>
            <w:pPr>
              <w:pStyle w:val="Normal"/>
              <w:spacing w:lineRule="auto" w:line="240"/>
              <w:jc w:val="start"/>
              <w:rPr/>
            </w:pPr>
            <w:r>
              <w:rPr>
                <w:sz w:val="20"/>
                <w:szCs w:val="20"/>
              </w:rPr>
              <w:t xml:space="preserve">Código do Estado + </w:t>
            </w:r>
            <w:r>
              <w:rPr>
                <w:sz w:val="20"/>
                <w:szCs w:val="20"/>
              </w:rPr>
              <w:t xml:space="preserve">ID contínuo; </w:t>
            </w:r>
            <w:r>
              <w:rPr>
                <w:sz w:val="20"/>
                <w:szCs w:val="20"/>
              </w:rPr>
              <w:t xml:space="preserve">Tabela com </w:t>
            </w:r>
            <w:r>
              <w:rPr>
                <w:sz w:val="20"/>
                <w:szCs w:val="20"/>
              </w:rPr>
              <w:t xml:space="preserve">fonte no formato "PDF [Órgão/Setor] [Nº]/[Ano] ([status de retificação])" </w:t>
            </w:r>
            <w:r>
              <w:rPr>
                <w:sz w:val="20"/>
                <w:szCs w:val="20"/>
              </w:rPr>
              <w:t>+ links do site de origem e download do edital</w:t>
            </w:r>
          </w:p>
        </w:tc>
      </w:tr>
      <w:tr>
        <w:trPr/>
        <w:tc>
          <w:tcPr>
            <w:tcW w:w="1695" w:type="dxa"/>
            <w:tcBorders>
              <w:top w:val="single" w:sz="2" w:space="0" w:color="888888"/>
              <w:start w:val="single" w:sz="4" w:space="0" w:color="000000"/>
              <w:bottom w:val="single" w:sz="2" w:space="0" w:color="888888"/>
              <w:end w:val="single" w:sz="2" w:space="0" w:color="888888"/>
            </w:tcBorders>
            <w:vAlign w:val="center"/>
          </w:tcPr>
          <w:p>
            <w:pPr>
              <w:pStyle w:val="Normal"/>
              <w:spacing w:lineRule="auto" w:line="240"/>
              <w:jc w:val="start"/>
              <w:rPr/>
            </w:pPr>
            <w:r>
              <w:rPr>
                <w:sz w:val="20"/>
                <w:szCs w:val="20"/>
              </w:rPr>
              <w:t>1</w:t>
            </w:r>
            <w:r>
              <w:rPr>
                <w:sz w:val="20"/>
                <w:szCs w:val="20"/>
              </w:rPr>
              <w:t>0</w:t>
            </w:r>
          </w:p>
        </w:tc>
        <w:tc>
          <w:tcPr>
            <w:tcW w:w="3300" w:type="dxa"/>
            <w:tcBorders>
              <w:top w:val="single" w:sz="2" w:space="0" w:color="888888"/>
              <w:start w:val="single" w:sz="2" w:space="0" w:color="888888"/>
              <w:bottom w:val="single" w:sz="2" w:space="0" w:color="888888"/>
              <w:end w:val="single" w:sz="2" w:space="0" w:color="888888"/>
            </w:tcBorders>
            <w:vAlign w:val="center"/>
          </w:tcPr>
          <w:p>
            <w:pPr>
              <w:pStyle w:val="Normal"/>
              <w:spacing w:lineRule="auto" w:line="240"/>
              <w:jc w:val="start"/>
              <w:rPr/>
            </w:pPr>
            <w:r>
              <w:rPr>
                <w:sz w:val="20"/>
                <w:szCs w:val="20"/>
              </w:rPr>
              <w:t>Atualização de agregados</w:t>
            </w:r>
          </w:p>
        </w:tc>
        <w:tc>
          <w:tcPr>
            <w:tcW w:w="5591" w:type="dxa"/>
            <w:tcBorders>
              <w:top w:val="single" w:sz="2" w:space="0" w:color="888888"/>
              <w:start w:val="single" w:sz="2" w:space="0" w:color="888888"/>
              <w:bottom w:val="single" w:sz="2" w:space="0" w:color="888888"/>
              <w:end w:val="single" w:sz="4" w:space="0" w:color="000000"/>
            </w:tcBorders>
            <w:vAlign w:val="center"/>
          </w:tcPr>
          <w:p>
            <w:pPr>
              <w:pStyle w:val="Normal"/>
              <w:spacing w:lineRule="auto" w:line="240"/>
              <w:jc w:val="start"/>
              <w:rPr/>
            </w:pPr>
            <w:r>
              <w:rPr>
                <w:sz w:val="20"/>
                <w:szCs w:val="20"/>
              </w:rPr>
              <w:t>Recalculados por fórmula, nunca valor fixo; intervalo de referência expandido a cada inserção</w:t>
            </w:r>
          </w:p>
        </w:tc>
      </w:tr>
      <w:tr>
        <w:trPr>
          <w:trHeight w:val="115" w:hRule="atLeast"/>
        </w:trPr>
        <w:tc>
          <w:tcPr>
            <w:tcW w:w="1695" w:type="dxa"/>
            <w:tcBorders>
              <w:top w:val="single" w:sz="2" w:space="0" w:color="888888"/>
              <w:start w:val="single" w:sz="4" w:space="0" w:color="000000"/>
              <w:bottom w:val="single" w:sz="4" w:space="0" w:color="000000"/>
              <w:end w:val="single" w:sz="2" w:space="0" w:color="888888"/>
            </w:tcBorders>
            <w:vAlign w:val="center"/>
          </w:tcPr>
          <w:p>
            <w:pPr>
              <w:pStyle w:val="Normal"/>
              <w:spacing w:lineRule="auto" w:line="240"/>
              <w:jc w:val="start"/>
              <w:rPr/>
            </w:pPr>
            <w:r>
              <w:rPr>
                <w:sz w:val="20"/>
                <w:szCs w:val="20"/>
              </w:rPr>
              <w:softHyphen/>
            </w:r>
          </w:p>
        </w:tc>
        <w:tc>
          <w:tcPr>
            <w:tcW w:w="3300" w:type="dxa"/>
            <w:tcBorders>
              <w:top w:val="single" w:sz="2" w:space="0" w:color="888888"/>
              <w:start w:val="single" w:sz="2" w:space="0" w:color="888888"/>
              <w:bottom w:val="single" w:sz="4" w:space="0" w:color="000000"/>
              <w:end w:val="single" w:sz="2" w:space="0" w:color="888888"/>
            </w:tcBorders>
            <w:vAlign w:val="center"/>
          </w:tcPr>
          <w:p>
            <w:pPr>
              <w:pStyle w:val="Normal"/>
              <w:spacing w:lineRule="auto" w:line="240"/>
              <w:jc w:val="start"/>
              <w:rPr>
                <w:sz w:val="20"/>
                <w:szCs w:val="20"/>
              </w:rPr>
            </w:pPr>
            <w:r>
              <w:rPr/>
            </w:r>
          </w:p>
        </w:tc>
        <w:tc>
          <w:tcPr>
            <w:tcW w:w="5591" w:type="dxa"/>
            <w:tcBorders>
              <w:top w:val="single" w:sz="2" w:space="0" w:color="888888"/>
              <w:start w:val="single" w:sz="2" w:space="0" w:color="888888"/>
              <w:bottom w:val="single" w:sz="4" w:space="0" w:color="000000"/>
              <w:end w:val="single" w:sz="4" w:space="0" w:color="000000"/>
            </w:tcBorders>
            <w:vAlign w:val="center"/>
          </w:tcPr>
          <w:p>
            <w:pPr>
              <w:pStyle w:val="Normal"/>
              <w:spacing w:lineRule="auto" w:line="240"/>
              <w:jc w:val="start"/>
              <w:rPr>
                <w:sz w:val="20"/>
                <w:szCs w:val="20"/>
              </w:rPr>
            </w:pPr>
            <w:r>
              <w:rPr/>
            </w:r>
          </w:p>
        </w:tc>
      </w:tr>
    </w:tbl>
    <w:p>
      <w:pPr>
        <w:pStyle w:val="Normal"/>
        <w:spacing w:before="0" w:after="240"/>
        <w:jc w:val="start"/>
        <w:rPr/>
      </w:pPr>
      <w:r>
        <w:rPr>
          <w:sz w:val="20"/>
          <w:szCs w:val="20"/>
        </w:rPr>
        <w:t>Fonte: elaborado pelos autores.</w:t>
      </w:r>
    </w:p>
    <w:p>
      <w:pPr>
        <w:pStyle w:val="Heading1"/>
        <w:spacing w:before="480" w:after="240"/>
        <w:rPr/>
      </w:pPr>
      <w:r>
        <w:rPr>
          <w:b/>
          <w:bCs/>
          <w:sz w:val="24"/>
          <w:szCs w:val="24"/>
        </w:rPr>
        <w:t>6 TAXONOMIA FUNCIONAL DE BENEFÍCIOS DE ASSISTÊNCIA ESTUDANTIL</w:t>
      </w:r>
    </w:p>
    <w:p>
      <w:pPr>
        <w:pStyle w:val="Heading2"/>
        <w:spacing w:before="360" w:after="180"/>
        <w:rPr/>
      </w:pPr>
      <w:r>
        <w:rPr>
          <w:b/>
          <w:bCs/>
          <w:sz w:val="24"/>
          <w:szCs w:val="24"/>
        </w:rPr>
        <w:t>6.1 Vocabulário Controlado</w:t>
      </w:r>
    </w:p>
    <w:p>
      <w:pPr>
        <w:pStyle w:val="Normal"/>
        <w:spacing w:lineRule="auto" w:line="360" w:before="0" w:after="160"/>
        <w:ind w:firstLine="709"/>
        <w:jc w:val="both"/>
        <w:rPr/>
      </w:pPr>
      <w:r>
        <w:rPr>
          <w:sz w:val="24"/>
          <w:szCs w:val="24"/>
        </w:rPr>
        <w:t>A taxonomia é funcional — organizada pelo que o benefício custeia — e não legal — não organizada pelo nome que a instituição usa. É essa escolha que permite comparar, por exemplo, uma "Bolsa Moradia" estadual com o "Auxílio Moradia" federal como o mesmo tipo de dado (Quadro 5).</w:t>
      </w:r>
    </w:p>
    <w:p>
      <w:pPr>
        <w:pStyle w:val="Normal"/>
        <w:spacing w:before="240" w:after="80"/>
        <w:jc w:val="center"/>
        <w:rPr/>
      </w:pPr>
      <w:r>
        <w:rPr>
          <w:b/>
          <w:bCs/>
          <w:sz w:val="20"/>
          <w:szCs w:val="20"/>
        </w:rPr>
        <w:t>Quadro 5 – Taxonomia funcional de benefícios (vocabulário controlado)</w:t>
      </w:r>
    </w:p>
    <w:tbl>
      <w:tblPr>
        <w:tblW w:w="9900" w:type="dxa"/>
        <w:jc w:val="start"/>
        <w:tblInd w:w="0" w:type="dxa"/>
        <w:tblLayout w:type="fixed"/>
        <w:tblCellMar>
          <w:top w:w="60" w:type="dxa"/>
          <w:start w:w="80" w:type="dxa"/>
          <w:bottom w:w="60" w:type="dxa"/>
          <w:end w:w="80" w:type="dxa"/>
        </w:tblCellMar>
      </w:tblPr>
      <w:tblGrid>
        <w:gridCol w:w="2899"/>
        <w:gridCol w:w="3601"/>
        <w:gridCol w:w="3400"/>
      </w:tblGrid>
      <w:tr>
        <w:trPr>
          <w:tblHeader w:val="true"/>
        </w:trPr>
        <w:tc>
          <w:tcPr>
            <w:tcW w:w="2899" w:type="dxa"/>
            <w:tcBorders>
              <w:top w:val="single" w:sz="4" w:space="0" w:color="000000"/>
              <w:start w:val="single" w:sz="4" w:space="0" w:color="000000"/>
              <w:bottom w:val="single" w:sz="2" w:space="0" w:color="888888"/>
              <w:end w:val="single" w:sz="2" w:space="0" w:color="888888"/>
            </w:tcBorders>
            <w:shd w:fill="D9D9D9" w:val="clear"/>
            <w:vAlign w:val="center"/>
          </w:tcPr>
          <w:p>
            <w:pPr>
              <w:pStyle w:val="Normal"/>
              <w:spacing w:lineRule="auto" w:line="240"/>
              <w:jc w:val="center"/>
              <w:rPr/>
            </w:pPr>
            <w:r>
              <w:rPr>
                <w:b/>
                <w:bCs/>
                <w:sz w:val="20"/>
                <w:szCs w:val="20"/>
              </w:rPr>
              <w:t>Categoria funcional</w:t>
            </w:r>
          </w:p>
        </w:tc>
        <w:tc>
          <w:tcPr>
            <w:tcW w:w="3601" w:type="dxa"/>
            <w:tcBorders>
              <w:top w:val="single" w:sz="4" w:space="0" w:color="000000"/>
              <w:start w:val="single" w:sz="2" w:space="0" w:color="888888"/>
              <w:bottom w:val="single" w:sz="2" w:space="0" w:color="888888"/>
              <w:end w:val="single" w:sz="2" w:space="0" w:color="888888"/>
            </w:tcBorders>
            <w:shd w:fill="D9D9D9" w:val="clear"/>
            <w:vAlign w:val="center"/>
          </w:tcPr>
          <w:p>
            <w:pPr>
              <w:pStyle w:val="Normal"/>
              <w:spacing w:lineRule="auto" w:line="240"/>
              <w:jc w:val="center"/>
              <w:rPr/>
            </w:pPr>
            <w:r>
              <w:rPr>
                <w:b/>
                <w:bCs/>
                <w:sz w:val="20"/>
                <w:szCs w:val="20"/>
              </w:rPr>
              <w:t>Cobre tipicamente</w:t>
            </w:r>
          </w:p>
        </w:tc>
        <w:tc>
          <w:tcPr>
            <w:tcW w:w="3400" w:type="dxa"/>
            <w:tcBorders>
              <w:top w:val="single" w:sz="4" w:space="0" w:color="000000"/>
              <w:start w:val="single" w:sz="2" w:space="0" w:color="888888"/>
              <w:bottom w:val="single" w:sz="2" w:space="0" w:color="888888"/>
              <w:end w:val="single" w:sz="4" w:space="0" w:color="000000"/>
            </w:tcBorders>
            <w:shd w:fill="D9D9D9" w:val="clear"/>
            <w:vAlign w:val="center"/>
          </w:tcPr>
          <w:p>
            <w:pPr>
              <w:pStyle w:val="Normal"/>
              <w:spacing w:lineRule="auto" w:line="240"/>
              <w:jc w:val="center"/>
              <w:rPr/>
            </w:pPr>
            <w:r>
              <w:rPr>
                <w:b/>
                <w:bCs/>
                <w:sz w:val="20"/>
                <w:szCs w:val="20"/>
              </w:rPr>
              <w:t>Exemplos de nomes observados</w:t>
            </w:r>
          </w:p>
        </w:tc>
      </w:tr>
      <w:tr>
        <w:trPr/>
        <w:tc>
          <w:tcPr>
            <w:tcW w:w="2899" w:type="dxa"/>
            <w:tcBorders>
              <w:top w:val="single" w:sz="2" w:space="0" w:color="888888"/>
              <w:start w:val="single" w:sz="4" w:space="0" w:color="000000"/>
              <w:bottom w:val="single" w:sz="2" w:space="0" w:color="888888"/>
              <w:end w:val="single" w:sz="2" w:space="0" w:color="888888"/>
            </w:tcBorders>
            <w:vAlign w:val="center"/>
          </w:tcPr>
          <w:p>
            <w:pPr>
              <w:pStyle w:val="Normal"/>
              <w:spacing w:lineRule="auto" w:line="240"/>
              <w:jc w:val="start"/>
              <w:rPr/>
            </w:pPr>
            <w:r>
              <w:rPr>
                <w:sz w:val="20"/>
                <w:szCs w:val="20"/>
              </w:rPr>
              <w:t>Alimentação</w:t>
            </w:r>
          </w:p>
        </w:tc>
        <w:tc>
          <w:tcPr>
            <w:tcW w:w="3601" w:type="dxa"/>
            <w:tcBorders>
              <w:top w:val="single" w:sz="2" w:space="0" w:color="888888"/>
              <w:start w:val="single" w:sz="2" w:space="0" w:color="888888"/>
              <w:bottom w:val="single" w:sz="2" w:space="0" w:color="888888"/>
              <w:end w:val="single" w:sz="2" w:space="0" w:color="888888"/>
            </w:tcBorders>
            <w:vAlign w:val="center"/>
          </w:tcPr>
          <w:p>
            <w:pPr>
              <w:pStyle w:val="Normal"/>
              <w:spacing w:lineRule="auto" w:line="240"/>
              <w:jc w:val="start"/>
              <w:rPr/>
            </w:pPr>
            <w:r>
              <w:rPr>
                <w:sz w:val="20"/>
                <w:szCs w:val="20"/>
              </w:rPr>
              <w:t>Acesso a refeições ou auxílio financeiro equivalente</w:t>
            </w:r>
          </w:p>
        </w:tc>
        <w:tc>
          <w:tcPr>
            <w:tcW w:w="3400" w:type="dxa"/>
            <w:tcBorders>
              <w:top w:val="single" w:sz="2" w:space="0" w:color="888888"/>
              <w:start w:val="single" w:sz="2" w:space="0" w:color="888888"/>
              <w:bottom w:val="single" w:sz="2" w:space="0" w:color="888888"/>
              <w:end w:val="single" w:sz="4" w:space="0" w:color="000000"/>
            </w:tcBorders>
            <w:vAlign w:val="center"/>
          </w:tcPr>
          <w:p>
            <w:pPr>
              <w:pStyle w:val="Normal"/>
              <w:spacing w:lineRule="auto" w:line="240"/>
              <w:jc w:val="start"/>
              <w:rPr/>
            </w:pPr>
            <w:r>
              <w:rPr>
                <w:sz w:val="20"/>
                <w:szCs w:val="20"/>
              </w:rPr>
              <w:t>Restaurante Universitário, Auxílio Alimentação, Bolsa Alimentação</w:t>
            </w:r>
          </w:p>
        </w:tc>
      </w:tr>
      <w:tr>
        <w:trPr/>
        <w:tc>
          <w:tcPr>
            <w:tcW w:w="2899" w:type="dxa"/>
            <w:tcBorders>
              <w:top w:val="single" w:sz="2" w:space="0" w:color="888888"/>
              <w:start w:val="single" w:sz="4" w:space="0" w:color="000000"/>
              <w:bottom w:val="single" w:sz="2" w:space="0" w:color="888888"/>
              <w:end w:val="single" w:sz="2" w:space="0" w:color="888888"/>
            </w:tcBorders>
            <w:vAlign w:val="center"/>
          </w:tcPr>
          <w:p>
            <w:pPr>
              <w:pStyle w:val="Normal"/>
              <w:spacing w:lineRule="auto" w:line="240"/>
              <w:jc w:val="start"/>
              <w:rPr/>
            </w:pPr>
            <w:r>
              <w:rPr>
                <w:sz w:val="20"/>
                <w:szCs w:val="20"/>
              </w:rPr>
              <w:t>Moradia</w:t>
            </w:r>
          </w:p>
        </w:tc>
        <w:tc>
          <w:tcPr>
            <w:tcW w:w="3601" w:type="dxa"/>
            <w:tcBorders>
              <w:top w:val="single" w:sz="2" w:space="0" w:color="888888"/>
              <w:start w:val="single" w:sz="2" w:space="0" w:color="888888"/>
              <w:bottom w:val="single" w:sz="2" w:space="0" w:color="888888"/>
              <w:end w:val="single" w:sz="2" w:space="0" w:color="888888"/>
            </w:tcBorders>
            <w:vAlign w:val="center"/>
          </w:tcPr>
          <w:p>
            <w:pPr>
              <w:pStyle w:val="Normal"/>
              <w:spacing w:lineRule="auto" w:line="240"/>
              <w:jc w:val="start"/>
              <w:rPr/>
            </w:pPr>
            <w:r>
              <w:rPr>
                <w:sz w:val="20"/>
                <w:szCs w:val="20"/>
              </w:rPr>
              <w:t>Auxílio financeiro para custeio de moradia</w:t>
            </w:r>
          </w:p>
        </w:tc>
        <w:tc>
          <w:tcPr>
            <w:tcW w:w="3400" w:type="dxa"/>
            <w:tcBorders>
              <w:top w:val="single" w:sz="2" w:space="0" w:color="888888"/>
              <w:start w:val="single" w:sz="2" w:space="0" w:color="888888"/>
              <w:bottom w:val="single" w:sz="2" w:space="0" w:color="888888"/>
              <w:end w:val="single" w:sz="4" w:space="0" w:color="000000"/>
            </w:tcBorders>
            <w:vAlign w:val="center"/>
          </w:tcPr>
          <w:p>
            <w:pPr>
              <w:pStyle w:val="Normal"/>
              <w:spacing w:lineRule="auto" w:line="240"/>
              <w:jc w:val="start"/>
              <w:rPr/>
            </w:pPr>
            <w:r>
              <w:rPr>
                <w:sz w:val="20"/>
                <w:szCs w:val="20"/>
              </w:rPr>
              <w:t>Auxílio Moradia, Bolsa Moradia</w:t>
            </w:r>
          </w:p>
        </w:tc>
      </w:tr>
      <w:tr>
        <w:trPr/>
        <w:tc>
          <w:tcPr>
            <w:tcW w:w="2899" w:type="dxa"/>
            <w:tcBorders>
              <w:top w:val="single" w:sz="2" w:space="0" w:color="888888"/>
              <w:start w:val="single" w:sz="4" w:space="0" w:color="000000"/>
              <w:bottom w:val="single" w:sz="2" w:space="0" w:color="888888"/>
              <w:end w:val="single" w:sz="2" w:space="0" w:color="888888"/>
            </w:tcBorders>
            <w:vAlign w:val="center"/>
          </w:tcPr>
          <w:p>
            <w:pPr>
              <w:pStyle w:val="Normal"/>
              <w:spacing w:lineRule="auto" w:line="240"/>
              <w:jc w:val="start"/>
              <w:rPr/>
            </w:pPr>
            <w:r>
              <w:rPr>
                <w:sz w:val="20"/>
                <w:szCs w:val="20"/>
              </w:rPr>
              <w:t>Moradia — Infraestrutura</w:t>
            </w:r>
          </w:p>
        </w:tc>
        <w:tc>
          <w:tcPr>
            <w:tcW w:w="3601" w:type="dxa"/>
            <w:tcBorders>
              <w:top w:val="single" w:sz="2" w:space="0" w:color="888888"/>
              <w:start w:val="single" w:sz="2" w:space="0" w:color="888888"/>
              <w:bottom w:val="single" w:sz="2" w:space="0" w:color="888888"/>
              <w:end w:val="single" w:sz="2" w:space="0" w:color="888888"/>
            </w:tcBorders>
            <w:vAlign w:val="center"/>
          </w:tcPr>
          <w:p>
            <w:pPr>
              <w:pStyle w:val="Normal"/>
              <w:spacing w:lineRule="auto" w:line="240"/>
              <w:jc w:val="start"/>
              <w:rPr/>
            </w:pPr>
            <w:r>
              <w:rPr>
                <w:sz w:val="20"/>
                <w:szCs w:val="20"/>
              </w:rPr>
              <w:t>Vaga física em alojamento/residência mantida pela instituição</w:t>
            </w:r>
          </w:p>
        </w:tc>
        <w:tc>
          <w:tcPr>
            <w:tcW w:w="3400" w:type="dxa"/>
            <w:tcBorders>
              <w:top w:val="single" w:sz="2" w:space="0" w:color="888888"/>
              <w:start w:val="single" w:sz="2" w:space="0" w:color="888888"/>
              <w:bottom w:val="single" w:sz="2" w:space="0" w:color="888888"/>
              <w:end w:val="single" w:sz="4" w:space="0" w:color="000000"/>
            </w:tcBorders>
            <w:vAlign w:val="center"/>
          </w:tcPr>
          <w:p>
            <w:pPr>
              <w:pStyle w:val="Normal"/>
              <w:spacing w:lineRule="auto" w:line="240"/>
              <w:jc w:val="start"/>
              <w:rPr/>
            </w:pPr>
            <w:r>
              <w:rPr>
                <w:sz w:val="20"/>
                <w:szCs w:val="20"/>
              </w:rPr>
              <w:t>Residência Universitária, Casa do Estudante, Moradia Estudantil</w:t>
            </w:r>
          </w:p>
        </w:tc>
      </w:tr>
      <w:tr>
        <w:trPr/>
        <w:tc>
          <w:tcPr>
            <w:tcW w:w="2899" w:type="dxa"/>
            <w:tcBorders>
              <w:top w:val="single" w:sz="2" w:space="0" w:color="888888"/>
              <w:start w:val="single" w:sz="4" w:space="0" w:color="000000"/>
              <w:bottom w:val="single" w:sz="2" w:space="0" w:color="888888"/>
              <w:end w:val="single" w:sz="2" w:space="0" w:color="888888"/>
            </w:tcBorders>
            <w:vAlign w:val="center"/>
          </w:tcPr>
          <w:p>
            <w:pPr>
              <w:pStyle w:val="Normal"/>
              <w:spacing w:lineRule="auto" w:line="240"/>
              <w:jc w:val="start"/>
              <w:rPr/>
            </w:pPr>
            <w:r>
              <w:rPr>
                <w:sz w:val="20"/>
                <w:szCs w:val="20"/>
              </w:rPr>
              <w:t>Transporte</w:t>
            </w:r>
          </w:p>
        </w:tc>
        <w:tc>
          <w:tcPr>
            <w:tcW w:w="3601" w:type="dxa"/>
            <w:tcBorders>
              <w:top w:val="single" w:sz="2" w:space="0" w:color="888888"/>
              <w:start w:val="single" w:sz="2" w:space="0" w:color="888888"/>
              <w:bottom w:val="single" w:sz="2" w:space="0" w:color="888888"/>
              <w:end w:val="single" w:sz="2" w:space="0" w:color="888888"/>
            </w:tcBorders>
            <w:vAlign w:val="center"/>
          </w:tcPr>
          <w:p>
            <w:pPr>
              <w:pStyle w:val="Normal"/>
              <w:spacing w:lineRule="auto" w:line="240"/>
              <w:jc w:val="start"/>
              <w:rPr/>
            </w:pPr>
            <w:r>
              <w:rPr>
                <w:sz w:val="20"/>
                <w:szCs w:val="20"/>
              </w:rPr>
              <w:t>Custeio de deslocamento residência–instituição</w:t>
            </w:r>
          </w:p>
        </w:tc>
        <w:tc>
          <w:tcPr>
            <w:tcW w:w="3400" w:type="dxa"/>
            <w:tcBorders>
              <w:top w:val="single" w:sz="2" w:space="0" w:color="888888"/>
              <w:start w:val="single" w:sz="2" w:space="0" w:color="888888"/>
              <w:bottom w:val="single" w:sz="2" w:space="0" w:color="888888"/>
              <w:end w:val="single" w:sz="4" w:space="0" w:color="000000"/>
            </w:tcBorders>
            <w:vAlign w:val="center"/>
          </w:tcPr>
          <w:p>
            <w:pPr>
              <w:pStyle w:val="Normal"/>
              <w:spacing w:lineRule="auto" w:line="240"/>
              <w:jc w:val="start"/>
              <w:rPr/>
            </w:pPr>
            <w:r>
              <w:rPr>
                <w:sz w:val="20"/>
                <w:szCs w:val="20"/>
              </w:rPr>
              <w:t>Auxílio Transporte, Bolsa Transporte, Passe Estudantil</w:t>
            </w:r>
          </w:p>
        </w:tc>
      </w:tr>
    </w:tbl>
    <w:p>
      <w:pPr>
        <w:pStyle w:val="Normal"/>
        <w:spacing w:before="0" w:after="240"/>
        <w:jc w:val="start"/>
        <w:rPr>
          <w:sz w:val="20"/>
          <w:szCs w:val="20"/>
        </w:rPr>
      </w:pPr>
      <w:r>
        <w:rPr>
          <w:sz w:val="20"/>
          <w:szCs w:val="20"/>
        </w:rPr>
        <w:t>Fonte: elaborado pelos autores a partir dos editais PRAPE/UFPB analisados; categorias adicionais projetadas para redes estaduais ainda não validadas empiricamente.</w:t>
      </w:r>
    </w:p>
    <w:p>
      <w:pPr>
        <w:pStyle w:val="Normal"/>
        <w:spacing w:before="0" w:after="240"/>
        <w:jc w:val="start"/>
        <w:rPr>
          <w:sz w:val="20"/>
          <w:szCs w:val="20"/>
        </w:rPr>
      </w:pPr>
      <w:r>
        <w:rPr>
          <w:sz w:val="20"/>
          <w:szCs w:val="20"/>
        </w:rPr>
      </w:r>
    </w:p>
    <w:p>
      <w:pPr>
        <w:pStyle w:val="Normal"/>
        <w:spacing w:before="0" w:after="240"/>
        <w:jc w:val="start"/>
        <w:rPr>
          <w:sz w:val="20"/>
          <w:szCs w:val="20"/>
        </w:rPr>
      </w:pPr>
      <w:r>
        <w:rPr>
          <w:sz w:val="20"/>
          <w:szCs w:val="20"/>
        </w:rPr>
      </w:r>
    </w:p>
    <w:p>
      <w:pPr>
        <w:pStyle w:val="Heading2"/>
        <w:spacing w:before="360" w:after="180"/>
        <w:rPr/>
      </w:pPr>
      <w:r>
        <w:rPr>
          <w:b/>
          <w:bCs/>
          <w:sz w:val="24"/>
          <w:szCs w:val="24"/>
        </w:rPr>
        <w:t>6.2 Regra de Extensão da Taxonomia</w:t>
      </w:r>
    </w:p>
    <w:p>
      <w:pPr>
        <w:pStyle w:val="Normal"/>
        <w:spacing w:lineRule="auto" w:line="360" w:before="0" w:after="160"/>
        <w:ind w:firstLine="709"/>
        <w:jc w:val="both"/>
        <w:rPr/>
      </w:pPr>
      <w:r>
        <w:rPr>
          <w:sz w:val="24"/>
          <w:szCs w:val="24"/>
        </w:rPr>
        <w:t>Se um auxílio observado não se encaixa em nenhuma categoria existente, ele pode gerar uma nova categoria — mas essa é uma decisão registrada, não silenciosa. Deve-se documentar no log de extensão (Apêndice B): o nome original do auxílio, a instituição/edital de origem, a justificativa para não se encaixar nas categorias existentes, e a data da extensão. Isso evita a proliferação descontrolada de categorias equivalentes com nomes diferentes entre instituições.</w:t>
      </w:r>
    </w:p>
    <w:p>
      <w:pPr>
        <w:pStyle w:val="Heading1"/>
        <w:spacing w:before="480" w:after="240"/>
        <w:rPr/>
      </w:pPr>
      <w:r>
        <w:rPr>
          <w:b/>
          <w:bCs/>
          <w:sz w:val="24"/>
          <w:szCs w:val="24"/>
        </w:rPr>
        <w:t>7 REGRAS DE DECISÃO PARA AGREGAÇÃO E DESAGREGAÇÃO DE SUBGRUPOS</w:t>
      </w:r>
    </w:p>
    <w:p>
      <w:pPr>
        <w:pStyle w:val="Normal"/>
        <w:spacing w:lineRule="auto" w:line="360" w:before="0" w:after="160"/>
        <w:ind w:firstLine="709"/>
        <w:jc w:val="both"/>
        <w:rPr/>
      </w:pPr>
      <w:r>
        <w:rPr>
          <w:sz w:val="24"/>
          <w:szCs w:val="24"/>
        </w:rPr>
        <w:t>Aplicável sempre que um auxílio for oferecido em variantes — por gênero, unidade física, faixa de renda, faixa de distância, entre outras. A regra objetiva é: se o valor monetário ou o nome/rótulo institucional da modalidade difere entre as variantes, cada variante recebe uma linha própria; se o valor é idêntico independentemente da variante, as variantes são somadas em uma única linha, com o detalhamento (por exemplo, "15 vagas masculinas + 10 femininas") registrado em texto no campo de critérios — nunca em linhas separadas artificiais.</w:t>
      </w:r>
    </w:p>
    <w:p>
      <w:pPr>
        <w:pStyle w:val="Normal"/>
        <w:spacing w:lineRule="auto" w:line="360" w:before="0" w:after="160"/>
        <w:ind w:firstLine="709"/>
        <w:jc w:val="both"/>
        <w:rPr/>
      </w:pPr>
      <w:r>
        <w:rPr>
          <w:sz w:val="24"/>
          <w:szCs w:val="24"/>
        </w:rPr>
        <w:t>Esse teste é objetivo e, em princípio, reprodutível entre extratores distintos — o que o qualifica como critério passível de verificação de confiabilidade (Quadro 3). Sua reprodutibilidade real, contudo, ainda não foi medida empiricamente com múltiplos extratores independentes; permanece como item da agenda de validação (Seção 11).</w:t>
      </w:r>
    </w:p>
    <w:p>
      <w:pPr>
        <w:pStyle w:val="Heading1"/>
        <w:spacing w:before="480" w:after="240"/>
        <w:rPr/>
      </w:pPr>
      <w:r>
        <w:rPr>
          <w:b/>
          <w:bCs/>
          <w:sz w:val="24"/>
          <w:szCs w:val="24"/>
        </w:rPr>
        <w:t>8 PROTOCOLO DE VERSIONAMENTO: RETIFICAÇÕES E SÉRIES TEMPORAIS</w:t>
      </w:r>
    </w:p>
    <w:p>
      <w:pPr>
        <w:pStyle w:val="ListParagraph"/>
        <w:numPr>
          <w:ilvl w:val="0"/>
          <w:numId w:val="1"/>
        </w:numPr>
        <w:spacing w:lineRule="auto" w:line="360" w:before="0" w:after="100"/>
        <w:jc w:val="both"/>
        <w:rPr/>
      </w:pPr>
      <w:r>
        <w:rPr>
          <w:sz w:val="24"/>
          <w:szCs w:val="24"/>
        </w:rPr>
        <w:t>Antes de inserir, verificar se a combinação unidade institucional + número do edital já existe na base.</w:t>
      </w:r>
    </w:p>
    <w:p>
      <w:pPr>
        <w:pStyle w:val="ListParagraph"/>
        <w:numPr>
          <w:ilvl w:val="0"/>
          <w:numId w:val="1"/>
        </w:numPr>
        <w:spacing w:lineRule="auto" w:line="360" w:before="0" w:after="100"/>
        <w:jc w:val="both"/>
        <w:rPr/>
      </w:pPr>
      <w:r>
        <w:rPr>
          <w:sz w:val="24"/>
          <w:szCs w:val="24"/>
        </w:rPr>
        <w:t>Se existir uma versão de retificação anterior do mesmo número de edital, a nova versão substitui integralmente as linhas da anterior — retificações são a versão autoritativa mais recente do mesmo processo seletivo, não um registro adicional.</w:t>
      </w:r>
    </w:p>
    <w:p>
      <w:pPr>
        <w:pStyle w:val="ListParagraph"/>
        <w:numPr>
          <w:ilvl w:val="0"/>
          <w:numId w:val="1"/>
        </w:numPr>
        <w:spacing w:lineRule="auto" w:line="360" w:before="0" w:after="100"/>
        <w:jc w:val="both"/>
        <w:rPr/>
      </w:pPr>
      <w:r>
        <w:rPr>
          <w:sz w:val="24"/>
          <w:szCs w:val="24"/>
        </w:rPr>
        <w:t>Se for um número de edital novo (nova edição/ciclo da mesma unidade), nunca sobrescrever ou remover as linhas do edital anterior — cada edital é um ponto distinto de uma série temporal.</w:t>
      </w:r>
    </w:p>
    <w:p>
      <w:pPr>
        <w:pStyle w:val="ListParagraph"/>
        <w:numPr>
          <w:ilvl w:val="0"/>
          <w:numId w:val="1"/>
        </w:numPr>
        <w:spacing w:lineRule="auto" w:line="360" w:before="0" w:after="100"/>
        <w:jc w:val="both"/>
        <w:rPr/>
      </w:pPr>
      <w:r>
        <w:rPr>
          <w:sz w:val="24"/>
          <w:szCs w:val="24"/>
        </w:rPr>
        <w:t>Editais retificados que alteram apenas texto, sem mudança em vagas/valores, ainda devem atualizar o campo de fonte para refletir a versão vigente.</w:t>
      </w:r>
    </w:p>
    <w:p>
      <w:pPr>
        <w:pStyle w:val="Heading1"/>
        <w:spacing w:before="480" w:after="240"/>
        <w:rPr/>
      </w:pPr>
      <w:r>
        <w:rPr>
          <w:b/>
          <w:bCs/>
          <w:sz w:val="24"/>
          <w:szCs w:val="24"/>
        </w:rPr>
        <w:t>9 PROTOCOLO DE ADAPTAÇÃO INSTITUCIONAL (ONBOARDING)</w:t>
      </w:r>
    </w:p>
    <w:p>
      <w:pPr>
        <w:pStyle w:val="Normal"/>
        <w:spacing w:before="240" w:after="80"/>
        <w:jc w:val="center"/>
        <w:rPr/>
      </w:pPr>
      <w:r>
        <w:rPr>
          <w:b/>
          <w:bCs/>
          <w:sz w:val="20"/>
          <w:szCs w:val="20"/>
        </w:rPr>
        <w:t>Quadro 6 – Protocolo de adaptação institucional (onboarding)</w:t>
      </w:r>
    </w:p>
    <w:tbl>
      <w:tblPr>
        <w:tblW w:w="9900" w:type="dxa"/>
        <w:jc w:val="start"/>
        <w:tblInd w:w="0" w:type="dxa"/>
        <w:tblLayout w:type="fixed"/>
        <w:tblCellMar>
          <w:top w:w="60" w:type="dxa"/>
          <w:start w:w="80" w:type="dxa"/>
          <w:bottom w:w="60" w:type="dxa"/>
          <w:end w:w="80" w:type="dxa"/>
        </w:tblCellMar>
      </w:tblPr>
      <w:tblGrid>
        <w:gridCol w:w="1199"/>
        <w:gridCol w:w="8701"/>
      </w:tblGrid>
      <w:tr>
        <w:trPr>
          <w:tblHeader w:val="true"/>
        </w:trPr>
        <w:tc>
          <w:tcPr>
            <w:tcW w:w="1199" w:type="dxa"/>
            <w:tcBorders>
              <w:top w:val="single" w:sz="4" w:space="0" w:color="000000"/>
              <w:start w:val="single" w:sz="4" w:space="0" w:color="000000"/>
              <w:bottom w:val="single" w:sz="2" w:space="0" w:color="888888"/>
              <w:end w:val="single" w:sz="2" w:space="0" w:color="888888"/>
            </w:tcBorders>
            <w:shd w:fill="D9D9D9" w:val="clear"/>
            <w:vAlign w:val="center"/>
          </w:tcPr>
          <w:p>
            <w:pPr>
              <w:pStyle w:val="Normal"/>
              <w:spacing w:lineRule="auto" w:line="240"/>
              <w:jc w:val="center"/>
              <w:rPr/>
            </w:pPr>
            <w:r>
              <w:rPr>
                <w:b/>
                <w:bCs/>
                <w:sz w:val="20"/>
                <w:szCs w:val="20"/>
              </w:rPr>
              <w:t>Etapa</w:t>
            </w:r>
          </w:p>
        </w:tc>
        <w:tc>
          <w:tcPr>
            <w:tcW w:w="8701" w:type="dxa"/>
            <w:tcBorders>
              <w:top w:val="single" w:sz="4" w:space="0" w:color="000000"/>
              <w:start w:val="single" w:sz="2" w:space="0" w:color="888888"/>
              <w:bottom w:val="single" w:sz="2" w:space="0" w:color="888888"/>
              <w:end w:val="single" w:sz="4" w:space="0" w:color="000000"/>
            </w:tcBorders>
            <w:shd w:fill="D9D9D9" w:val="clear"/>
            <w:vAlign w:val="center"/>
          </w:tcPr>
          <w:p>
            <w:pPr>
              <w:pStyle w:val="Normal"/>
              <w:spacing w:lineRule="auto" w:line="240"/>
              <w:jc w:val="center"/>
              <w:rPr/>
            </w:pPr>
            <w:r>
              <w:rPr>
                <w:b/>
                <w:bCs/>
                <w:sz w:val="20"/>
                <w:szCs w:val="20"/>
              </w:rPr>
              <w:t>Ação</w:t>
            </w:r>
          </w:p>
        </w:tc>
      </w:tr>
      <w:tr>
        <w:trPr/>
        <w:tc>
          <w:tcPr>
            <w:tcW w:w="1199" w:type="dxa"/>
            <w:tcBorders>
              <w:top w:val="single" w:sz="2" w:space="0" w:color="888888"/>
              <w:start w:val="single" w:sz="4" w:space="0" w:color="000000"/>
              <w:bottom w:val="single" w:sz="2" w:space="0" w:color="888888"/>
              <w:end w:val="single" w:sz="2" w:space="0" w:color="888888"/>
            </w:tcBorders>
            <w:vAlign w:val="center"/>
          </w:tcPr>
          <w:p>
            <w:pPr>
              <w:pStyle w:val="Normal"/>
              <w:spacing w:lineRule="auto" w:line="240"/>
              <w:jc w:val="start"/>
              <w:rPr/>
            </w:pPr>
            <w:r>
              <w:rPr>
                <w:sz w:val="20"/>
                <w:szCs w:val="20"/>
              </w:rPr>
              <w:t>A</w:t>
            </w:r>
          </w:p>
        </w:tc>
        <w:tc>
          <w:tcPr>
            <w:tcW w:w="8701" w:type="dxa"/>
            <w:tcBorders>
              <w:top w:val="single" w:sz="2" w:space="0" w:color="888888"/>
              <w:start w:val="single" w:sz="2" w:space="0" w:color="888888"/>
              <w:bottom w:val="single" w:sz="2" w:space="0" w:color="888888"/>
              <w:end w:val="single" w:sz="4" w:space="0" w:color="000000"/>
            </w:tcBorders>
            <w:vAlign w:val="center"/>
          </w:tcPr>
          <w:p>
            <w:pPr>
              <w:pStyle w:val="Normal"/>
              <w:spacing w:lineRule="auto" w:line="240"/>
              <w:jc w:val="start"/>
              <w:rPr/>
            </w:pPr>
            <w:r>
              <w:rPr>
                <w:sz w:val="20"/>
                <w:szCs w:val="20"/>
              </w:rPr>
              <w:t>Executar a etapa preliminar (Seção 5.1): identificar marco legal, esfera administrativa e hierarquia institucional</w:t>
            </w:r>
          </w:p>
        </w:tc>
      </w:tr>
      <w:tr>
        <w:trPr/>
        <w:tc>
          <w:tcPr>
            <w:tcW w:w="1199" w:type="dxa"/>
            <w:tcBorders>
              <w:top w:val="single" w:sz="2" w:space="0" w:color="888888"/>
              <w:start w:val="single" w:sz="4" w:space="0" w:color="000000"/>
              <w:bottom w:val="single" w:sz="2" w:space="0" w:color="888888"/>
              <w:end w:val="single" w:sz="2" w:space="0" w:color="888888"/>
            </w:tcBorders>
            <w:vAlign w:val="center"/>
          </w:tcPr>
          <w:p>
            <w:pPr>
              <w:pStyle w:val="Normal"/>
              <w:spacing w:lineRule="auto" w:line="240"/>
              <w:jc w:val="start"/>
              <w:rPr/>
            </w:pPr>
            <w:r>
              <w:rPr>
                <w:sz w:val="20"/>
                <w:szCs w:val="20"/>
              </w:rPr>
              <w:t>B</w:t>
            </w:r>
          </w:p>
        </w:tc>
        <w:tc>
          <w:tcPr>
            <w:tcW w:w="8701" w:type="dxa"/>
            <w:tcBorders>
              <w:top w:val="single" w:sz="2" w:space="0" w:color="888888"/>
              <w:start w:val="single" w:sz="2" w:space="0" w:color="888888"/>
              <w:bottom w:val="single" w:sz="2" w:space="0" w:color="888888"/>
              <w:end w:val="single" w:sz="4" w:space="0" w:color="000000"/>
            </w:tcBorders>
            <w:vAlign w:val="center"/>
          </w:tcPr>
          <w:p>
            <w:pPr>
              <w:pStyle w:val="Normal"/>
              <w:spacing w:lineRule="auto" w:line="240"/>
              <w:jc w:val="start"/>
              <w:rPr/>
            </w:pPr>
            <w:r>
              <w:rPr>
                <w:sz w:val="20"/>
                <w:szCs w:val="20"/>
              </w:rPr>
              <w:t>Construir o dicionário local de tradução (termo institucional → categoria funcional, Seção 6)</w:t>
            </w:r>
          </w:p>
        </w:tc>
      </w:tr>
      <w:tr>
        <w:trPr/>
        <w:tc>
          <w:tcPr>
            <w:tcW w:w="1199" w:type="dxa"/>
            <w:tcBorders>
              <w:top w:val="single" w:sz="2" w:space="0" w:color="888888"/>
              <w:start w:val="single" w:sz="4" w:space="0" w:color="000000"/>
              <w:bottom w:val="single" w:sz="2" w:space="0" w:color="888888"/>
              <w:end w:val="single" w:sz="2" w:space="0" w:color="888888"/>
            </w:tcBorders>
            <w:vAlign w:val="center"/>
          </w:tcPr>
          <w:p>
            <w:pPr>
              <w:pStyle w:val="Normal"/>
              <w:spacing w:lineRule="auto" w:line="240"/>
              <w:jc w:val="start"/>
              <w:rPr/>
            </w:pPr>
            <w:r>
              <w:rPr>
                <w:sz w:val="20"/>
                <w:szCs w:val="20"/>
              </w:rPr>
              <w:t>C</w:t>
            </w:r>
          </w:p>
        </w:tc>
        <w:tc>
          <w:tcPr>
            <w:tcW w:w="8701" w:type="dxa"/>
            <w:tcBorders>
              <w:top w:val="single" w:sz="2" w:space="0" w:color="888888"/>
              <w:start w:val="single" w:sz="2" w:space="0" w:color="888888"/>
              <w:bottom w:val="single" w:sz="2" w:space="0" w:color="888888"/>
              <w:end w:val="single" w:sz="4" w:space="0" w:color="000000"/>
            </w:tcBorders>
            <w:vAlign w:val="center"/>
          </w:tcPr>
          <w:p>
            <w:pPr>
              <w:pStyle w:val="Normal"/>
              <w:spacing w:lineRule="auto" w:line="240"/>
              <w:jc w:val="start"/>
              <w:rPr/>
            </w:pPr>
            <w:r>
              <w:rPr>
                <w:sz w:val="20"/>
                <w:szCs w:val="20"/>
              </w:rPr>
              <w:t>Selecionar um edital-piloto e aplicar o protocolo completo (Seção 5) manualmente</w:t>
            </w:r>
          </w:p>
        </w:tc>
      </w:tr>
      <w:tr>
        <w:trPr/>
        <w:tc>
          <w:tcPr>
            <w:tcW w:w="1199" w:type="dxa"/>
            <w:tcBorders>
              <w:top w:val="single" w:sz="2" w:space="0" w:color="888888"/>
              <w:start w:val="single" w:sz="4" w:space="0" w:color="000000"/>
              <w:bottom w:val="single" w:sz="2" w:space="0" w:color="888888"/>
              <w:end w:val="single" w:sz="2" w:space="0" w:color="888888"/>
            </w:tcBorders>
            <w:vAlign w:val="center"/>
          </w:tcPr>
          <w:p>
            <w:pPr>
              <w:pStyle w:val="Normal"/>
              <w:spacing w:lineRule="auto" w:line="240"/>
              <w:jc w:val="start"/>
              <w:rPr/>
            </w:pPr>
            <w:r>
              <w:rPr>
                <w:sz w:val="20"/>
                <w:szCs w:val="20"/>
              </w:rPr>
              <w:t>D</w:t>
            </w:r>
          </w:p>
        </w:tc>
        <w:tc>
          <w:tcPr>
            <w:tcW w:w="8701" w:type="dxa"/>
            <w:tcBorders>
              <w:top w:val="single" w:sz="2" w:space="0" w:color="888888"/>
              <w:start w:val="single" w:sz="2" w:space="0" w:color="888888"/>
              <w:bottom w:val="single" w:sz="2" w:space="0" w:color="888888"/>
              <w:end w:val="single" w:sz="4" w:space="0" w:color="000000"/>
            </w:tcBorders>
            <w:vAlign w:val="center"/>
          </w:tcPr>
          <w:p>
            <w:pPr>
              <w:pStyle w:val="Normal"/>
              <w:spacing w:lineRule="auto" w:line="240"/>
              <w:jc w:val="start"/>
              <w:rPr/>
            </w:pPr>
            <w:r>
              <w:rPr>
                <w:sz w:val="20"/>
                <w:szCs w:val="20"/>
              </w:rPr>
              <w:t>Validar o piloto contra os critérios do Quadro 3: a soma bate com o total declarado? A taxonomia cobriu todos os auxílios sem forçar categorias?</w:t>
            </w:r>
          </w:p>
        </w:tc>
      </w:tr>
      <w:tr>
        <w:trPr/>
        <w:tc>
          <w:tcPr>
            <w:tcW w:w="1199" w:type="dxa"/>
            <w:tcBorders>
              <w:top w:val="single" w:sz="2" w:space="0" w:color="888888"/>
              <w:start w:val="single" w:sz="4" w:space="0" w:color="000000"/>
              <w:bottom w:val="single" w:sz="2" w:space="0" w:color="888888"/>
              <w:end w:val="single" w:sz="2" w:space="0" w:color="888888"/>
            </w:tcBorders>
            <w:vAlign w:val="center"/>
          </w:tcPr>
          <w:p>
            <w:pPr>
              <w:pStyle w:val="Normal"/>
              <w:spacing w:lineRule="auto" w:line="240"/>
              <w:jc w:val="start"/>
              <w:rPr/>
            </w:pPr>
            <w:r>
              <w:rPr>
                <w:sz w:val="20"/>
                <w:szCs w:val="20"/>
              </w:rPr>
              <w:t>E</w:t>
            </w:r>
          </w:p>
        </w:tc>
        <w:tc>
          <w:tcPr>
            <w:tcW w:w="8701" w:type="dxa"/>
            <w:tcBorders>
              <w:top w:val="single" w:sz="2" w:space="0" w:color="888888"/>
              <w:start w:val="single" w:sz="2" w:space="0" w:color="888888"/>
              <w:bottom w:val="single" w:sz="2" w:space="0" w:color="888888"/>
              <w:end w:val="single" w:sz="4" w:space="0" w:color="000000"/>
            </w:tcBorders>
            <w:vAlign w:val="center"/>
          </w:tcPr>
          <w:p>
            <w:pPr>
              <w:pStyle w:val="Normal"/>
              <w:spacing w:lineRule="auto" w:line="240"/>
              <w:jc w:val="start"/>
              <w:rPr/>
            </w:pPr>
            <w:r>
              <w:rPr>
                <w:sz w:val="20"/>
                <w:szCs w:val="20"/>
              </w:rPr>
              <w:t>Somente após validação do piloto, escalar para o histórico completo da instituição</w:t>
            </w:r>
          </w:p>
        </w:tc>
      </w:tr>
      <w:tr>
        <w:trPr>
          <w:trHeight w:val="397" w:hRule="atLeast"/>
        </w:trPr>
        <w:tc>
          <w:tcPr>
            <w:tcW w:w="1199" w:type="dxa"/>
            <w:tcBorders>
              <w:top w:val="single" w:sz="2" w:space="0" w:color="888888"/>
              <w:start w:val="single" w:sz="4" w:space="0" w:color="000000"/>
              <w:bottom w:val="single" w:sz="4" w:space="0" w:color="000000"/>
              <w:end w:val="single" w:sz="2" w:space="0" w:color="888888"/>
            </w:tcBorders>
            <w:vAlign w:val="center"/>
          </w:tcPr>
          <w:p>
            <w:pPr>
              <w:pStyle w:val="Normal"/>
              <w:spacing w:lineRule="auto" w:line="240"/>
              <w:jc w:val="start"/>
              <w:rPr/>
            </w:pPr>
            <w:r>
              <w:rPr>
                <w:sz w:val="20"/>
                <w:szCs w:val="20"/>
              </w:rPr>
              <w:t>F</w:t>
            </w:r>
          </w:p>
        </w:tc>
        <w:tc>
          <w:tcPr>
            <w:tcW w:w="8701" w:type="dxa"/>
            <w:tcBorders>
              <w:top w:val="single" w:sz="2" w:space="0" w:color="888888"/>
              <w:start w:val="single" w:sz="2" w:space="0" w:color="888888"/>
              <w:bottom w:val="single" w:sz="4" w:space="0" w:color="000000"/>
              <w:end w:val="single" w:sz="4" w:space="0" w:color="000000"/>
            </w:tcBorders>
            <w:vAlign w:val="center"/>
          </w:tcPr>
          <w:p>
            <w:pPr>
              <w:pStyle w:val="Normal"/>
              <w:spacing w:lineRule="auto" w:line="240"/>
              <w:jc w:val="start"/>
              <w:rPr/>
            </w:pPr>
            <w:r>
              <w:rPr>
                <w:sz w:val="20"/>
                <w:szCs w:val="20"/>
              </w:rPr>
              <w:t>Registrar qualquer extensão de taxonomia feita durante o onboarding (Apêndice B)</w:t>
            </w:r>
          </w:p>
        </w:tc>
      </w:tr>
    </w:tbl>
    <w:p>
      <w:pPr>
        <w:pStyle w:val="Normal"/>
        <w:spacing w:before="0" w:after="240"/>
        <w:jc w:val="start"/>
        <w:rPr/>
      </w:pPr>
      <w:r>
        <w:rPr>
          <w:sz w:val="20"/>
          <w:szCs w:val="20"/>
        </w:rPr>
        <w:t>Fonte: elaborado pelos autores.</w:t>
      </w:r>
    </w:p>
    <w:p>
      <w:pPr>
        <w:pStyle w:val="Heading1"/>
        <w:spacing w:before="480" w:after="240"/>
        <w:rPr/>
      </w:pPr>
      <w:r>
        <w:rPr>
          <w:b/>
          <w:bCs/>
          <w:sz w:val="24"/>
          <w:szCs w:val="24"/>
        </w:rPr>
        <w:t>10 LIMITAÇÕES E AMEAÇAS À VALIDADE</w:t>
      </w:r>
    </w:p>
    <w:p>
      <w:pPr>
        <w:pStyle w:val="ListParagraph"/>
        <w:numPr>
          <w:ilvl w:val="0"/>
          <w:numId w:val="1"/>
        </w:numPr>
        <w:spacing w:lineRule="auto" w:line="360" w:before="0" w:after="100"/>
        <w:jc w:val="both"/>
        <w:rPr/>
      </w:pPr>
      <w:r>
        <w:rPr>
          <w:sz w:val="24"/>
          <w:szCs w:val="24"/>
        </w:rPr>
        <w:t>Validação em N=1 institucional. Até a presente versão, o protocolo foi aplicado integralmente a uma única instituição (UFPB), sob um único marco legal (PNAES federal). A generalização para universidades estaduais e municipais é, nesta versão, uma proposta de desenho, não um resultado validado.</w:t>
      </w:r>
    </w:p>
    <w:p>
      <w:pPr>
        <w:pStyle w:val="ListParagraph"/>
        <w:numPr>
          <w:ilvl w:val="0"/>
          <w:numId w:val="1"/>
        </w:numPr>
        <w:spacing w:lineRule="auto" w:line="360" w:before="0" w:after="100"/>
        <w:jc w:val="both"/>
        <w:rPr/>
      </w:pPr>
      <w:r>
        <w:rPr>
          <w:sz w:val="24"/>
          <w:szCs w:val="24"/>
        </w:rPr>
        <w:t>Limiares heurísticos não calibrados. Os valores quantitativos do Quadro 3 (variação de 30%, concordância de 90%) são pontos de partida razoáveis, mas não foram derivados de análise estatística sobre uma amostra de calibração; devem ser revisados à medida que mais editais e mais instituições forem processados.</w:t>
      </w:r>
    </w:p>
    <w:p>
      <w:pPr>
        <w:pStyle w:val="ListParagraph"/>
        <w:numPr>
          <w:ilvl w:val="0"/>
          <w:numId w:val="1"/>
        </w:numPr>
        <w:spacing w:lineRule="auto" w:line="360" w:before="0" w:after="100"/>
        <w:jc w:val="both"/>
        <w:rPr/>
      </w:pPr>
      <w:r>
        <w:rPr>
          <w:sz w:val="24"/>
          <w:szCs w:val="24"/>
        </w:rPr>
        <w:t>Viés de seleção do corpus. O critério de inclusão (documentos em PDF oficialmente publicados) exclui sistematicamente instituições sem publicação digital estruturada, o que pode correlacionar-se com porte e orçamento institucional (Seção 4.2).</w:t>
      </w:r>
    </w:p>
    <w:p>
      <w:pPr>
        <w:pStyle w:val="ListParagraph"/>
        <w:numPr>
          <w:ilvl w:val="0"/>
          <w:numId w:val="1"/>
        </w:numPr>
        <w:spacing w:lineRule="auto" w:line="360" w:before="0" w:after="100"/>
        <w:jc w:val="both"/>
        <w:rPr/>
      </w:pPr>
      <w:r>
        <w:rPr>
          <w:sz w:val="24"/>
          <w:szCs w:val="24"/>
        </w:rPr>
        <w:t>Estruturação incompleta de campos textuais. O campo `criterios_elegibilidade` permanece em texto livre, limitando análises comparativas totalmente automatizadas (Seção 4.3).</w:t>
      </w:r>
    </w:p>
    <w:p>
      <w:pPr>
        <w:pStyle w:val="ListParagraph"/>
        <w:numPr>
          <w:ilvl w:val="0"/>
          <w:numId w:val="1"/>
        </w:numPr>
        <w:spacing w:lineRule="auto" w:line="360" w:before="0" w:after="100"/>
        <w:jc w:val="both"/>
        <w:rPr/>
      </w:pPr>
      <w:r>
        <w:rPr>
          <w:sz w:val="24"/>
          <w:szCs w:val="24"/>
        </w:rPr>
        <w:t>Erros no próprio documento-fonte. Editais podem conter inconsistências internas (por exemplo, soma do quadro de vagas divergente do total declarado por erro da própria instituição emissora). O protocolo detecta a divergência, mas não arbitra qual número está correto — isso pode exigir contato direto com a instituição.</w:t>
      </w:r>
    </w:p>
    <w:p>
      <w:pPr>
        <w:pStyle w:val="ListParagraph"/>
        <w:numPr>
          <w:ilvl w:val="0"/>
          <w:numId w:val="1"/>
        </w:numPr>
        <w:spacing w:lineRule="auto" w:line="360" w:before="0" w:after="100"/>
        <w:jc w:val="both"/>
        <w:rPr/>
      </w:pPr>
      <w:r>
        <w:rPr>
          <w:sz w:val="24"/>
          <w:szCs w:val="24"/>
        </w:rPr>
        <w:t>Retificações fora de ordem cronológica de recebimento. O protocolo assume que a numeração de retificação declarada no próprio documento é a fonte de verdade sobre precedência, mesmo quando os documentos chegam fora de ordem.</w:t>
      </w:r>
    </w:p>
    <w:p>
      <w:pPr>
        <w:pStyle w:val="ListParagraph"/>
        <w:numPr>
          <w:ilvl w:val="0"/>
          <w:numId w:val="1"/>
        </w:numPr>
        <w:spacing w:lineRule="auto" w:line="360" w:before="0" w:after="100"/>
        <w:jc w:val="both"/>
        <w:rPr/>
      </w:pPr>
      <w:r>
        <w:rPr>
          <w:sz w:val="24"/>
          <w:szCs w:val="24"/>
        </w:rPr>
        <w:t>Extração assistida por modelo de linguagem. O processo de leitura e codificação é semi-automatizado; a ausência, nesta versão, de uma rodada formal de dupla extração independente (Quadro 3) significa que a taxa de concordância entre extratores ainda não foi medida, apenas definida como meta.</w:t>
      </w:r>
    </w:p>
    <w:p>
      <w:pPr>
        <w:pStyle w:val="ListParagraph"/>
        <w:numPr>
          <w:ilvl w:val="0"/>
          <w:numId w:val="1"/>
        </w:numPr>
        <w:spacing w:lineRule="auto" w:line="360" w:before="0" w:after="100"/>
        <w:jc w:val="both"/>
        <w:rPr/>
      </w:pPr>
      <w:r>
        <w:rPr>
          <w:sz w:val="24"/>
          <w:szCs w:val="24"/>
        </w:rPr>
        <w:t>Ausência ≠ descontinuação. A ausência de uma modalidade em uma nova edição pode refletir descontinuação real da política ou lacuna de extração de uma edição anterior; o protocolo exige sinalização explícita da incerteza em vez de inferência silenciosa.</w:t>
      </w:r>
    </w:p>
    <w:p>
      <w:pPr>
        <w:pStyle w:val="Heading1"/>
        <w:spacing w:before="480" w:after="240"/>
        <w:rPr/>
      </w:pPr>
      <w:r>
        <w:rPr>
          <w:b/>
          <w:bCs/>
          <w:sz w:val="24"/>
          <w:szCs w:val="24"/>
        </w:rPr>
        <w:t>11 AGENDA DE VALIDAÇÃO EMPÍRICA E ESCALABILIDADE NACIONAL</w:t>
      </w:r>
    </w:p>
    <w:p>
      <w:pPr>
        <w:pStyle w:val="Normal"/>
        <w:spacing w:lineRule="auto" w:line="360" w:before="0" w:after="160"/>
        <w:ind w:firstLine="709"/>
        <w:jc w:val="both"/>
        <w:rPr/>
      </w:pPr>
      <w:r>
        <w:rPr>
          <w:sz w:val="24"/>
          <w:szCs w:val="24"/>
        </w:rPr>
        <w:t>A alegação de aplicabilidade nacional depende de validação empírica ainda não realizada. Propõe-se a seguinte agenda, ordenada por prioridade:</w:t>
      </w:r>
    </w:p>
    <w:p>
      <w:pPr>
        <w:pStyle w:val="ListParagraph"/>
        <w:numPr>
          <w:ilvl w:val="0"/>
          <w:numId w:val="1"/>
        </w:numPr>
        <w:spacing w:lineRule="auto" w:line="360" w:before="0" w:after="100"/>
        <w:jc w:val="both"/>
        <w:rPr/>
      </w:pPr>
      <w:r>
        <w:rPr>
          <w:sz w:val="24"/>
          <w:szCs w:val="24"/>
        </w:rPr>
        <w:t>Definir o universo institucional de referência a partir do Censo da Educação Superior (INEP), permitindo estratificar a amostra de validação por esfera administrativa (federal, estadual, municipal) e por porte institucional — nesta versão não se dispõe de uma contagem verificada desse universo, o que é, em si, uma lacuna a sanar antes de qualquer alegação quantitativa de cobertura nacional.</w:t>
      </w:r>
    </w:p>
    <w:p>
      <w:pPr>
        <w:pStyle w:val="ListParagraph"/>
        <w:numPr>
          <w:ilvl w:val="0"/>
          <w:numId w:val="1"/>
        </w:numPr>
        <w:spacing w:lineRule="auto" w:line="360" w:before="0" w:after="100"/>
        <w:jc w:val="both"/>
        <w:rPr/>
      </w:pPr>
      <w:r>
        <w:rPr>
          <w:sz w:val="24"/>
          <w:szCs w:val="24"/>
        </w:rPr>
        <w:t>Selecionar ao menos uma instituição estadual e uma municipal para o piloto de onboarding (Seção 9), testando a taxonomia funcional (Quadro 5) contra nomenclatura fora do universo federal/PNAES.</w:t>
      </w:r>
    </w:p>
    <w:p>
      <w:pPr>
        <w:pStyle w:val="ListParagraph"/>
        <w:numPr>
          <w:ilvl w:val="0"/>
          <w:numId w:val="1"/>
        </w:numPr>
        <w:spacing w:lineRule="auto" w:line="360" w:before="0" w:after="100"/>
        <w:jc w:val="both"/>
        <w:rPr/>
      </w:pPr>
      <w:r>
        <w:rPr>
          <w:sz w:val="24"/>
          <w:szCs w:val="24"/>
        </w:rPr>
        <w:t>Executar a rodada de dupla extração independente prevista no Quadro 3 para medir, empiricamente, a concordância real entre extratores e recalibrar os limiares hoje heurísticos.</w:t>
      </w:r>
    </w:p>
    <w:p>
      <w:pPr>
        <w:pStyle w:val="ListParagraph"/>
        <w:numPr>
          <w:ilvl w:val="0"/>
          <w:numId w:val="1"/>
        </w:numPr>
        <w:spacing w:lineRule="auto" w:line="360" w:before="0" w:after="100"/>
        <w:jc w:val="both"/>
        <w:rPr/>
      </w:pPr>
      <w:r>
        <w:rPr>
          <w:sz w:val="24"/>
          <w:szCs w:val="24"/>
        </w:rPr>
        <w:t>Formalizar a reconciliação entre o instrumento plano (Apêndice A) e o esquema dimensional operacional do projeto (star schema), hoje pendente (Seção 4.3).</w:t>
      </w:r>
    </w:p>
    <w:p>
      <w:pPr>
        <w:pStyle w:val="ListParagraph"/>
        <w:numPr>
          <w:ilvl w:val="0"/>
          <w:numId w:val="1"/>
        </w:numPr>
        <w:spacing w:lineRule="auto" w:line="360" w:before="0" w:after="100"/>
        <w:jc w:val="both"/>
        <w:rPr/>
      </w:pPr>
      <w:r>
        <w:rPr>
          <w:sz w:val="24"/>
          <w:szCs w:val="24"/>
        </w:rPr>
        <w:t>Avaliar a decomposição estruturada do campo `criterios_elegibilidade` em subcampos, após acumulação de volume suficiente de editais heterogêneos para justificar o desenho dos subcampos.</w:t>
      </w:r>
    </w:p>
    <w:p>
      <w:pPr>
        <w:pStyle w:val="Normal"/>
        <w:spacing w:lineRule="auto" w:line="360" w:before="0" w:after="160"/>
        <w:ind w:firstLine="709"/>
        <w:jc w:val="both"/>
        <w:rPr/>
      </w:pPr>
      <w:r>
        <w:rPr>
          <w:sz w:val="24"/>
          <w:szCs w:val="24"/>
        </w:rPr>
        <w:t>Somente após execução desta agenda a afirmação de que o protocolo "serve para IES públicas do Brasil inteiro" passa de proposta de desenho a resultado empiricamente sustentado.</w:t>
      </w:r>
    </w:p>
    <w:p>
      <w:pPr>
        <w:pStyle w:val="Heading1"/>
        <w:spacing w:before="480" w:after="240"/>
        <w:rPr/>
      </w:pPr>
      <w:r>
        <w:rPr>
          <w:b/>
          <w:bCs/>
          <w:sz w:val="24"/>
          <w:szCs w:val="24"/>
        </w:rPr>
        <w:t>12 DADOS ABERTOS, TRANSPARÊNCIA E CONSIDERAÇÕES ÉTICAS</w:t>
      </w:r>
    </w:p>
    <w:p>
      <w:pPr>
        <w:pStyle w:val="Normal"/>
        <w:spacing w:lineRule="auto" w:line="360" w:before="0" w:after="160"/>
        <w:ind w:firstLine="709"/>
        <w:jc w:val="both"/>
        <w:rPr/>
      </w:pPr>
      <w:r>
        <w:rPr>
          <w:sz w:val="24"/>
          <w:szCs w:val="24"/>
        </w:rPr>
        <w:t>Os documentos-fonte (editais) são atos administrativos públicos, e o schema captura dados de política institucional agregados (vagas, valores, critérios, cronogramas), não dados pessoais ou identificáveis de estudantes individuais. O tratamento realizado por este protocolo situa-se, portanto, fora do escopo de dados sensíveis regulados pela Lei Geral de Proteção de Dados Pessoais (LGPD, Lei nº 13.709/2018); caso um projeto derivado incorpore dados individuais de beneficiários, esse tratamento passaria a exigir salvaguardas próprias sob aquela lei, o que não se aplica ao escopo aqui descrito.</w:t>
      </w:r>
    </w:p>
    <w:p>
      <w:pPr>
        <w:pStyle w:val="Normal"/>
        <w:spacing w:lineRule="auto" w:line="360" w:before="0" w:after="160"/>
        <w:ind w:firstLine="709"/>
        <w:jc w:val="both"/>
        <w:rPr/>
      </w:pPr>
      <w:r>
        <w:rPr>
          <w:sz w:val="24"/>
          <w:szCs w:val="24"/>
        </w:rPr>
        <w:t>A versão anterior deste protocolo não articulava explicitamente sua proposta com a infraestrutura de dados abertos e transparência já existente no Brasil. Corrige-se isso aqui: o direito de acesso à informação pública que fundamenta a própria existência dos editais analisados decorre da Lei de Acesso à Informação (Lei nº 12.527/2011), e iniciativas como o Portal Brasileiro de Dados Abertos oferecem infraestrutura já estabelecida à qual os dados produzidos por este protocolo deveriam, na medida do possível, ser interoperáveis — evitando-se a criação de um padrão de dados paralelo e incompatível com o que já existe na administração pública federal.</w:t>
      </w:r>
    </w:p>
    <w:p>
      <w:pPr>
        <w:pStyle w:val="Heading1"/>
        <w:spacing w:before="480" w:after="240"/>
        <w:rPr/>
      </w:pPr>
      <w:r>
        <w:rPr>
          <w:b/>
          <w:bCs/>
          <w:sz w:val="24"/>
          <w:szCs w:val="24"/>
        </w:rPr>
        <w:t>13 CONTROLE DE VERSÃO DO PROTOCOLO</w:t>
      </w:r>
    </w:p>
    <w:p>
      <w:pPr>
        <w:pStyle w:val="Normal"/>
        <w:spacing w:lineRule="auto" w:line="360" w:before="0" w:after="160"/>
        <w:ind w:firstLine="709"/>
        <w:jc w:val="both"/>
        <w:rPr/>
      </w:pPr>
      <w:r>
        <w:rPr>
          <w:sz w:val="24"/>
          <w:szCs w:val="24"/>
        </w:rPr>
        <w:t>Este protocolo é tratado como um instrumento vivo, sujeito a revisão. A versão 1 (escopo restrito a UFPB/PRAPE, taxonomia amarrada ao PNAES) foi submetida a revisão crítica formal, cujos achados e correções estão registrados no Quadro 7.</w:t>
      </w:r>
    </w:p>
    <w:p>
      <w:pPr>
        <w:pStyle w:val="Normal"/>
        <w:spacing w:before="240" w:after="80"/>
        <w:jc w:val="center"/>
        <w:rPr/>
      </w:pPr>
      <w:r>
        <w:rPr>
          <w:b/>
          <w:bCs/>
          <w:sz w:val="20"/>
          <w:szCs w:val="20"/>
        </w:rPr>
        <w:t>Quadro 7 – Registro de revisão crítica (versão 1 → versão 2)</w:t>
      </w:r>
    </w:p>
    <w:tbl>
      <w:tblPr>
        <w:tblW w:w="9400" w:type="dxa"/>
        <w:jc w:val="start"/>
        <w:tblInd w:w="0" w:type="dxa"/>
        <w:tblLayout w:type="fixed"/>
        <w:tblCellMar>
          <w:top w:w="60" w:type="dxa"/>
          <w:start w:w="80" w:type="dxa"/>
          <w:bottom w:w="60" w:type="dxa"/>
          <w:end w:w="80" w:type="dxa"/>
        </w:tblCellMar>
      </w:tblPr>
      <w:tblGrid>
        <w:gridCol w:w="500"/>
        <w:gridCol w:w="4299"/>
        <w:gridCol w:w="4601"/>
      </w:tblGrid>
      <w:tr>
        <w:trPr>
          <w:tblHeader w:val="true"/>
        </w:trPr>
        <w:tc>
          <w:tcPr>
            <w:tcW w:w="500" w:type="dxa"/>
            <w:tcBorders>
              <w:top w:val="single" w:sz="4" w:space="0" w:color="000000"/>
              <w:start w:val="single" w:sz="4" w:space="0" w:color="000000"/>
              <w:bottom w:val="single" w:sz="2" w:space="0" w:color="888888"/>
              <w:end w:val="single" w:sz="2" w:space="0" w:color="888888"/>
            </w:tcBorders>
            <w:shd w:fill="D9D9D9" w:val="clear"/>
            <w:vAlign w:val="center"/>
          </w:tcPr>
          <w:p>
            <w:pPr>
              <w:pStyle w:val="Normal"/>
              <w:spacing w:lineRule="auto" w:line="240"/>
              <w:jc w:val="center"/>
              <w:rPr/>
            </w:pPr>
            <w:r>
              <w:rPr>
                <w:b/>
                <w:bCs/>
                <w:sz w:val="20"/>
                <w:szCs w:val="20"/>
              </w:rPr>
              <w:t>#</w:t>
            </w:r>
          </w:p>
        </w:tc>
        <w:tc>
          <w:tcPr>
            <w:tcW w:w="4299" w:type="dxa"/>
            <w:tcBorders>
              <w:top w:val="single" w:sz="4" w:space="0" w:color="000000"/>
              <w:start w:val="single" w:sz="2" w:space="0" w:color="888888"/>
              <w:bottom w:val="single" w:sz="2" w:space="0" w:color="888888"/>
              <w:end w:val="single" w:sz="2" w:space="0" w:color="888888"/>
            </w:tcBorders>
            <w:shd w:fill="D9D9D9" w:val="clear"/>
            <w:vAlign w:val="center"/>
          </w:tcPr>
          <w:p>
            <w:pPr>
              <w:pStyle w:val="Normal"/>
              <w:spacing w:lineRule="auto" w:line="240"/>
              <w:jc w:val="center"/>
              <w:rPr/>
            </w:pPr>
            <w:r>
              <w:rPr>
                <w:b/>
                <w:bCs/>
                <w:sz w:val="20"/>
                <w:szCs w:val="20"/>
              </w:rPr>
              <w:t>Achado da revisão crítica</w:t>
            </w:r>
          </w:p>
        </w:tc>
        <w:tc>
          <w:tcPr>
            <w:tcW w:w="4601" w:type="dxa"/>
            <w:tcBorders>
              <w:top w:val="single" w:sz="4" w:space="0" w:color="000000"/>
              <w:start w:val="single" w:sz="2" w:space="0" w:color="888888"/>
              <w:bottom w:val="single" w:sz="2" w:space="0" w:color="888888"/>
              <w:end w:val="single" w:sz="4" w:space="0" w:color="000000"/>
            </w:tcBorders>
            <w:shd w:fill="D9D9D9" w:val="clear"/>
            <w:vAlign w:val="center"/>
          </w:tcPr>
          <w:p>
            <w:pPr>
              <w:pStyle w:val="Normal"/>
              <w:spacing w:lineRule="auto" w:line="240"/>
              <w:jc w:val="center"/>
              <w:rPr/>
            </w:pPr>
            <w:r>
              <w:rPr>
                <w:b/>
                <w:bCs/>
                <w:sz w:val="20"/>
                <w:szCs w:val="20"/>
              </w:rPr>
              <w:t>Correção aplicada nesta versão</w:t>
            </w:r>
          </w:p>
        </w:tc>
      </w:tr>
      <w:tr>
        <w:trPr/>
        <w:tc>
          <w:tcPr>
            <w:tcW w:w="500" w:type="dxa"/>
            <w:tcBorders>
              <w:top w:val="single" w:sz="2" w:space="0" w:color="888888"/>
              <w:start w:val="single" w:sz="4" w:space="0" w:color="000000"/>
              <w:bottom w:val="single" w:sz="2" w:space="0" w:color="888888"/>
              <w:end w:val="single" w:sz="2" w:space="0" w:color="888888"/>
            </w:tcBorders>
            <w:vAlign w:val="center"/>
          </w:tcPr>
          <w:p>
            <w:pPr>
              <w:pStyle w:val="Normal"/>
              <w:spacing w:lineRule="auto" w:line="240"/>
              <w:jc w:val="start"/>
              <w:rPr/>
            </w:pPr>
            <w:r>
              <w:rPr>
                <w:sz w:val="20"/>
                <w:szCs w:val="20"/>
              </w:rPr>
              <w:t>1</w:t>
            </w:r>
          </w:p>
        </w:tc>
        <w:tc>
          <w:tcPr>
            <w:tcW w:w="4299" w:type="dxa"/>
            <w:tcBorders>
              <w:top w:val="single" w:sz="2" w:space="0" w:color="888888"/>
              <w:start w:val="single" w:sz="2" w:space="0" w:color="888888"/>
              <w:bottom w:val="single" w:sz="2" w:space="0" w:color="888888"/>
              <w:end w:val="single" w:sz="2" w:space="0" w:color="888888"/>
            </w:tcBorders>
            <w:vAlign w:val="center"/>
          </w:tcPr>
          <w:p>
            <w:pPr>
              <w:pStyle w:val="Normal"/>
              <w:spacing w:lineRule="auto" w:line="240"/>
              <w:jc w:val="start"/>
              <w:rPr/>
            </w:pPr>
            <w:r>
              <w:rPr>
                <w:sz w:val="20"/>
                <w:szCs w:val="20"/>
              </w:rPr>
              <w:t>Generalização nacional sustentada em N=1 institucional (apenas UFPB)</w:t>
            </w:r>
          </w:p>
        </w:tc>
        <w:tc>
          <w:tcPr>
            <w:tcW w:w="4601" w:type="dxa"/>
            <w:tcBorders>
              <w:top w:val="single" w:sz="2" w:space="0" w:color="888888"/>
              <w:start w:val="single" w:sz="2" w:space="0" w:color="888888"/>
              <w:bottom w:val="single" w:sz="2" w:space="0" w:color="888888"/>
              <w:end w:val="single" w:sz="4" w:space="0" w:color="000000"/>
            </w:tcBorders>
            <w:vAlign w:val="center"/>
          </w:tcPr>
          <w:p>
            <w:pPr>
              <w:pStyle w:val="Normal"/>
              <w:spacing w:lineRule="auto" w:line="240"/>
              <w:jc w:val="start"/>
              <w:rPr/>
            </w:pPr>
            <w:r>
              <w:rPr>
                <w:sz w:val="20"/>
                <w:szCs w:val="20"/>
              </w:rPr>
              <w:t>Seções 2, 10 e 11 reformuladas para tratar a cobertura nacional como agenda pendente, não resultado</w:t>
            </w:r>
          </w:p>
        </w:tc>
      </w:tr>
      <w:tr>
        <w:trPr/>
        <w:tc>
          <w:tcPr>
            <w:tcW w:w="500" w:type="dxa"/>
            <w:tcBorders>
              <w:top w:val="single" w:sz="2" w:space="0" w:color="888888"/>
              <w:start w:val="single" w:sz="4" w:space="0" w:color="000000"/>
              <w:bottom w:val="single" w:sz="2" w:space="0" w:color="888888"/>
              <w:end w:val="single" w:sz="2" w:space="0" w:color="888888"/>
            </w:tcBorders>
            <w:vAlign w:val="center"/>
          </w:tcPr>
          <w:p>
            <w:pPr>
              <w:pStyle w:val="Normal"/>
              <w:spacing w:lineRule="auto" w:line="240"/>
              <w:jc w:val="start"/>
              <w:rPr/>
            </w:pPr>
            <w:r>
              <w:rPr>
                <w:sz w:val="20"/>
                <w:szCs w:val="20"/>
              </w:rPr>
              <w:t>2</w:t>
            </w:r>
          </w:p>
        </w:tc>
        <w:tc>
          <w:tcPr>
            <w:tcW w:w="4299" w:type="dxa"/>
            <w:tcBorders>
              <w:top w:val="single" w:sz="2" w:space="0" w:color="888888"/>
              <w:start w:val="single" w:sz="2" w:space="0" w:color="888888"/>
              <w:bottom w:val="single" w:sz="2" w:space="0" w:color="888888"/>
              <w:end w:val="single" w:sz="2" w:space="0" w:color="888888"/>
            </w:tcBorders>
            <w:vAlign w:val="center"/>
          </w:tcPr>
          <w:p>
            <w:pPr>
              <w:pStyle w:val="Normal"/>
              <w:spacing w:lineRule="auto" w:line="240"/>
              <w:jc w:val="start"/>
              <w:rPr/>
            </w:pPr>
            <w:r>
              <w:rPr>
                <w:sz w:val="20"/>
                <w:szCs w:val="20"/>
              </w:rPr>
              <w:t>"Faixa plausível" da validação temporal sem limiar quantitativo</w:t>
            </w:r>
          </w:p>
        </w:tc>
        <w:tc>
          <w:tcPr>
            <w:tcW w:w="4601" w:type="dxa"/>
            <w:tcBorders>
              <w:top w:val="single" w:sz="2" w:space="0" w:color="888888"/>
              <w:start w:val="single" w:sz="2" w:space="0" w:color="888888"/>
              <w:bottom w:val="single" w:sz="2" w:space="0" w:color="888888"/>
              <w:end w:val="single" w:sz="4" w:space="0" w:color="000000"/>
            </w:tcBorders>
            <w:vAlign w:val="center"/>
          </w:tcPr>
          <w:p>
            <w:pPr>
              <w:pStyle w:val="Normal"/>
              <w:spacing w:lineRule="auto" w:line="240"/>
              <w:jc w:val="start"/>
              <w:rPr/>
            </w:pPr>
            <w:r>
              <w:rPr>
                <w:sz w:val="20"/>
                <w:szCs w:val="20"/>
              </w:rPr>
              <w:t>Definido limiar heurístico explícito (variação &gt; 30%) no Quadro 3, com nota de que carece de calibração</w:t>
            </w:r>
          </w:p>
        </w:tc>
      </w:tr>
      <w:tr>
        <w:trPr/>
        <w:tc>
          <w:tcPr>
            <w:tcW w:w="500" w:type="dxa"/>
            <w:tcBorders>
              <w:top w:val="single" w:sz="2" w:space="0" w:color="888888"/>
              <w:start w:val="single" w:sz="4" w:space="0" w:color="000000"/>
              <w:bottom w:val="single" w:sz="2" w:space="0" w:color="888888"/>
              <w:end w:val="single" w:sz="2" w:space="0" w:color="888888"/>
            </w:tcBorders>
            <w:vAlign w:val="center"/>
          </w:tcPr>
          <w:p>
            <w:pPr>
              <w:pStyle w:val="Normal"/>
              <w:spacing w:lineRule="auto" w:line="240"/>
              <w:jc w:val="start"/>
              <w:rPr/>
            </w:pPr>
            <w:r>
              <w:rPr>
                <w:sz w:val="20"/>
                <w:szCs w:val="20"/>
              </w:rPr>
              <w:t>3</w:t>
            </w:r>
          </w:p>
        </w:tc>
        <w:tc>
          <w:tcPr>
            <w:tcW w:w="4299" w:type="dxa"/>
            <w:tcBorders>
              <w:top w:val="single" w:sz="2" w:space="0" w:color="888888"/>
              <w:start w:val="single" w:sz="2" w:space="0" w:color="888888"/>
              <w:bottom w:val="single" w:sz="2" w:space="0" w:color="888888"/>
              <w:end w:val="single" w:sz="2" w:space="0" w:color="888888"/>
            </w:tcBorders>
            <w:vAlign w:val="center"/>
          </w:tcPr>
          <w:p>
            <w:pPr>
              <w:pStyle w:val="Normal"/>
              <w:spacing w:lineRule="auto" w:line="240"/>
              <w:jc w:val="start"/>
              <w:rPr/>
            </w:pPr>
            <w:r>
              <w:rPr>
                <w:sz w:val="20"/>
                <w:szCs w:val="20"/>
              </w:rPr>
              <w:t>Citação de "tradição de Bardin" sem referência bibliográfica completa</w:t>
            </w:r>
          </w:p>
        </w:tc>
        <w:tc>
          <w:tcPr>
            <w:tcW w:w="4601" w:type="dxa"/>
            <w:tcBorders>
              <w:top w:val="single" w:sz="2" w:space="0" w:color="888888"/>
              <w:start w:val="single" w:sz="2" w:space="0" w:color="888888"/>
              <w:bottom w:val="single" w:sz="2" w:space="0" w:color="888888"/>
              <w:end w:val="single" w:sz="4" w:space="0" w:color="000000"/>
            </w:tcBorders>
            <w:vAlign w:val="center"/>
          </w:tcPr>
          <w:p>
            <w:pPr>
              <w:pStyle w:val="Normal"/>
              <w:spacing w:lineRule="auto" w:line="240"/>
              <w:jc w:val="start"/>
              <w:rPr/>
            </w:pPr>
            <w:r>
              <w:rPr>
                <w:sz w:val="20"/>
                <w:szCs w:val="20"/>
              </w:rPr>
              <w:t>Citação removida; método descrito em termos operacionais próprios (Seção 4.1)</w:t>
            </w:r>
          </w:p>
        </w:tc>
      </w:tr>
      <w:tr>
        <w:trPr/>
        <w:tc>
          <w:tcPr>
            <w:tcW w:w="500" w:type="dxa"/>
            <w:tcBorders>
              <w:top w:val="single" w:sz="2" w:space="0" w:color="888888"/>
              <w:start w:val="single" w:sz="4" w:space="0" w:color="000000"/>
              <w:bottom w:val="single" w:sz="2" w:space="0" w:color="888888"/>
              <w:end w:val="single" w:sz="2" w:space="0" w:color="888888"/>
            </w:tcBorders>
            <w:vAlign w:val="center"/>
          </w:tcPr>
          <w:p>
            <w:pPr>
              <w:pStyle w:val="Normal"/>
              <w:spacing w:lineRule="auto" w:line="240"/>
              <w:jc w:val="start"/>
              <w:rPr/>
            </w:pPr>
            <w:r>
              <w:rPr>
                <w:sz w:val="20"/>
                <w:szCs w:val="20"/>
              </w:rPr>
              <w:t>4</w:t>
            </w:r>
          </w:p>
        </w:tc>
        <w:tc>
          <w:tcPr>
            <w:tcW w:w="4299" w:type="dxa"/>
            <w:tcBorders>
              <w:top w:val="single" w:sz="2" w:space="0" w:color="888888"/>
              <w:start w:val="single" w:sz="2" w:space="0" w:color="888888"/>
              <w:bottom w:val="single" w:sz="2" w:space="0" w:color="888888"/>
              <w:end w:val="single" w:sz="2" w:space="0" w:color="888888"/>
            </w:tcBorders>
            <w:vAlign w:val="center"/>
          </w:tcPr>
          <w:p>
            <w:pPr>
              <w:pStyle w:val="Normal"/>
              <w:spacing w:lineRule="auto" w:line="240"/>
              <w:jc w:val="start"/>
              <w:rPr/>
            </w:pPr>
            <w:r>
              <w:rPr>
                <w:sz w:val="20"/>
                <w:szCs w:val="20"/>
              </w:rPr>
              <w:t>Ausência de métrica de confiabilidade entre extratores</w:t>
            </w:r>
          </w:p>
        </w:tc>
        <w:tc>
          <w:tcPr>
            <w:tcW w:w="4601" w:type="dxa"/>
            <w:tcBorders>
              <w:top w:val="single" w:sz="2" w:space="0" w:color="888888"/>
              <w:start w:val="single" w:sz="2" w:space="0" w:color="888888"/>
              <w:bottom w:val="single" w:sz="2" w:space="0" w:color="888888"/>
              <w:end w:val="single" w:sz="4" w:space="0" w:color="000000"/>
            </w:tcBorders>
            <w:vAlign w:val="center"/>
          </w:tcPr>
          <w:p>
            <w:pPr>
              <w:pStyle w:val="Normal"/>
              <w:spacing w:lineRule="auto" w:line="240"/>
              <w:jc w:val="start"/>
              <w:rPr/>
            </w:pPr>
            <w:r>
              <w:rPr>
                <w:sz w:val="20"/>
                <w:szCs w:val="20"/>
              </w:rPr>
              <w:t>Definida métrica de concordância ≥ 90% em campos numéricos, via dupla extração independente (Quadro 3)</w:t>
            </w:r>
          </w:p>
        </w:tc>
      </w:tr>
      <w:tr>
        <w:trPr/>
        <w:tc>
          <w:tcPr>
            <w:tcW w:w="500" w:type="dxa"/>
            <w:tcBorders>
              <w:top w:val="single" w:sz="2" w:space="0" w:color="888888"/>
              <w:start w:val="single" w:sz="4" w:space="0" w:color="000000"/>
              <w:bottom w:val="single" w:sz="2" w:space="0" w:color="888888"/>
              <w:end w:val="single" w:sz="2" w:space="0" w:color="888888"/>
            </w:tcBorders>
            <w:vAlign w:val="center"/>
          </w:tcPr>
          <w:p>
            <w:pPr>
              <w:pStyle w:val="Normal"/>
              <w:spacing w:lineRule="auto" w:line="240"/>
              <w:jc w:val="start"/>
              <w:rPr/>
            </w:pPr>
            <w:r>
              <w:rPr>
                <w:sz w:val="20"/>
                <w:szCs w:val="20"/>
              </w:rPr>
              <w:t>5</w:t>
            </w:r>
          </w:p>
        </w:tc>
        <w:tc>
          <w:tcPr>
            <w:tcW w:w="4299" w:type="dxa"/>
            <w:tcBorders>
              <w:top w:val="single" w:sz="2" w:space="0" w:color="888888"/>
              <w:start w:val="single" w:sz="2" w:space="0" w:color="888888"/>
              <w:bottom w:val="single" w:sz="2" w:space="0" w:color="888888"/>
              <w:end w:val="single" w:sz="2" w:space="0" w:color="888888"/>
            </w:tcBorders>
            <w:vAlign w:val="center"/>
          </w:tcPr>
          <w:p>
            <w:pPr>
              <w:pStyle w:val="Normal"/>
              <w:spacing w:lineRule="auto" w:line="240"/>
              <w:jc w:val="start"/>
              <w:rPr/>
            </w:pPr>
            <w:r>
              <w:rPr>
                <w:sz w:val="20"/>
                <w:szCs w:val="20"/>
              </w:rPr>
              <w:t>Ausência de enquadramento do universo institucional de referência</w:t>
            </w:r>
          </w:p>
        </w:tc>
        <w:tc>
          <w:tcPr>
            <w:tcW w:w="4601" w:type="dxa"/>
            <w:tcBorders>
              <w:top w:val="single" w:sz="2" w:space="0" w:color="888888"/>
              <w:start w:val="single" w:sz="2" w:space="0" w:color="888888"/>
              <w:bottom w:val="single" w:sz="2" w:space="0" w:color="888888"/>
              <w:end w:val="single" w:sz="4" w:space="0" w:color="000000"/>
            </w:tcBorders>
            <w:vAlign w:val="center"/>
          </w:tcPr>
          <w:p>
            <w:pPr>
              <w:pStyle w:val="Normal"/>
              <w:spacing w:lineRule="auto" w:line="240"/>
              <w:jc w:val="start"/>
              <w:rPr/>
            </w:pPr>
            <w:r>
              <w:rPr>
                <w:sz w:val="20"/>
                <w:szCs w:val="20"/>
              </w:rPr>
              <w:t>Recomendado uso do Censo da Educação Superior (INEP) como referência de universo (Seção 11); reconhecida a ausência de contagem verificada nesta versão</w:t>
            </w:r>
          </w:p>
        </w:tc>
      </w:tr>
      <w:tr>
        <w:trPr/>
        <w:tc>
          <w:tcPr>
            <w:tcW w:w="500" w:type="dxa"/>
            <w:tcBorders>
              <w:top w:val="single" w:sz="2" w:space="0" w:color="888888"/>
              <w:start w:val="single" w:sz="4" w:space="0" w:color="000000"/>
              <w:bottom w:val="single" w:sz="2" w:space="0" w:color="888888"/>
              <w:end w:val="single" w:sz="2" w:space="0" w:color="888888"/>
            </w:tcBorders>
            <w:vAlign w:val="center"/>
          </w:tcPr>
          <w:p>
            <w:pPr>
              <w:pStyle w:val="Normal"/>
              <w:spacing w:lineRule="auto" w:line="240"/>
              <w:jc w:val="start"/>
              <w:rPr/>
            </w:pPr>
            <w:r>
              <w:rPr>
                <w:sz w:val="20"/>
                <w:szCs w:val="20"/>
              </w:rPr>
              <w:t>6</w:t>
            </w:r>
          </w:p>
        </w:tc>
        <w:tc>
          <w:tcPr>
            <w:tcW w:w="4299" w:type="dxa"/>
            <w:tcBorders>
              <w:top w:val="single" w:sz="2" w:space="0" w:color="888888"/>
              <w:start w:val="single" w:sz="2" w:space="0" w:color="888888"/>
              <w:bottom w:val="single" w:sz="2" w:space="0" w:color="888888"/>
              <w:end w:val="single" w:sz="2" w:space="0" w:color="888888"/>
            </w:tcBorders>
            <w:vAlign w:val="center"/>
          </w:tcPr>
          <w:p>
            <w:pPr>
              <w:pStyle w:val="Normal"/>
              <w:spacing w:lineRule="auto" w:line="240"/>
              <w:jc w:val="start"/>
              <w:rPr/>
            </w:pPr>
            <w:r>
              <w:rPr>
                <w:sz w:val="20"/>
                <w:szCs w:val="20"/>
              </w:rPr>
              <w:t>Campo `criterios_elegibilidade` em texto livre, comprometendo alegação de dado estruturado</w:t>
            </w:r>
          </w:p>
        </w:tc>
        <w:tc>
          <w:tcPr>
            <w:tcW w:w="4601" w:type="dxa"/>
            <w:tcBorders>
              <w:top w:val="single" w:sz="2" w:space="0" w:color="888888"/>
              <w:start w:val="single" w:sz="2" w:space="0" w:color="888888"/>
              <w:bottom w:val="single" w:sz="2" w:space="0" w:color="888888"/>
              <w:end w:val="single" w:sz="4" w:space="0" w:color="000000"/>
            </w:tcBorders>
            <w:vAlign w:val="center"/>
          </w:tcPr>
          <w:p>
            <w:pPr>
              <w:pStyle w:val="Normal"/>
              <w:spacing w:lineRule="auto" w:line="240"/>
              <w:jc w:val="start"/>
              <w:rPr/>
            </w:pPr>
            <w:r>
              <w:rPr>
                <w:sz w:val="20"/>
                <w:szCs w:val="20"/>
              </w:rPr>
              <w:t>Limitação nomeada explicitamente (Seção 4.3); decomposição em subcampos registrada como trabalho futuro (Seção 11)</w:t>
            </w:r>
          </w:p>
        </w:tc>
      </w:tr>
      <w:tr>
        <w:trPr/>
        <w:tc>
          <w:tcPr>
            <w:tcW w:w="500" w:type="dxa"/>
            <w:tcBorders>
              <w:top w:val="single" w:sz="2" w:space="0" w:color="888888"/>
              <w:start w:val="single" w:sz="4" w:space="0" w:color="000000"/>
              <w:bottom w:val="single" w:sz="2" w:space="0" w:color="888888"/>
              <w:end w:val="single" w:sz="2" w:space="0" w:color="888888"/>
            </w:tcBorders>
            <w:vAlign w:val="center"/>
          </w:tcPr>
          <w:p>
            <w:pPr>
              <w:pStyle w:val="Normal"/>
              <w:spacing w:lineRule="auto" w:line="240"/>
              <w:jc w:val="start"/>
              <w:rPr/>
            </w:pPr>
            <w:r>
              <w:rPr>
                <w:sz w:val="20"/>
                <w:szCs w:val="20"/>
              </w:rPr>
              <w:t>7</w:t>
            </w:r>
          </w:p>
        </w:tc>
        <w:tc>
          <w:tcPr>
            <w:tcW w:w="4299" w:type="dxa"/>
            <w:tcBorders>
              <w:top w:val="single" w:sz="2" w:space="0" w:color="888888"/>
              <w:start w:val="single" w:sz="2" w:space="0" w:color="888888"/>
              <w:bottom w:val="single" w:sz="2" w:space="0" w:color="888888"/>
              <w:end w:val="single" w:sz="2" w:space="0" w:color="888888"/>
            </w:tcBorders>
            <w:vAlign w:val="center"/>
          </w:tcPr>
          <w:p>
            <w:pPr>
              <w:pStyle w:val="Normal"/>
              <w:spacing w:lineRule="auto" w:line="240"/>
              <w:jc w:val="start"/>
              <w:rPr/>
            </w:pPr>
            <w:r>
              <w:rPr>
                <w:sz w:val="20"/>
                <w:szCs w:val="20"/>
              </w:rPr>
              <w:t>Ausência de controle de versão do próprio protocolo</w:t>
            </w:r>
          </w:p>
        </w:tc>
        <w:tc>
          <w:tcPr>
            <w:tcW w:w="4601" w:type="dxa"/>
            <w:tcBorders>
              <w:top w:val="single" w:sz="2" w:space="0" w:color="888888"/>
              <w:start w:val="single" w:sz="2" w:space="0" w:color="888888"/>
              <w:bottom w:val="single" w:sz="2" w:space="0" w:color="888888"/>
              <w:end w:val="single" w:sz="4" w:space="0" w:color="000000"/>
            </w:tcBorders>
            <w:vAlign w:val="center"/>
          </w:tcPr>
          <w:p>
            <w:pPr>
              <w:pStyle w:val="Normal"/>
              <w:spacing w:lineRule="auto" w:line="240"/>
              <w:jc w:val="start"/>
              <w:rPr/>
            </w:pPr>
            <w:r>
              <w:rPr>
                <w:sz w:val="20"/>
                <w:szCs w:val="20"/>
              </w:rPr>
              <w:t>Criada a presente Seção 13, com numeração de versão e registro de mudanças</w:t>
            </w:r>
          </w:p>
        </w:tc>
      </w:tr>
      <w:tr>
        <w:trPr/>
        <w:tc>
          <w:tcPr>
            <w:tcW w:w="500" w:type="dxa"/>
            <w:tcBorders>
              <w:top w:val="single" w:sz="2" w:space="0" w:color="888888"/>
              <w:start w:val="single" w:sz="4" w:space="0" w:color="000000"/>
              <w:bottom w:val="single" w:sz="2" w:space="0" w:color="888888"/>
              <w:end w:val="single" w:sz="2" w:space="0" w:color="888888"/>
            </w:tcBorders>
            <w:vAlign w:val="center"/>
          </w:tcPr>
          <w:p>
            <w:pPr>
              <w:pStyle w:val="Normal"/>
              <w:spacing w:lineRule="auto" w:line="240"/>
              <w:jc w:val="start"/>
              <w:rPr/>
            </w:pPr>
            <w:r>
              <w:rPr>
                <w:sz w:val="20"/>
                <w:szCs w:val="20"/>
              </w:rPr>
              <w:t>8</w:t>
            </w:r>
          </w:p>
        </w:tc>
        <w:tc>
          <w:tcPr>
            <w:tcW w:w="4299" w:type="dxa"/>
            <w:tcBorders>
              <w:top w:val="single" w:sz="2" w:space="0" w:color="888888"/>
              <w:start w:val="single" w:sz="2" w:space="0" w:color="888888"/>
              <w:bottom w:val="single" w:sz="2" w:space="0" w:color="888888"/>
              <w:end w:val="single" w:sz="2" w:space="0" w:color="888888"/>
            </w:tcBorders>
            <w:vAlign w:val="center"/>
          </w:tcPr>
          <w:p>
            <w:pPr>
              <w:pStyle w:val="Normal"/>
              <w:spacing w:lineRule="auto" w:line="240"/>
              <w:jc w:val="start"/>
              <w:rPr/>
            </w:pPr>
            <w:r>
              <w:rPr>
                <w:sz w:val="20"/>
                <w:szCs w:val="20"/>
              </w:rPr>
              <w:t>Viés de seleção do corpus (apenas editais em PDF oficial) não nomeado</w:t>
            </w:r>
          </w:p>
        </w:tc>
        <w:tc>
          <w:tcPr>
            <w:tcW w:w="4601" w:type="dxa"/>
            <w:tcBorders>
              <w:top w:val="single" w:sz="2" w:space="0" w:color="888888"/>
              <w:start w:val="single" w:sz="2" w:space="0" w:color="888888"/>
              <w:bottom w:val="single" w:sz="2" w:space="0" w:color="888888"/>
              <w:end w:val="single" w:sz="4" w:space="0" w:color="000000"/>
            </w:tcBorders>
            <w:vAlign w:val="center"/>
          </w:tcPr>
          <w:p>
            <w:pPr>
              <w:pStyle w:val="Normal"/>
              <w:spacing w:lineRule="auto" w:line="240"/>
              <w:jc w:val="start"/>
              <w:rPr/>
            </w:pPr>
            <w:r>
              <w:rPr>
                <w:sz w:val="20"/>
                <w:szCs w:val="20"/>
              </w:rPr>
              <w:t>Viés nomeado e discutido explicitamente (Seção 4.2)</w:t>
            </w:r>
          </w:p>
        </w:tc>
      </w:tr>
      <w:tr>
        <w:trPr/>
        <w:tc>
          <w:tcPr>
            <w:tcW w:w="500" w:type="dxa"/>
            <w:tcBorders>
              <w:top w:val="single" w:sz="2" w:space="0" w:color="888888"/>
              <w:start w:val="single" w:sz="4" w:space="0" w:color="000000"/>
              <w:bottom w:val="single" w:sz="2" w:space="0" w:color="888888"/>
              <w:end w:val="single" w:sz="2" w:space="0" w:color="888888"/>
            </w:tcBorders>
            <w:vAlign w:val="center"/>
          </w:tcPr>
          <w:p>
            <w:pPr>
              <w:pStyle w:val="Normal"/>
              <w:spacing w:lineRule="auto" w:line="240"/>
              <w:jc w:val="start"/>
              <w:rPr/>
            </w:pPr>
            <w:r>
              <w:rPr>
                <w:sz w:val="20"/>
                <w:szCs w:val="20"/>
              </w:rPr>
              <w:t>9</w:t>
            </w:r>
          </w:p>
        </w:tc>
        <w:tc>
          <w:tcPr>
            <w:tcW w:w="4299" w:type="dxa"/>
            <w:tcBorders>
              <w:top w:val="single" w:sz="2" w:space="0" w:color="888888"/>
              <w:start w:val="single" w:sz="2" w:space="0" w:color="888888"/>
              <w:bottom w:val="single" w:sz="2" w:space="0" w:color="888888"/>
              <w:end w:val="single" w:sz="2" w:space="0" w:color="888888"/>
            </w:tcBorders>
            <w:vAlign w:val="center"/>
          </w:tcPr>
          <w:p>
            <w:pPr>
              <w:pStyle w:val="Normal"/>
              <w:spacing w:lineRule="auto" w:line="240"/>
              <w:jc w:val="start"/>
              <w:rPr/>
            </w:pPr>
            <w:r>
              <w:rPr>
                <w:sz w:val="20"/>
                <w:szCs w:val="20"/>
              </w:rPr>
              <w:t>Nenhuma articulação com infraestrutura pública de dados abertos existente</w:t>
            </w:r>
          </w:p>
        </w:tc>
        <w:tc>
          <w:tcPr>
            <w:tcW w:w="4601" w:type="dxa"/>
            <w:tcBorders>
              <w:top w:val="single" w:sz="2" w:space="0" w:color="888888"/>
              <w:start w:val="single" w:sz="2" w:space="0" w:color="888888"/>
              <w:bottom w:val="single" w:sz="2" w:space="0" w:color="888888"/>
              <w:end w:val="single" w:sz="4" w:space="0" w:color="000000"/>
            </w:tcBorders>
            <w:vAlign w:val="center"/>
          </w:tcPr>
          <w:p>
            <w:pPr>
              <w:pStyle w:val="Normal"/>
              <w:spacing w:lineRule="auto" w:line="240"/>
              <w:jc w:val="start"/>
              <w:rPr/>
            </w:pPr>
            <w:r>
              <w:rPr>
                <w:sz w:val="20"/>
                <w:szCs w:val="20"/>
              </w:rPr>
              <w:t>Adicionadas referências à Lei de Acesso à Informação e ao Portal Brasileiro de Dados Abertos (Seção 12)</w:t>
            </w:r>
          </w:p>
        </w:tc>
      </w:tr>
      <w:tr>
        <w:trPr/>
        <w:tc>
          <w:tcPr>
            <w:tcW w:w="500" w:type="dxa"/>
            <w:tcBorders>
              <w:top w:val="single" w:sz="2" w:space="0" w:color="888888"/>
              <w:start w:val="single" w:sz="4" w:space="0" w:color="000000"/>
              <w:bottom w:val="single" w:sz="4" w:space="0" w:color="000000"/>
              <w:end w:val="single" w:sz="2" w:space="0" w:color="888888"/>
            </w:tcBorders>
            <w:vAlign w:val="center"/>
          </w:tcPr>
          <w:p>
            <w:pPr>
              <w:pStyle w:val="Normal"/>
              <w:spacing w:lineRule="auto" w:line="240"/>
              <w:jc w:val="start"/>
              <w:rPr/>
            </w:pPr>
            <w:r>
              <w:rPr>
                <w:sz w:val="20"/>
                <w:szCs w:val="20"/>
              </w:rPr>
              <w:t>10</w:t>
            </w:r>
          </w:p>
        </w:tc>
        <w:tc>
          <w:tcPr>
            <w:tcW w:w="4299" w:type="dxa"/>
            <w:tcBorders>
              <w:top w:val="single" w:sz="2" w:space="0" w:color="888888"/>
              <w:start w:val="single" w:sz="2" w:space="0" w:color="888888"/>
              <w:bottom w:val="single" w:sz="4" w:space="0" w:color="000000"/>
              <w:end w:val="single" w:sz="2" w:space="0" w:color="888888"/>
            </w:tcBorders>
            <w:vAlign w:val="center"/>
          </w:tcPr>
          <w:p>
            <w:pPr>
              <w:pStyle w:val="Normal"/>
              <w:spacing w:lineRule="auto" w:line="240"/>
              <w:jc w:val="start"/>
              <w:rPr/>
            </w:pPr>
            <w:r>
              <w:rPr>
                <w:sz w:val="20"/>
                <w:szCs w:val="20"/>
              </w:rPr>
              <w:t>Schema plano não reconciliado com o modelo dimensional operacional do projeto</w:t>
            </w:r>
          </w:p>
        </w:tc>
        <w:tc>
          <w:tcPr>
            <w:tcW w:w="4601" w:type="dxa"/>
            <w:tcBorders>
              <w:top w:val="single" w:sz="2" w:space="0" w:color="888888"/>
              <w:start w:val="single" w:sz="2" w:space="0" w:color="888888"/>
              <w:bottom w:val="single" w:sz="4" w:space="0" w:color="000000"/>
              <w:end w:val="single" w:sz="4" w:space="0" w:color="000000"/>
            </w:tcBorders>
            <w:vAlign w:val="center"/>
          </w:tcPr>
          <w:p>
            <w:pPr>
              <w:pStyle w:val="Normal"/>
              <w:spacing w:lineRule="auto" w:line="240"/>
              <w:jc w:val="start"/>
              <w:rPr/>
            </w:pPr>
            <w:r>
              <w:rPr>
                <w:sz w:val="20"/>
                <w:szCs w:val="20"/>
              </w:rPr>
              <w:t>Pendência reconhecida explicitamente (Seção 4.3) e incluída na agenda de validação (Seção 11)</w:t>
            </w:r>
          </w:p>
        </w:tc>
      </w:tr>
    </w:tbl>
    <w:p>
      <w:pPr>
        <w:pStyle w:val="Normal"/>
        <w:spacing w:before="0" w:after="240"/>
        <w:jc w:val="start"/>
        <w:rPr/>
      </w:pPr>
      <w:r>
        <w:rPr>
          <w:sz w:val="20"/>
          <w:szCs w:val="20"/>
        </w:rPr>
        <w:t>Fonte: elaborado pelos autores, revisão crítica conduzida na presente versão.</w:t>
      </w:r>
    </w:p>
    <w:p>
      <w:pPr>
        <w:pStyle w:val="Normal"/>
        <w:spacing w:lineRule="auto" w:line="360" w:before="0" w:after="160"/>
        <w:ind w:firstLine="709"/>
        <w:jc w:val="both"/>
        <w:rPr/>
      </w:pPr>
      <w:r>
        <w:rPr>
          <w:sz w:val="24"/>
          <w:szCs w:val="24"/>
        </w:rPr>
        <w:t>Recomenda-se que revisões futuras mantenham este mesmo formato de registro — achado e correção lado a lado — de modo que o histórico de melhoria do protocolo permaneça auditável.</w:t>
      </w:r>
    </w:p>
    <w:p>
      <w:pPr>
        <w:pStyle w:val="Heading1"/>
        <w:spacing w:before="480" w:after="240"/>
        <w:rPr/>
      </w:pPr>
      <w:r>
        <w:rPr>
          <w:b/>
          <w:bCs/>
          <w:sz w:val="24"/>
          <w:szCs w:val="24"/>
        </w:rPr>
        <w:t>14 CONSIDERAÇÕES FINAIS</w:t>
      </w:r>
    </w:p>
    <w:p>
      <w:pPr>
        <w:pStyle w:val="Normal"/>
        <w:spacing w:lineRule="auto" w:line="360" w:before="0" w:after="160"/>
        <w:ind w:firstLine="709"/>
        <w:jc w:val="both"/>
        <w:rPr/>
      </w:pPr>
      <w:r>
        <w:rPr>
          <w:sz w:val="24"/>
          <w:szCs w:val="24"/>
        </w:rPr>
        <w:t>Este documento revisa criticamente e reformula um protocolo de extração de dados de assistência estudantil originalmente restrito a uma instituição federal, corrigindo dez fragilidades metodológicas identificadas — da generalização empiricamente não sustentada à ausência de controle de versão do próprio instrumento. O resultado não é uma alegação fechada de validade nacional, mas um instrumento mais honesto sobre o que já foi validado (uma instituição, um marco legal) e o que permanece como agenda explícita de trabalho (Seção 11).</w:t>
      </w:r>
    </w:p>
    <w:p>
      <w:pPr>
        <w:pStyle w:val="Normal"/>
        <w:spacing w:lineRule="auto" w:line="360" w:before="0" w:after="160"/>
        <w:ind w:firstLine="709"/>
        <w:jc w:val="both"/>
        <w:rPr/>
      </w:pPr>
      <w:r>
        <w:rPr>
          <w:sz w:val="24"/>
          <w:szCs w:val="24"/>
        </w:rPr>
        <w:t>A principal contribuição desta revisão é metodológica, não apenas de conteúdo: qualquer protocolo que pretenda ser científico e replicável precisa tornar visíveis, e não apenas corrigir silenciosamente, os pontos em que a versão anterior extrapolou o que os dados disponíveis sustentavam. É esse padrão de auditabilidade — e não a extensão da lista de instituições cobertas — que qualifica este documento como um protocolo de pesquisa, e não apenas um manual operacional interno.</w:t>
      </w:r>
    </w:p>
    <w:p>
      <w:pPr>
        <w:pStyle w:val="Normal"/>
        <w:rPr/>
      </w:pPr>
      <w:r>
        <w:rPr/>
      </w:r>
      <w:r>
        <w:br w:type="page"/>
      </w:r>
    </w:p>
    <w:p>
      <w:pPr>
        <w:pStyle w:val="Heading1"/>
        <w:spacing w:before="0" w:after="240"/>
        <w:rPr/>
      </w:pPr>
      <w:r>
        <w:rPr>
          <w:b/>
          <w:bCs/>
          <w:sz w:val="24"/>
          <w:szCs w:val="24"/>
        </w:rPr>
        <w:t>REFERÊNCIAS</w:t>
      </w:r>
    </w:p>
    <w:p>
      <w:pPr>
        <w:pStyle w:val="Normal"/>
        <w:spacing w:lineRule="auto" w:line="240" w:before="0" w:after="240"/>
        <w:ind w:hanging="0" w:start="0"/>
        <w:jc w:val="start"/>
        <w:rPr/>
      </w:pPr>
      <w:r>
        <w:rPr>
          <w:sz w:val="24"/>
          <w:szCs w:val="24"/>
        </w:rPr>
        <w:t>BRASIL. Lei nº 12.527, de 18 de novembro de 2011. Lei de Acesso à Informação. Brasília, DF: Presidência da República, 2011.</w:t>
      </w:r>
    </w:p>
    <w:p>
      <w:pPr>
        <w:pStyle w:val="Normal"/>
        <w:spacing w:lineRule="auto" w:line="240" w:before="0" w:after="240"/>
        <w:ind w:hanging="0" w:start="0"/>
        <w:jc w:val="start"/>
        <w:rPr/>
      </w:pPr>
      <w:r>
        <w:rPr>
          <w:sz w:val="24"/>
          <w:szCs w:val="24"/>
        </w:rPr>
        <w:t>BRASIL. Lei nº 13.709, de 14 de agosto de 2018. Lei Geral de Proteção de Dados Pessoais (LGPD). Brasília, DF: Presidência da República, 2018.</w:t>
      </w:r>
    </w:p>
    <w:p>
      <w:pPr>
        <w:pStyle w:val="Normal"/>
        <w:spacing w:lineRule="auto" w:line="240" w:before="0" w:after="240"/>
        <w:ind w:hanging="0" w:start="0"/>
        <w:jc w:val="start"/>
        <w:rPr/>
      </w:pPr>
      <w:r>
        <w:rPr>
          <w:sz w:val="24"/>
          <w:szCs w:val="24"/>
        </w:rPr>
        <w:t>BRASIL. Lei nº 14.914, de 2024. Institui a Política Nacional de Assistência Estudantil (PNAES). Brasília, DF: Presidência da República, 2024.</w:t>
      </w:r>
    </w:p>
    <w:p>
      <w:pPr>
        <w:pStyle w:val="Normal"/>
        <w:spacing w:lineRule="auto" w:line="240" w:before="0" w:after="240"/>
        <w:ind w:hanging="0" w:start="0"/>
        <w:jc w:val="start"/>
        <w:rPr/>
      </w:pPr>
      <w:r>
        <w:rPr>
          <w:sz w:val="24"/>
          <w:szCs w:val="24"/>
        </w:rPr>
        <w:t>INSTITUTO NACIONAL DE ESTUDOS E PESQUISAS EDUCACIONAIS ANÍSIO TEIXEIRA (INEP). Censo da Educação Superior. Brasília: INEP, [s.d.].</w:t>
      </w:r>
    </w:p>
    <w:p>
      <w:pPr>
        <w:pStyle w:val="Normal"/>
        <w:spacing w:lineRule="auto" w:line="240" w:before="0" w:after="240"/>
        <w:ind w:hanging="0" w:start="0"/>
        <w:jc w:val="start"/>
        <w:rPr/>
      </w:pPr>
      <w:r>
        <w:rPr>
          <w:sz w:val="24"/>
          <w:szCs w:val="24"/>
        </w:rPr>
        <w:t>UNIVERSIDADE FEDERAL DA PARAÍBA. Pró-Reitoria de Assistência e Promoção ao Estudante. Edital PRAPE nº 09/2026 (Retificado 1): Seleção Unificada para Auxílios Estudantis, Campus II – Areia. João Pessoa: UFPB, 2026.</w:t>
      </w:r>
    </w:p>
    <w:p>
      <w:pPr>
        <w:pStyle w:val="Normal"/>
        <w:spacing w:lineRule="auto" w:line="240" w:before="0" w:after="240"/>
        <w:ind w:hanging="0" w:start="0"/>
        <w:jc w:val="start"/>
        <w:rPr/>
      </w:pPr>
      <w:r>
        <w:rPr>
          <w:sz w:val="24"/>
          <w:szCs w:val="24"/>
        </w:rPr>
        <w:t>UNIVERSIDADE FEDERAL DA PARAÍBA. Pró-Reitoria de Assistência e Promoção ao Estudante. Edital PRAPE nº 10/2026 (Retificado 1): Seleção Unificada para Auxílios Estudantis, Campus III – Bananeiras. João Pessoa: UFPB, 2026.</w:t>
      </w:r>
    </w:p>
    <w:p>
      <w:pPr>
        <w:pStyle w:val="Normal"/>
        <w:spacing w:lineRule="auto" w:line="240" w:before="0" w:after="240"/>
        <w:ind w:hanging="0" w:start="0"/>
        <w:jc w:val="start"/>
        <w:rPr/>
      </w:pPr>
      <w:r>
        <w:rPr>
          <w:sz w:val="24"/>
          <w:szCs w:val="24"/>
        </w:rPr>
        <w:t>UNIVERSIDADE FEDERAL DA PARAÍBA. Resolução CONSUNI nº 14/2021. Institui Auxílios e Apoios Estudantis no âmbito da Pró-Reitoria de Assistência e Promoção ao Estudante. João Pessoa: UFPB, 2021.</w:t>
      </w:r>
    </w:p>
    <w:p>
      <w:pPr>
        <w:pStyle w:val="Normal"/>
        <w:spacing w:lineRule="auto" w:line="240" w:before="0" w:after="240"/>
        <w:ind w:hanging="0" w:start="0"/>
        <w:jc w:val="start"/>
        <w:rPr/>
      </w:pPr>
      <w:r>
        <w:rPr>
          <w:sz w:val="24"/>
          <w:szCs w:val="24"/>
        </w:rPr>
        <w:t>UNIVERSIDADE FEDERAL DA PARAÍBA. Resolução CONSUNI nº 03/2025. Institui o Regimento Interno do Serviço de Residência Universitária da Universidade Federal da Paraíba. João Pessoa: UFPB, 2025.</w:t>
      </w:r>
    </w:p>
    <w:p>
      <w:pPr>
        <w:pStyle w:val="Normal"/>
        <w:rPr/>
      </w:pPr>
      <w:r>
        <w:rPr/>
      </w:r>
      <w:r>
        <w:br w:type="page"/>
      </w:r>
    </w:p>
    <w:p>
      <w:pPr>
        <w:pStyle w:val="Heading1"/>
        <w:spacing w:before="0" w:after="240"/>
        <w:rPr/>
      </w:pPr>
      <w:r>
        <w:rPr>
          <w:b/>
          <w:bCs/>
          <w:sz w:val="24"/>
          <w:szCs w:val="24"/>
        </w:rPr>
        <w:t>APÊNDICE A — INSTRUMENTO DE COLETA DE DADOS (SCHEMA PADRONIZADO)</w:t>
      </w:r>
    </w:p>
    <w:p>
      <w:pPr>
        <w:pStyle w:val="Normal"/>
        <w:spacing w:before="240" w:after="80"/>
        <w:jc w:val="center"/>
        <w:rPr/>
      </w:pPr>
      <w:r>
        <w:rPr>
          <w:b/>
          <w:bCs/>
          <w:sz w:val="20"/>
          <w:szCs w:val="20"/>
        </w:rPr>
        <w:t>Quadro 8 – Instrumento de coleta de dados (schema padronizado)</w:t>
      </w:r>
    </w:p>
    <w:tbl>
      <w:tblPr>
        <w:tblW w:w="10400" w:type="dxa"/>
        <w:jc w:val="start"/>
        <w:tblInd w:w="0" w:type="dxa"/>
        <w:tblLayout w:type="fixed"/>
        <w:tblCellMar>
          <w:top w:w="60" w:type="dxa"/>
          <w:start w:w="80" w:type="dxa"/>
          <w:bottom w:w="60" w:type="dxa"/>
          <w:end w:w="80" w:type="dxa"/>
        </w:tblCellMar>
      </w:tblPr>
      <w:tblGrid>
        <w:gridCol w:w="2600"/>
        <w:gridCol w:w="1800"/>
        <w:gridCol w:w="3300"/>
        <w:gridCol w:w="2700"/>
      </w:tblGrid>
      <w:tr>
        <w:trPr>
          <w:tblHeader w:val="true"/>
        </w:trPr>
        <w:tc>
          <w:tcPr>
            <w:tcW w:w="2600" w:type="dxa"/>
            <w:tcBorders>
              <w:top w:val="single" w:sz="4" w:space="0" w:color="000000"/>
              <w:start w:val="single" w:sz="4" w:space="0" w:color="000000"/>
              <w:bottom w:val="single" w:sz="2" w:space="0" w:color="888888"/>
              <w:end w:val="single" w:sz="2" w:space="0" w:color="888888"/>
            </w:tcBorders>
            <w:shd w:fill="D9D9D9" w:val="clear"/>
            <w:vAlign w:val="center"/>
          </w:tcPr>
          <w:p>
            <w:pPr>
              <w:pStyle w:val="Normal"/>
              <w:spacing w:lineRule="auto" w:line="240"/>
              <w:jc w:val="center"/>
              <w:rPr/>
            </w:pPr>
            <w:r>
              <w:rPr>
                <w:b/>
                <w:bCs/>
                <w:sz w:val="20"/>
                <w:szCs w:val="20"/>
              </w:rPr>
              <w:t>Campo</w:t>
            </w:r>
          </w:p>
        </w:tc>
        <w:tc>
          <w:tcPr>
            <w:tcW w:w="1800" w:type="dxa"/>
            <w:tcBorders>
              <w:top w:val="single" w:sz="4" w:space="0" w:color="000000"/>
              <w:start w:val="single" w:sz="2" w:space="0" w:color="888888"/>
              <w:bottom w:val="single" w:sz="2" w:space="0" w:color="888888"/>
              <w:end w:val="single" w:sz="2" w:space="0" w:color="888888"/>
            </w:tcBorders>
            <w:shd w:fill="D9D9D9" w:val="clear"/>
            <w:vAlign w:val="center"/>
          </w:tcPr>
          <w:p>
            <w:pPr>
              <w:pStyle w:val="Normal"/>
              <w:spacing w:lineRule="auto" w:line="240"/>
              <w:jc w:val="center"/>
              <w:rPr/>
            </w:pPr>
            <w:r>
              <w:rPr>
                <w:b/>
                <w:bCs/>
                <w:sz w:val="20"/>
                <w:szCs w:val="20"/>
              </w:rPr>
              <w:t>Tipo</w:t>
            </w:r>
          </w:p>
        </w:tc>
        <w:tc>
          <w:tcPr>
            <w:tcW w:w="3300" w:type="dxa"/>
            <w:tcBorders>
              <w:top w:val="single" w:sz="4" w:space="0" w:color="000000"/>
              <w:start w:val="single" w:sz="2" w:space="0" w:color="888888"/>
              <w:bottom w:val="single" w:sz="2" w:space="0" w:color="888888"/>
              <w:end w:val="single" w:sz="2" w:space="0" w:color="888888"/>
            </w:tcBorders>
            <w:shd w:fill="D9D9D9" w:val="clear"/>
            <w:vAlign w:val="center"/>
          </w:tcPr>
          <w:p>
            <w:pPr>
              <w:pStyle w:val="Normal"/>
              <w:spacing w:lineRule="auto" w:line="240"/>
              <w:jc w:val="center"/>
              <w:rPr/>
            </w:pPr>
            <w:r>
              <w:rPr>
                <w:b/>
                <w:bCs/>
                <w:sz w:val="20"/>
                <w:szCs w:val="20"/>
              </w:rPr>
              <w:t>Descrição</w:t>
            </w:r>
          </w:p>
        </w:tc>
        <w:tc>
          <w:tcPr>
            <w:tcW w:w="2700" w:type="dxa"/>
            <w:tcBorders>
              <w:top w:val="single" w:sz="4" w:space="0" w:color="000000"/>
              <w:start w:val="single" w:sz="2" w:space="0" w:color="888888"/>
              <w:bottom w:val="single" w:sz="2" w:space="0" w:color="888888"/>
              <w:end w:val="single" w:sz="4" w:space="0" w:color="000000"/>
            </w:tcBorders>
            <w:shd w:fill="D9D9D9" w:val="clear"/>
            <w:vAlign w:val="center"/>
          </w:tcPr>
          <w:p>
            <w:pPr>
              <w:pStyle w:val="Normal"/>
              <w:spacing w:lineRule="auto" w:line="240"/>
              <w:jc w:val="center"/>
              <w:rPr/>
            </w:pPr>
            <w:r>
              <w:rPr>
                <w:b/>
                <w:bCs/>
                <w:sz w:val="20"/>
                <w:szCs w:val="20"/>
              </w:rPr>
              <w:t>Exemplo</w:t>
            </w:r>
          </w:p>
        </w:tc>
      </w:tr>
      <w:tr>
        <w:trPr/>
        <w:tc>
          <w:tcPr>
            <w:tcW w:w="2600" w:type="dxa"/>
            <w:tcBorders>
              <w:top w:val="single" w:sz="2" w:space="0" w:color="888888"/>
              <w:start w:val="single" w:sz="4" w:space="0" w:color="000000"/>
              <w:bottom w:val="single" w:sz="2" w:space="0" w:color="888888"/>
              <w:end w:val="single" w:sz="2" w:space="0" w:color="888888"/>
            </w:tcBorders>
            <w:vAlign w:val="center"/>
          </w:tcPr>
          <w:p>
            <w:pPr>
              <w:pStyle w:val="Normal"/>
              <w:spacing w:lineRule="auto" w:line="240"/>
              <w:jc w:val="start"/>
              <w:rPr/>
            </w:pPr>
            <w:r>
              <w:rPr>
                <w:sz w:val="20"/>
                <w:szCs w:val="20"/>
              </w:rPr>
              <w:t>registro_id</w:t>
            </w:r>
          </w:p>
        </w:tc>
        <w:tc>
          <w:tcPr>
            <w:tcW w:w="1800" w:type="dxa"/>
            <w:tcBorders>
              <w:top w:val="single" w:sz="2" w:space="0" w:color="888888"/>
              <w:start w:val="single" w:sz="2" w:space="0" w:color="888888"/>
              <w:bottom w:val="single" w:sz="2" w:space="0" w:color="888888"/>
              <w:end w:val="single" w:sz="2" w:space="0" w:color="888888"/>
            </w:tcBorders>
            <w:vAlign w:val="center"/>
          </w:tcPr>
          <w:p>
            <w:pPr>
              <w:pStyle w:val="Normal"/>
              <w:spacing w:lineRule="auto" w:line="240"/>
              <w:jc w:val="start"/>
              <w:rPr/>
            </w:pPr>
            <w:r>
              <w:rPr>
                <w:sz w:val="20"/>
                <w:szCs w:val="20"/>
              </w:rPr>
              <w:t>inteiro sequencial</w:t>
            </w:r>
          </w:p>
        </w:tc>
        <w:tc>
          <w:tcPr>
            <w:tcW w:w="3300" w:type="dxa"/>
            <w:tcBorders>
              <w:top w:val="single" w:sz="2" w:space="0" w:color="888888"/>
              <w:start w:val="single" w:sz="2" w:space="0" w:color="888888"/>
              <w:bottom w:val="single" w:sz="2" w:space="0" w:color="888888"/>
              <w:end w:val="single" w:sz="2" w:space="0" w:color="888888"/>
            </w:tcBorders>
            <w:vAlign w:val="center"/>
          </w:tcPr>
          <w:p>
            <w:pPr>
              <w:pStyle w:val="Normal"/>
              <w:spacing w:lineRule="auto" w:line="240"/>
              <w:jc w:val="start"/>
              <w:rPr/>
            </w:pPr>
            <w:r>
              <w:rPr>
                <w:sz w:val="20"/>
                <w:szCs w:val="20"/>
              </w:rPr>
              <w:t>Identificador único e contínuo do registro</w:t>
            </w:r>
          </w:p>
        </w:tc>
        <w:tc>
          <w:tcPr>
            <w:tcW w:w="2700" w:type="dxa"/>
            <w:tcBorders>
              <w:top w:val="single" w:sz="2" w:space="0" w:color="888888"/>
              <w:start w:val="single" w:sz="2" w:space="0" w:color="888888"/>
              <w:bottom w:val="single" w:sz="2" w:space="0" w:color="888888"/>
              <w:end w:val="single" w:sz="4" w:space="0" w:color="000000"/>
            </w:tcBorders>
            <w:vAlign w:val="center"/>
          </w:tcPr>
          <w:p>
            <w:pPr>
              <w:pStyle w:val="Normal"/>
              <w:spacing w:lineRule="auto" w:line="240"/>
              <w:jc w:val="start"/>
              <w:rPr/>
            </w:pPr>
            <w:r>
              <w:rPr>
                <w:sz w:val="20"/>
                <w:szCs w:val="20"/>
              </w:rPr>
              <w:t>59</w:t>
            </w:r>
          </w:p>
        </w:tc>
      </w:tr>
      <w:tr>
        <w:trPr/>
        <w:tc>
          <w:tcPr>
            <w:tcW w:w="2600" w:type="dxa"/>
            <w:tcBorders>
              <w:top w:val="single" w:sz="2" w:space="0" w:color="888888"/>
              <w:start w:val="single" w:sz="4" w:space="0" w:color="000000"/>
              <w:bottom w:val="single" w:sz="2" w:space="0" w:color="888888"/>
              <w:end w:val="single" w:sz="2" w:space="0" w:color="888888"/>
            </w:tcBorders>
            <w:vAlign w:val="center"/>
          </w:tcPr>
          <w:p>
            <w:pPr>
              <w:pStyle w:val="Normal"/>
              <w:spacing w:lineRule="auto" w:line="240"/>
              <w:jc w:val="start"/>
              <w:rPr/>
            </w:pPr>
            <w:r>
              <w:rPr>
                <w:sz w:val="20"/>
                <w:szCs w:val="20"/>
              </w:rPr>
              <w:t>ies_nome</w:t>
            </w:r>
          </w:p>
        </w:tc>
        <w:tc>
          <w:tcPr>
            <w:tcW w:w="1800" w:type="dxa"/>
            <w:tcBorders>
              <w:top w:val="single" w:sz="2" w:space="0" w:color="888888"/>
              <w:start w:val="single" w:sz="2" w:space="0" w:color="888888"/>
              <w:bottom w:val="single" w:sz="2" w:space="0" w:color="888888"/>
              <w:end w:val="single" w:sz="2" w:space="0" w:color="888888"/>
            </w:tcBorders>
            <w:vAlign w:val="center"/>
          </w:tcPr>
          <w:p>
            <w:pPr>
              <w:pStyle w:val="Normal"/>
              <w:spacing w:lineRule="auto" w:line="240"/>
              <w:jc w:val="start"/>
              <w:rPr/>
            </w:pPr>
            <w:r>
              <w:rPr>
                <w:sz w:val="20"/>
                <w:szCs w:val="20"/>
              </w:rPr>
              <w:t>texto</w:t>
            </w:r>
          </w:p>
        </w:tc>
        <w:tc>
          <w:tcPr>
            <w:tcW w:w="3300" w:type="dxa"/>
            <w:tcBorders>
              <w:top w:val="single" w:sz="2" w:space="0" w:color="888888"/>
              <w:start w:val="single" w:sz="2" w:space="0" w:color="888888"/>
              <w:bottom w:val="single" w:sz="2" w:space="0" w:color="888888"/>
              <w:end w:val="single" w:sz="2" w:space="0" w:color="888888"/>
            </w:tcBorders>
            <w:vAlign w:val="center"/>
          </w:tcPr>
          <w:p>
            <w:pPr>
              <w:pStyle w:val="Normal"/>
              <w:spacing w:lineRule="auto" w:line="240"/>
              <w:jc w:val="start"/>
              <w:rPr/>
            </w:pPr>
            <w:r>
              <w:rPr>
                <w:sz w:val="20"/>
                <w:szCs w:val="20"/>
              </w:rPr>
              <w:t>Nome da instituição</w:t>
            </w:r>
          </w:p>
        </w:tc>
        <w:tc>
          <w:tcPr>
            <w:tcW w:w="2700" w:type="dxa"/>
            <w:tcBorders>
              <w:top w:val="single" w:sz="2" w:space="0" w:color="888888"/>
              <w:start w:val="single" w:sz="2" w:space="0" w:color="888888"/>
              <w:bottom w:val="single" w:sz="2" w:space="0" w:color="888888"/>
              <w:end w:val="single" w:sz="4" w:space="0" w:color="000000"/>
            </w:tcBorders>
            <w:vAlign w:val="center"/>
          </w:tcPr>
          <w:p>
            <w:pPr>
              <w:pStyle w:val="Normal"/>
              <w:spacing w:lineRule="auto" w:line="240"/>
              <w:jc w:val="start"/>
              <w:rPr/>
            </w:pPr>
            <w:r>
              <w:rPr>
                <w:sz w:val="20"/>
                <w:szCs w:val="20"/>
              </w:rPr>
              <w:t>Universidade Federal da Paraíba</w:t>
            </w:r>
          </w:p>
        </w:tc>
      </w:tr>
      <w:tr>
        <w:trPr/>
        <w:tc>
          <w:tcPr>
            <w:tcW w:w="2600" w:type="dxa"/>
            <w:tcBorders>
              <w:top w:val="single" w:sz="2" w:space="0" w:color="888888"/>
              <w:start w:val="single" w:sz="4" w:space="0" w:color="000000"/>
              <w:bottom w:val="single" w:sz="2" w:space="0" w:color="888888"/>
              <w:end w:val="single" w:sz="2" w:space="0" w:color="888888"/>
            </w:tcBorders>
            <w:vAlign w:val="center"/>
          </w:tcPr>
          <w:p>
            <w:pPr>
              <w:pStyle w:val="Normal"/>
              <w:spacing w:lineRule="auto" w:line="240"/>
              <w:jc w:val="start"/>
              <w:rPr/>
            </w:pPr>
            <w:r>
              <w:rPr>
                <w:sz w:val="20"/>
                <w:szCs w:val="20"/>
              </w:rPr>
              <w:t>esfera_administrativa</w:t>
            </w:r>
          </w:p>
        </w:tc>
        <w:tc>
          <w:tcPr>
            <w:tcW w:w="1800" w:type="dxa"/>
            <w:tcBorders>
              <w:top w:val="single" w:sz="2" w:space="0" w:color="888888"/>
              <w:start w:val="single" w:sz="2" w:space="0" w:color="888888"/>
              <w:bottom w:val="single" w:sz="2" w:space="0" w:color="888888"/>
              <w:end w:val="single" w:sz="2" w:space="0" w:color="888888"/>
            </w:tcBorders>
            <w:vAlign w:val="center"/>
          </w:tcPr>
          <w:p>
            <w:pPr>
              <w:pStyle w:val="Normal"/>
              <w:spacing w:lineRule="auto" w:line="240"/>
              <w:jc w:val="start"/>
              <w:rPr/>
            </w:pPr>
            <w:r>
              <w:rPr>
                <w:sz w:val="20"/>
                <w:szCs w:val="20"/>
              </w:rPr>
              <w:t>categórico</w:t>
            </w:r>
          </w:p>
        </w:tc>
        <w:tc>
          <w:tcPr>
            <w:tcW w:w="3300" w:type="dxa"/>
            <w:tcBorders>
              <w:top w:val="single" w:sz="2" w:space="0" w:color="888888"/>
              <w:start w:val="single" w:sz="2" w:space="0" w:color="888888"/>
              <w:bottom w:val="single" w:sz="2" w:space="0" w:color="888888"/>
              <w:end w:val="single" w:sz="2" w:space="0" w:color="888888"/>
            </w:tcBorders>
            <w:vAlign w:val="center"/>
          </w:tcPr>
          <w:p>
            <w:pPr>
              <w:pStyle w:val="Normal"/>
              <w:spacing w:lineRule="auto" w:line="240"/>
              <w:jc w:val="start"/>
              <w:rPr/>
            </w:pPr>
            <w:r>
              <w:rPr>
                <w:sz w:val="20"/>
                <w:szCs w:val="20"/>
              </w:rPr>
              <w:t>Federal / Estadual / Municipal</w:t>
            </w:r>
          </w:p>
        </w:tc>
        <w:tc>
          <w:tcPr>
            <w:tcW w:w="2700" w:type="dxa"/>
            <w:tcBorders>
              <w:top w:val="single" w:sz="2" w:space="0" w:color="888888"/>
              <w:start w:val="single" w:sz="2" w:space="0" w:color="888888"/>
              <w:bottom w:val="single" w:sz="2" w:space="0" w:color="888888"/>
              <w:end w:val="single" w:sz="4" w:space="0" w:color="000000"/>
            </w:tcBorders>
            <w:vAlign w:val="center"/>
          </w:tcPr>
          <w:p>
            <w:pPr>
              <w:pStyle w:val="Normal"/>
              <w:spacing w:lineRule="auto" w:line="240"/>
              <w:jc w:val="start"/>
              <w:rPr/>
            </w:pPr>
            <w:r>
              <w:rPr>
                <w:sz w:val="20"/>
                <w:szCs w:val="20"/>
              </w:rPr>
              <w:t>Federal</w:t>
            </w:r>
          </w:p>
        </w:tc>
      </w:tr>
      <w:tr>
        <w:trPr/>
        <w:tc>
          <w:tcPr>
            <w:tcW w:w="2600" w:type="dxa"/>
            <w:tcBorders>
              <w:top w:val="single" w:sz="2" w:space="0" w:color="888888"/>
              <w:start w:val="single" w:sz="4" w:space="0" w:color="000000"/>
              <w:bottom w:val="single" w:sz="2" w:space="0" w:color="888888"/>
              <w:end w:val="single" w:sz="2" w:space="0" w:color="888888"/>
            </w:tcBorders>
            <w:vAlign w:val="center"/>
          </w:tcPr>
          <w:p>
            <w:pPr>
              <w:pStyle w:val="Normal"/>
              <w:spacing w:lineRule="auto" w:line="240"/>
              <w:jc w:val="start"/>
              <w:rPr/>
            </w:pPr>
            <w:r>
              <w:rPr>
                <w:sz w:val="20"/>
                <w:szCs w:val="20"/>
              </w:rPr>
              <w:t>unidade_institucional</w:t>
            </w:r>
          </w:p>
        </w:tc>
        <w:tc>
          <w:tcPr>
            <w:tcW w:w="1800" w:type="dxa"/>
            <w:tcBorders>
              <w:top w:val="single" w:sz="2" w:space="0" w:color="888888"/>
              <w:start w:val="single" w:sz="2" w:space="0" w:color="888888"/>
              <w:bottom w:val="single" w:sz="2" w:space="0" w:color="888888"/>
              <w:end w:val="single" w:sz="2" w:space="0" w:color="888888"/>
            </w:tcBorders>
            <w:vAlign w:val="center"/>
          </w:tcPr>
          <w:p>
            <w:pPr>
              <w:pStyle w:val="Normal"/>
              <w:spacing w:lineRule="auto" w:line="240"/>
              <w:jc w:val="start"/>
              <w:rPr/>
            </w:pPr>
            <w:r>
              <w:rPr>
                <w:sz w:val="20"/>
                <w:szCs w:val="20"/>
              </w:rPr>
              <w:t>texto</w:t>
            </w:r>
          </w:p>
        </w:tc>
        <w:tc>
          <w:tcPr>
            <w:tcW w:w="3300" w:type="dxa"/>
            <w:tcBorders>
              <w:top w:val="single" w:sz="2" w:space="0" w:color="888888"/>
              <w:start w:val="single" w:sz="2" w:space="0" w:color="888888"/>
              <w:bottom w:val="single" w:sz="2" w:space="0" w:color="888888"/>
              <w:end w:val="single" w:sz="2" w:space="0" w:color="888888"/>
            </w:tcBorders>
            <w:vAlign w:val="center"/>
          </w:tcPr>
          <w:p>
            <w:pPr>
              <w:pStyle w:val="Normal"/>
              <w:spacing w:lineRule="auto" w:line="240"/>
              <w:jc w:val="start"/>
              <w:rPr/>
            </w:pPr>
            <w:r>
              <w:rPr>
                <w:sz w:val="20"/>
                <w:szCs w:val="20"/>
              </w:rPr>
              <w:t>Campus/polo/unidade</w:t>
            </w:r>
          </w:p>
        </w:tc>
        <w:tc>
          <w:tcPr>
            <w:tcW w:w="2700" w:type="dxa"/>
            <w:tcBorders>
              <w:top w:val="single" w:sz="2" w:space="0" w:color="888888"/>
              <w:start w:val="single" w:sz="2" w:space="0" w:color="888888"/>
              <w:bottom w:val="single" w:sz="2" w:space="0" w:color="888888"/>
              <w:end w:val="single" w:sz="4" w:space="0" w:color="000000"/>
            </w:tcBorders>
            <w:vAlign w:val="center"/>
          </w:tcPr>
          <w:p>
            <w:pPr>
              <w:pStyle w:val="Normal"/>
              <w:spacing w:lineRule="auto" w:line="240"/>
              <w:jc w:val="start"/>
              <w:rPr/>
            </w:pPr>
            <w:r>
              <w:rPr>
                <w:sz w:val="20"/>
                <w:szCs w:val="20"/>
              </w:rPr>
              <w:t>Campus III – Bananeiras</w:t>
            </w:r>
          </w:p>
        </w:tc>
      </w:tr>
      <w:tr>
        <w:trPr/>
        <w:tc>
          <w:tcPr>
            <w:tcW w:w="2600" w:type="dxa"/>
            <w:tcBorders>
              <w:top w:val="single" w:sz="2" w:space="0" w:color="888888"/>
              <w:start w:val="single" w:sz="4" w:space="0" w:color="000000"/>
              <w:bottom w:val="single" w:sz="2" w:space="0" w:color="888888"/>
              <w:end w:val="single" w:sz="2" w:space="0" w:color="888888"/>
            </w:tcBorders>
            <w:vAlign w:val="center"/>
          </w:tcPr>
          <w:p>
            <w:pPr>
              <w:pStyle w:val="Normal"/>
              <w:spacing w:lineRule="auto" w:line="240"/>
              <w:jc w:val="start"/>
              <w:rPr/>
            </w:pPr>
            <w:r>
              <w:rPr>
                <w:sz w:val="20"/>
                <w:szCs w:val="20"/>
              </w:rPr>
              <w:t>edital_numero</w:t>
            </w:r>
          </w:p>
        </w:tc>
        <w:tc>
          <w:tcPr>
            <w:tcW w:w="1800" w:type="dxa"/>
            <w:tcBorders>
              <w:top w:val="single" w:sz="2" w:space="0" w:color="888888"/>
              <w:start w:val="single" w:sz="2" w:space="0" w:color="888888"/>
              <w:bottom w:val="single" w:sz="2" w:space="0" w:color="888888"/>
              <w:end w:val="single" w:sz="2" w:space="0" w:color="888888"/>
            </w:tcBorders>
            <w:vAlign w:val="center"/>
          </w:tcPr>
          <w:p>
            <w:pPr>
              <w:pStyle w:val="Normal"/>
              <w:spacing w:lineRule="auto" w:line="240"/>
              <w:jc w:val="start"/>
              <w:rPr/>
            </w:pPr>
            <w:r>
              <w:rPr>
                <w:sz w:val="20"/>
                <w:szCs w:val="20"/>
              </w:rPr>
              <w:t>texto</w:t>
            </w:r>
          </w:p>
        </w:tc>
        <w:tc>
          <w:tcPr>
            <w:tcW w:w="3300" w:type="dxa"/>
            <w:tcBorders>
              <w:top w:val="single" w:sz="2" w:space="0" w:color="888888"/>
              <w:start w:val="single" w:sz="2" w:space="0" w:color="888888"/>
              <w:bottom w:val="single" w:sz="2" w:space="0" w:color="888888"/>
              <w:end w:val="single" w:sz="2" w:space="0" w:color="888888"/>
            </w:tcBorders>
            <w:vAlign w:val="center"/>
          </w:tcPr>
          <w:p>
            <w:pPr>
              <w:pStyle w:val="Normal"/>
              <w:spacing w:lineRule="auto" w:line="240"/>
              <w:jc w:val="start"/>
              <w:rPr/>
            </w:pPr>
            <w:r>
              <w:rPr>
                <w:sz w:val="20"/>
                <w:szCs w:val="20"/>
              </w:rPr>
              <w:t>Número/ano/status de retificação</w:t>
            </w:r>
          </w:p>
        </w:tc>
        <w:tc>
          <w:tcPr>
            <w:tcW w:w="2700" w:type="dxa"/>
            <w:tcBorders>
              <w:top w:val="single" w:sz="2" w:space="0" w:color="888888"/>
              <w:start w:val="single" w:sz="2" w:space="0" w:color="888888"/>
              <w:bottom w:val="single" w:sz="2" w:space="0" w:color="888888"/>
              <w:end w:val="single" w:sz="4" w:space="0" w:color="000000"/>
            </w:tcBorders>
            <w:vAlign w:val="center"/>
          </w:tcPr>
          <w:p>
            <w:pPr>
              <w:pStyle w:val="Normal"/>
              <w:spacing w:lineRule="auto" w:line="240"/>
              <w:jc w:val="start"/>
              <w:rPr/>
            </w:pPr>
            <w:r>
              <w:rPr>
                <w:sz w:val="20"/>
                <w:szCs w:val="20"/>
              </w:rPr>
              <w:t>10/2026 (Retificado 1)</w:t>
            </w:r>
          </w:p>
        </w:tc>
      </w:tr>
      <w:tr>
        <w:trPr/>
        <w:tc>
          <w:tcPr>
            <w:tcW w:w="2600" w:type="dxa"/>
            <w:tcBorders>
              <w:top w:val="single" w:sz="2" w:space="0" w:color="888888"/>
              <w:start w:val="single" w:sz="4" w:space="0" w:color="000000"/>
              <w:bottom w:val="single" w:sz="2" w:space="0" w:color="888888"/>
              <w:end w:val="single" w:sz="2" w:space="0" w:color="888888"/>
            </w:tcBorders>
            <w:vAlign w:val="center"/>
          </w:tcPr>
          <w:p>
            <w:pPr>
              <w:pStyle w:val="Normal"/>
              <w:spacing w:lineRule="auto" w:line="240"/>
              <w:jc w:val="start"/>
              <w:rPr/>
            </w:pPr>
            <w:r>
              <w:rPr>
                <w:sz w:val="20"/>
                <w:szCs w:val="20"/>
              </w:rPr>
              <w:t>ano_vigencia</w:t>
            </w:r>
          </w:p>
        </w:tc>
        <w:tc>
          <w:tcPr>
            <w:tcW w:w="1800" w:type="dxa"/>
            <w:tcBorders>
              <w:top w:val="single" w:sz="2" w:space="0" w:color="888888"/>
              <w:start w:val="single" w:sz="2" w:space="0" w:color="888888"/>
              <w:bottom w:val="single" w:sz="2" w:space="0" w:color="888888"/>
              <w:end w:val="single" w:sz="2" w:space="0" w:color="888888"/>
            </w:tcBorders>
            <w:vAlign w:val="center"/>
          </w:tcPr>
          <w:p>
            <w:pPr>
              <w:pStyle w:val="Normal"/>
              <w:spacing w:lineRule="auto" w:line="240"/>
              <w:jc w:val="start"/>
              <w:rPr/>
            </w:pPr>
            <w:r>
              <w:rPr>
                <w:sz w:val="20"/>
                <w:szCs w:val="20"/>
              </w:rPr>
              <w:t>inteiro</w:t>
            </w:r>
          </w:p>
        </w:tc>
        <w:tc>
          <w:tcPr>
            <w:tcW w:w="3300" w:type="dxa"/>
            <w:tcBorders>
              <w:top w:val="single" w:sz="2" w:space="0" w:color="888888"/>
              <w:start w:val="single" w:sz="2" w:space="0" w:color="888888"/>
              <w:bottom w:val="single" w:sz="2" w:space="0" w:color="888888"/>
              <w:end w:val="single" w:sz="2" w:space="0" w:color="888888"/>
            </w:tcBorders>
            <w:vAlign w:val="center"/>
          </w:tcPr>
          <w:p>
            <w:pPr>
              <w:pStyle w:val="Normal"/>
              <w:spacing w:lineRule="auto" w:line="240"/>
              <w:jc w:val="start"/>
              <w:rPr/>
            </w:pPr>
            <w:r>
              <w:rPr>
                <w:sz w:val="20"/>
                <w:szCs w:val="20"/>
              </w:rPr>
              <w:t>Ano do ciclo seletivo</w:t>
            </w:r>
          </w:p>
        </w:tc>
        <w:tc>
          <w:tcPr>
            <w:tcW w:w="2700" w:type="dxa"/>
            <w:tcBorders>
              <w:top w:val="single" w:sz="2" w:space="0" w:color="888888"/>
              <w:start w:val="single" w:sz="2" w:space="0" w:color="888888"/>
              <w:bottom w:val="single" w:sz="2" w:space="0" w:color="888888"/>
              <w:end w:val="single" w:sz="4" w:space="0" w:color="000000"/>
            </w:tcBorders>
            <w:vAlign w:val="center"/>
          </w:tcPr>
          <w:p>
            <w:pPr>
              <w:pStyle w:val="Normal"/>
              <w:spacing w:lineRule="auto" w:line="240"/>
              <w:jc w:val="start"/>
              <w:rPr/>
            </w:pPr>
            <w:r>
              <w:rPr>
                <w:sz w:val="20"/>
                <w:szCs w:val="20"/>
              </w:rPr>
              <w:t>2026</w:t>
            </w:r>
          </w:p>
        </w:tc>
      </w:tr>
      <w:tr>
        <w:trPr/>
        <w:tc>
          <w:tcPr>
            <w:tcW w:w="2600" w:type="dxa"/>
            <w:tcBorders>
              <w:top w:val="single" w:sz="2" w:space="0" w:color="888888"/>
              <w:start w:val="single" w:sz="4" w:space="0" w:color="000000"/>
              <w:bottom w:val="single" w:sz="2" w:space="0" w:color="888888"/>
              <w:end w:val="single" w:sz="2" w:space="0" w:color="888888"/>
            </w:tcBorders>
            <w:vAlign w:val="center"/>
          </w:tcPr>
          <w:p>
            <w:pPr>
              <w:pStyle w:val="Normal"/>
              <w:spacing w:lineRule="auto" w:line="240"/>
              <w:jc w:val="start"/>
              <w:rPr/>
            </w:pPr>
            <w:r>
              <w:rPr>
                <w:sz w:val="20"/>
                <w:szCs w:val="20"/>
              </w:rPr>
              <w:t>programa_institucional</w:t>
            </w:r>
          </w:p>
        </w:tc>
        <w:tc>
          <w:tcPr>
            <w:tcW w:w="1800" w:type="dxa"/>
            <w:tcBorders>
              <w:top w:val="single" w:sz="2" w:space="0" w:color="888888"/>
              <w:start w:val="single" w:sz="2" w:space="0" w:color="888888"/>
              <w:bottom w:val="single" w:sz="2" w:space="0" w:color="888888"/>
              <w:end w:val="single" w:sz="2" w:space="0" w:color="888888"/>
            </w:tcBorders>
            <w:vAlign w:val="center"/>
          </w:tcPr>
          <w:p>
            <w:pPr>
              <w:pStyle w:val="Normal"/>
              <w:spacing w:lineRule="auto" w:line="240"/>
              <w:jc w:val="start"/>
              <w:rPr/>
            </w:pPr>
            <w:r>
              <w:rPr>
                <w:sz w:val="20"/>
                <w:szCs w:val="20"/>
              </w:rPr>
              <w:t>texto</w:t>
            </w:r>
          </w:p>
        </w:tc>
        <w:tc>
          <w:tcPr>
            <w:tcW w:w="3300" w:type="dxa"/>
            <w:tcBorders>
              <w:top w:val="single" w:sz="2" w:space="0" w:color="888888"/>
              <w:start w:val="single" w:sz="2" w:space="0" w:color="888888"/>
              <w:bottom w:val="single" w:sz="2" w:space="0" w:color="888888"/>
              <w:end w:val="single" w:sz="2" w:space="0" w:color="888888"/>
            </w:tcBorders>
            <w:vAlign w:val="center"/>
          </w:tcPr>
          <w:p>
            <w:pPr>
              <w:pStyle w:val="Normal"/>
              <w:spacing w:lineRule="auto" w:line="240"/>
              <w:jc w:val="start"/>
              <w:rPr/>
            </w:pPr>
            <w:r>
              <w:rPr>
                <w:sz w:val="20"/>
                <w:szCs w:val="20"/>
              </w:rPr>
              <w:t>Nome do programa que rege o benefício</w:t>
            </w:r>
          </w:p>
        </w:tc>
        <w:tc>
          <w:tcPr>
            <w:tcW w:w="2700" w:type="dxa"/>
            <w:tcBorders>
              <w:top w:val="single" w:sz="2" w:space="0" w:color="888888"/>
              <w:start w:val="single" w:sz="2" w:space="0" w:color="888888"/>
              <w:bottom w:val="single" w:sz="2" w:space="0" w:color="888888"/>
              <w:end w:val="single" w:sz="4" w:space="0" w:color="000000"/>
            </w:tcBorders>
            <w:vAlign w:val="center"/>
          </w:tcPr>
          <w:p>
            <w:pPr>
              <w:pStyle w:val="Normal"/>
              <w:spacing w:lineRule="auto" w:line="240"/>
              <w:jc w:val="start"/>
              <w:rPr/>
            </w:pPr>
            <w:r>
              <w:rPr>
                <w:sz w:val="20"/>
                <w:szCs w:val="20"/>
              </w:rPr>
              <w:t>PNAES</w:t>
            </w:r>
          </w:p>
        </w:tc>
      </w:tr>
      <w:tr>
        <w:trPr/>
        <w:tc>
          <w:tcPr>
            <w:tcW w:w="2600" w:type="dxa"/>
            <w:tcBorders>
              <w:top w:val="single" w:sz="2" w:space="0" w:color="888888"/>
              <w:start w:val="single" w:sz="4" w:space="0" w:color="000000"/>
              <w:bottom w:val="single" w:sz="2" w:space="0" w:color="888888"/>
              <w:end w:val="single" w:sz="2" w:space="0" w:color="888888"/>
            </w:tcBorders>
            <w:vAlign w:val="center"/>
          </w:tcPr>
          <w:p>
            <w:pPr>
              <w:pStyle w:val="Normal"/>
              <w:spacing w:lineRule="auto" w:line="240"/>
              <w:jc w:val="start"/>
              <w:rPr/>
            </w:pPr>
            <w:r>
              <w:rPr>
                <w:sz w:val="20"/>
                <w:szCs w:val="20"/>
              </w:rPr>
              <w:t>base_legal</w:t>
            </w:r>
          </w:p>
        </w:tc>
        <w:tc>
          <w:tcPr>
            <w:tcW w:w="1800" w:type="dxa"/>
            <w:tcBorders>
              <w:top w:val="single" w:sz="2" w:space="0" w:color="888888"/>
              <w:start w:val="single" w:sz="2" w:space="0" w:color="888888"/>
              <w:bottom w:val="single" w:sz="2" w:space="0" w:color="888888"/>
              <w:end w:val="single" w:sz="2" w:space="0" w:color="888888"/>
            </w:tcBorders>
            <w:vAlign w:val="center"/>
          </w:tcPr>
          <w:p>
            <w:pPr>
              <w:pStyle w:val="Normal"/>
              <w:spacing w:lineRule="auto" w:line="240"/>
              <w:jc w:val="start"/>
              <w:rPr/>
            </w:pPr>
            <w:r>
              <w:rPr>
                <w:sz w:val="20"/>
                <w:szCs w:val="20"/>
              </w:rPr>
              <w:t>texto</w:t>
            </w:r>
          </w:p>
        </w:tc>
        <w:tc>
          <w:tcPr>
            <w:tcW w:w="3300" w:type="dxa"/>
            <w:tcBorders>
              <w:top w:val="single" w:sz="2" w:space="0" w:color="888888"/>
              <w:start w:val="single" w:sz="2" w:space="0" w:color="888888"/>
              <w:bottom w:val="single" w:sz="2" w:space="0" w:color="888888"/>
              <w:end w:val="single" w:sz="2" w:space="0" w:color="888888"/>
            </w:tcBorders>
            <w:vAlign w:val="center"/>
          </w:tcPr>
          <w:p>
            <w:pPr>
              <w:pStyle w:val="Normal"/>
              <w:spacing w:lineRule="auto" w:line="240"/>
              <w:jc w:val="start"/>
              <w:rPr/>
            </w:pPr>
            <w:r>
              <w:rPr>
                <w:sz w:val="20"/>
                <w:szCs w:val="20"/>
              </w:rPr>
              <w:t>Norma que fundamenta o programa</w:t>
            </w:r>
          </w:p>
        </w:tc>
        <w:tc>
          <w:tcPr>
            <w:tcW w:w="2700" w:type="dxa"/>
            <w:tcBorders>
              <w:top w:val="single" w:sz="2" w:space="0" w:color="888888"/>
              <w:start w:val="single" w:sz="2" w:space="0" w:color="888888"/>
              <w:bottom w:val="single" w:sz="2" w:space="0" w:color="888888"/>
              <w:end w:val="single" w:sz="4" w:space="0" w:color="000000"/>
            </w:tcBorders>
            <w:vAlign w:val="center"/>
          </w:tcPr>
          <w:p>
            <w:pPr>
              <w:pStyle w:val="Normal"/>
              <w:spacing w:lineRule="auto" w:line="240"/>
              <w:jc w:val="start"/>
              <w:rPr/>
            </w:pPr>
            <w:r>
              <w:rPr>
                <w:sz w:val="20"/>
                <w:szCs w:val="20"/>
              </w:rPr>
              <w:t>Lei nº 14.914/2024</w:t>
            </w:r>
          </w:p>
        </w:tc>
      </w:tr>
      <w:tr>
        <w:trPr/>
        <w:tc>
          <w:tcPr>
            <w:tcW w:w="2600" w:type="dxa"/>
            <w:tcBorders>
              <w:top w:val="single" w:sz="2" w:space="0" w:color="888888"/>
              <w:start w:val="single" w:sz="4" w:space="0" w:color="000000"/>
              <w:bottom w:val="single" w:sz="2" w:space="0" w:color="888888"/>
              <w:end w:val="single" w:sz="2" w:space="0" w:color="888888"/>
            </w:tcBorders>
            <w:vAlign w:val="center"/>
          </w:tcPr>
          <w:p>
            <w:pPr>
              <w:pStyle w:val="Normal"/>
              <w:spacing w:lineRule="auto" w:line="240"/>
              <w:jc w:val="start"/>
              <w:rPr/>
            </w:pPr>
            <w:r>
              <w:rPr>
                <w:sz w:val="20"/>
                <w:szCs w:val="20"/>
              </w:rPr>
              <w:t>fonte_dado</w:t>
            </w:r>
          </w:p>
        </w:tc>
        <w:tc>
          <w:tcPr>
            <w:tcW w:w="1800" w:type="dxa"/>
            <w:tcBorders>
              <w:top w:val="single" w:sz="2" w:space="0" w:color="888888"/>
              <w:start w:val="single" w:sz="2" w:space="0" w:color="888888"/>
              <w:bottom w:val="single" w:sz="2" w:space="0" w:color="888888"/>
              <w:end w:val="single" w:sz="2" w:space="0" w:color="888888"/>
            </w:tcBorders>
            <w:vAlign w:val="center"/>
          </w:tcPr>
          <w:p>
            <w:pPr>
              <w:pStyle w:val="Normal"/>
              <w:spacing w:lineRule="auto" w:line="240"/>
              <w:jc w:val="start"/>
              <w:rPr/>
            </w:pPr>
            <w:r>
              <w:rPr>
                <w:sz w:val="20"/>
                <w:szCs w:val="20"/>
              </w:rPr>
              <w:t>texto</w:t>
            </w:r>
          </w:p>
        </w:tc>
        <w:tc>
          <w:tcPr>
            <w:tcW w:w="3300" w:type="dxa"/>
            <w:tcBorders>
              <w:top w:val="single" w:sz="2" w:space="0" w:color="888888"/>
              <w:start w:val="single" w:sz="2" w:space="0" w:color="888888"/>
              <w:bottom w:val="single" w:sz="2" w:space="0" w:color="888888"/>
              <w:end w:val="single" w:sz="2" w:space="0" w:color="888888"/>
            </w:tcBorders>
            <w:vAlign w:val="center"/>
          </w:tcPr>
          <w:p>
            <w:pPr>
              <w:pStyle w:val="Normal"/>
              <w:spacing w:lineRule="auto" w:line="240"/>
              <w:jc w:val="start"/>
              <w:rPr/>
            </w:pPr>
            <w:r>
              <w:rPr>
                <w:sz w:val="20"/>
                <w:szCs w:val="20"/>
              </w:rPr>
              <w:t>Documento de origem, com status de retificação</w:t>
            </w:r>
          </w:p>
        </w:tc>
        <w:tc>
          <w:tcPr>
            <w:tcW w:w="2700" w:type="dxa"/>
            <w:tcBorders>
              <w:top w:val="single" w:sz="2" w:space="0" w:color="888888"/>
              <w:start w:val="single" w:sz="2" w:space="0" w:color="888888"/>
              <w:bottom w:val="single" w:sz="2" w:space="0" w:color="888888"/>
              <w:end w:val="single" w:sz="4" w:space="0" w:color="000000"/>
            </w:tcBorders>
            <w:vAlign w:val="center"/>
          </w:tcPr>
          <w:p>
            <w:pPr>
              <w:pStyle w:val="Normal"/>
              <w:spacing w:lineRule="auto" w:line="240"/>
              <w:jc w:val="start"/>
              <w:rPr/>
            </w:pPr>
            <w:r>
              <w:rPr>
                <w:sz w:val="20"/>
                <w:szCs w:val="20"/>
              </w:rPr>
              <w:t>PDF Edital PRAPE 10/2026 (Retificado 1)</w:t>
            </w:r>
          </w:p>
        </w:tc>
      </w:tr>
      <w:tr>
        <w:trPr/>
        <w:tc>
          <w:tcPr>
            <w:tcW w:w="2600" w:type="dxa"/>
            <w:tcBorders>
              <w:top w:val="single" w:sz="2" w:space="0" w:color="888888"/>
              <w:start w:val="single" w:sz="4" w:space="0" w:color="000000"/>
              <w:bottom w:val="single" w:sz="2" w:space="0" w:color="888888"/>
              <w:end w:val="single" w:sz="2" w:space="0" w:color="888888"/>
            </w:tcBorders>
            <w:vAlign w:val="center"/>
          </w:tcPr>
          <w:p>
            <w:pPr>
              <w:pStyle w:val="Normal"/>
              <w:spacing w:lineRule="auto" w:line="240"/>
              <w:jc w:val="start"/>
              <w:rPr/>
            </w:pPr>
            <w:r>
              <w:rPr>
                <w:sz w:val="20"/>
                <w:szCs w:val="20"/>
              </w:rPr>
              <w:t>categoria_beneficio</w:t>
            </w:r>
          </w:p>
        </w:tc>
        <w:tc>
          <w:tcPr>
            <w:tcW w:w="1800" w:type="dxa"/>
            <w:tcBorders>
              <w:top w:val="single" w:sz="2" w:space="0" w:color="888888"/>
              <w:start w:val="single" w:sz="2" w:space="0" w:color="888888"/>
              <w:bottom w:val="single" w:sz="2" w:space="0" w:color="888888"/>
              <w:end w:val="single" w:sz="2" w:space="0" w:color="888888"/>
            </w:tcBorders>
            <w:vAlign w:val="center"/>
          </w:tcPr>
          <w:p>
            <w:pPr>
              <w:pStyle w:val="Normal"/>
              <w:spacing w:lineRule="auto" w:line="240"/>
              <w:jc w:val="start"/>
              <w:rPr/>
            </w:pPr>
            <w:r>
              <w:rPr>
                <w:sz w:val="20"/>
                <w:szCs w:val="20"/>
              </w:rPr>
              <w:t>categórico (Quadro 5)</w:t>
            </w:r>
          </w:p>
        </w:tc>
        <w:tc>
          <w:tcPr>
            <w:tcW w:w="3300" w:type="dxa"/>
            <w:tcBorders>
              <w:top w:val="single" w:sz="2" w:space="0" w:color="888888"/>
              <w:start w:val="single" w:sz="2" w:space="0" w:color="888888"/>
              <w:bottom w:val="single" w:sz="2" w:space="0" w:color="888888"/>
              <w:end w:val="single" w:sz="2" w:space="0" w:color="888888"/>
            </w:tcBorders>
            <w:vAlign w:val="center"/>
          </w:tcPr>
          <w:p>
            <w:pPr>
              <w:pStyle w:val="Normal"/>
              <w:spacing w:lineRule="auto" w:line="240"/>
              <w:jc w:val="start"/>
              <w:rPr/>
            </w:pPr>
            <w:r>
              <w:rPr>
                <w:sz w:val="20"/>
                <w:szCs w:val="20"/>
              </w:rPr>
              <w:t>Categoria funcional do auxílio</w:t>
            </w:r>
          </w:p>
        </w:tc>
        <w:tc>
          <w:tcPr>
            <w:tcW w:w="2700" w:type="dxa"/>
            <w:tcBorders>
              <w:top w:val="single" w:sz="2" w:space="0" w:color="888888"/>
              <w:start w:val="single" w:sz="2" w:space="0" w:color="888888"/>
              <w:bottom w:val="single" w:sz="2" w:space="0" w:color="888888"/>
              <w:end w:val="single" w:sz="4" w:space="0" w:color="000000"/>
            </w:tcBorders>
            <w:vAlign w:val="center"/>
          </w:tcPr>
          <w:p>
            <w:pPr>
              <w:pStyle w:val="Normal"/>
              <w:spacing w:lineRule="auto" w:line="240"/>
              <w:jc w:val="start"/>
              <w:rPr/>
            </w:pPr>
            <w:r>
              <w:rPr>
                <w:sz w:val="20"/>
                <w:szCs w:val="20"/>
              </w:rPr>
              <w:t>Moradia</w:t>
            </w:r>
          </w:p>
        </w:tc>
      </w:tr>
      <w:tr>
        <w:trPr/>
        <w:tc>
          <w:tcPr>
            <w:tcW w:w="2600" w:type="dxa"/>
            <w:tcBorders>
              <w:top w:val="single" w:sz="2" w:space="0" w:color="888888"/>
              <w:start w:val="single" w:sz="4" w:space="0" w:color="000000"/>
              <w:bottom w:val="single" w:sz="2" w:space="0" w:color="888888"/>
              <w:end w:val="single" w:sz="2" w:space="0" w:color="888888"/>
            </w:tcBorders>
            <w:vAlign w:val="center"/>
          </w:tcPr>
          <w:p>
            <w:pPr>
              <w:pStyle w:val="Normal"/>
              <w:spacing w:lineRule="auto" w:line="240"/>
              <w:jc w:val="start"/>
              <w:rPr/>
            </w:pPr>
            <w:r>
              <w:rPr>
                <w:sz w:val="20"/>
                <w:szCs w:val="20"/>
              </w:rPr>
              <w:t>modalidade_apoio</w:t>
            </w:r>
          </w:p>
        </w:tc>
        <w:tc>
          <w:tcPr>
            <w:tcW w:w="1800" w:type="dxa"/>
            <w:tcBorders>
              <w:top w:val="single" w:sz="2" w:space="0" w:color="888888"/>
              <w:start w:val="single" w:sz="2" w:space="0" w:color="888888"/>
              <w:bottom w:val="single" w:sz="2" w:space="0" w:color="888888"/>
              <w:end w:val="single" w:sz="2" w:space="0" w:color="888888"/>
            </w:tcBorders>
            <w:vAlign w:val="center"/>
          </w:tcPr>
          <w:p>
            <w:pPr>
              <w:pStyle w:val="Normal"/>
              <w:spacing w:lineRule="auto" w:line="240"/>
              <w:jc w:val="start"/>
              <w:rPr/>
            </w:pPr>
            <w:r>
              <w:rPr>
                <w:sz w:val="20"/>
                <w:szCs w:val="20"/>
              </w:rPr>
              <w:t>texto</w:t>
            </w:r>
          </w:p>
        </w:tc>
        <w:tc>
          <w:tcPr>
            <w:tcW w:w="3300" w:type="dxa"/>
            <w:tcBorders>
              <w:top w:val="single" w:sz="2" w:space="0" w:color="888888"/>
              <w:start w:val="single" w:sz="2" w:space="0" w:color="888888"/>
              <w:bottom w:val="single" w:sz="2" w:space="0" w:color="888888"/>
              <w:end w:val="single" w:sz="2" w:space="0" w:color="888888"/>
            </w:tcBorders>
            <w:vAlign w:val="center"/>
          </w:tcPr>
          <w:p>
            <w:pPr>
              <w:pStyle w:val="Normal"/>
              <w:spacing w:lineRule="auto" w:line="240"/>
              <w:jc w:val="start"/>
              <w:rPr/>
            </w:pPr>
            <w:r>
              <w:rPr>
                <w:sz w:val="20"/>
                <w:szCs w:val="20"/>
              </w:rPr>
              <w:t>Modalidade específica dentro da categoria</w:t>
            </w:r>
          </w:p>
        </w:tc>
        <w:tc>
          <w:tcPr>
            <w:tcW w:w="2700" w:type="dxa"/>
            <w:tcBorders>
              <w:top w:val="single" w:sz="2" w:space="0" w:color="888888"/>
              <w:start w:val="single" w:sz="2" w:space="0" w:color="888888"/>
              <w:bottom w:val="single" w:sz="2" w:space="0" w:color="888888"/>
              <w:end w:val="single" w:sz="4" w:space="0" w:color="000000"/>
            </w:tcBorders>
            <w:vAlign w:val="center"/>
          </w:tcPr>
          <w:p>
            <w:pPr>
              <w:pStyle w:val="Normal"/>
              <w:spacing w:lineRule="auto" w:line="240"/>
              <w:jc w:val="start"/>
              <w:rPr/>
            </w:pPr>
            <w:r>
              <w:rPr>
                <w:sz w:val="20"/>
                <w:szCs w:val="20"/>
              </w:rPr>
              <w:t>Vaga Física – Infraestrutura (Residência Universitária)</w:t>
            </w:r>
          </w:p>
        </w:tc>
      </w:tr>
      <w:tr>
        <w:trPr/>
        <w:tc>
          <w:tcPr>
            <w:tcW w:w="2600" w:type="dxa"/>
            <w:tcBorders>
              <w:top w:val="single" w:sz="2" w:space="0" w:color="888888"/>
              <w:start w:val="single" w:sz="4" w:space="0" w:color="000000"/>
              <w:bottom w:val="single" w:sz="2" w:space="0" w:color="888888"/>
              <w:end w:val="single" w:sz="2" w:space="0" w:color="888888"/>
            </w:tcBorders>
            <w:vAlign w:val="center"/>
          </w:tcPr>
          <w:p>
            <w:pPr>
              <w:pStyle w:val="Normal"/>
              <w:spacing w:lineRule="auto" w:line="240"/>
              <w:jc w:val="start"/>
              <w:rPr/>
            </w:pPr>
            <w:r>
              <w:rPr>
                <w:sz w:val="20"/>
                <w:szCs w:val="20"/>
              </w:rPr>
              <w:t>valor_recorrente_brl</w:t>
            </w:r>
          </w:p>
        </w:tc>
        <w:tc>
          <w:tcPr>
            <w:tcW w:w="1800" w:type="dxa"/>
            <w:tcBorders>
              <w:top w:val="single" w:sz="2" w:space="0" w:color="888888"/>
              <w:start w:val="single" w:sz="2" w:space="0" w:color="888888"/>
              <w:bottom w:val="single" w:sz="2" w:space="0" w:color="888888"/>
              <w:end w:val="single" w:sz="2" w:space="0" w:color="888888"/>
            </w:tcBorders>
            <w:vAlign w:val="center"/>
          </w:tcPr>
          <w:p>
            <w:pPr>
              <w:pStyle w:val="Normal"/>
              <w:spacing w:lineRule="auto" w:line="240"/>
              <w:jc w:val="start"/>
              <w:rPr/>
            </w:pPr>
            <w:r>
              <w:rPr>
                <w:sz w:val="20"/>
                <w:szCs w:val="20"/>
              </w:rPr>
              <w:t>número ou "Serviço Direto"</w:t>
            </w:r>
          </w:p>
        </w:tc>
        <w:tc>
          <w:tcPr>
            <w:tcW w:w="3300" w:type="dxa"/>
            <w:tcBorders>
              <w:top w:val="single" w:sz="2" w:space="0" w:color="888888"/>
              <w:start w:val="single" w:sz="2" w:space="0" w:color="888888"/>
              <w:bottom w:val="single" w:sz="2" w:space="0" w:color="888888"/>
              <w:end w:val="single" w:sz="2" w:space="0" w:color="888888"/>
            </w:tcBorders>
            <w:vAlign w:val="center"/>
          </w:tcPr>
          <w:p>
            <w:pPr>
              <w:pStyle w:val="Normal"/>
              <w:spacing w:lineRule="auto" w:line="240"/>
              <w:jc w:val="start"/>
              <w:rPr/>
            </w:pPr>
            <w:r>
              <w:rPr>
                <w:sz w:val="20"/>
                <w:szCs w:val="20"/>
              </w:rPr>
              <w:t>Valor periódico recorrente</w:t>
            </w:r>
          </w:p>
        </w:tc>
        <w:tc>
          <w:tcPr>
            <w:tcW w:w="2700" w:type="dxa"/>
            <w:tcBorders>
              <w:top w:val="single" w:sz="2" w:space="0" w:color="888888"/>
              <w:start w:val="single" w:sz="2" w:space="0" w:color="888888"/>
              <w:bottom w:val="single" w:sz="2" w:space="0" w:color="888888"/>
              <w:end w:val="single" w:sz="4" w:space="0" w:color="000000"/>
            </w:tcBorders>
            <w:vAlign w:val="center"/>
          </w:tcPr>
          <w:p>
            <w:pPr>
              <w:pStyle w:val="Normal"/>
              <w:spacing w:lineRule="auto" w:line="240"/>
              <w:jc w:val="start"/>
              <w:rPr/>
            </w:pPr>
            <w:r>
              <w:rPr>
                <w:sz w:val="20"/>
                <w:szCs w:val="20"/>
              </w:rPr>
              <w:t>500</w:t>
            </w:r>
          </w:p>
        </w:tc>
      </w:tr>
      <w:tr>
        <w:trPr/>
        <w:tc>
          <w:tcPr>
            <w:tcW w:w="2600" w:type="dxa"/>
            <w:tcBorders>
              <w:top w:val="single" w:sz="2" w:space="0" w:color="888888"/>
              <w:start w:val="single" w:sz="4" w:space="0" w:color="000000"/>
              <w:bottom w:val="single" w:sz="2" w:space="0" w:color="888888"/>
              <w:end w:val="single" w:sz="2" w:space="0" w:color="888888"/>
            </w:tcBorders>
            <w:vAlign w:val="center"/>
          </w:tcPr>
          <w:p>
            <w:pPr>
              <w:pStyle w:val="Normal"/>
              <w:spacing w:lineRule="auto" w:line="240"/>
              <w:jc w:val="start"/>
              <w:rPr/>
            </w:pPr>
            <w:r>
              <w:rPr>
                <w:sz w:val="20"/>
                <w:szCs w:val="20"/>
              </w:rPr>
              <w:t>valor_parcela_unica_brl</w:t>
            </w:r>
          </w:p>
        </w:tc>
        <w:tc>
          <w:tcPr>
            <w:tcW w:w="1800" w:type="dxa"/>
            <w:tcBorders>
              <w:top w:val="single" w:sz="2" w:space="0" w:color="888888"/>
              <w:start w:val="single" w:sz="2" w:space="0" w:color="888888"/>
              <w:bottom w:val="single" w:sz="2" w:space="0" w:color="888888"/>
              <w:end w:val="single" w:sz="2" w:space="0" w:color="888888"/>
            </w:tcBorders>
            <w:vAlign w:val="center"/>
          </w:tcPr>
          <w:p>
            <w:pPr>
              <w:pStyle w:val="Normal"/>
              <w:spacing w:lineRule="auto" w:line="240"/>
              <w:jc w:val="start"/>
              <w:rPr/>
            </w:pPr>
            <w:r>
              <w:rPr>
                <w:sz w:val="20"/>
                <w:szCs w:val="20"/>
              </w:rPr>
              <w:t>número (opcional)</w:t>
            </w:r>
          </w:p>
        </w:tc>
        <w:tc>
          <w:tcPr>
            <w:tcW w:w="3300" w:type="dxa"/>
            <w:tcBorders>
              <w:top w:val="single" w:sz="2" w:space="0" w:color="888888"/>
              <w:start w:val="single" w:sz="2" w:space="0" w:color="888888"/>
              <w:bottom w:val="single" w:sz="2" w:space="0" w:color="888888"/>
              <w:end w:val="single" w:sz="2" w:space="0" w:color="888888"/>
            </w:tcBorders>
            <w:vAlign w:val="center"/>
          </w:tcPr>
          <w:p>
            <w:pPr>
              <w:pStyle w:val="Normal"/>
              <w:spacing w:lineRule="auto" w:line="240"/>
              <w:jc w:val="start"/>
              <w:rPr/>
            </w:pPr>
            <w:r>
              <w:rPr>
                <w:sz w:val="20"/>
                <w:szCs w:val="20"/>
              </w:rPr>
              <w:t>Valor de parcela única, se houver</w:t>
            </w:r>
          </w:p>
        </w:tc>
        <w:tc>
          <w:tcPr>
            <w:tcW w:w="2700" w:type="dxa"/>
            <w:tcBorders>
              <w:top w:val="single" w:sz="2" w:space="0" w:color="888888"/>
              <w:start w:val="single" w:sz="2" w:space="0" w:color="888888"/>
              <w:bottom w:val="single" w:sz="2" w:space="0" w:color="888888"/>
              <w:end w:val="single" w:sz="4" w:space="0" w:color="000000"/>
            </w:tcBorders>
            <w:vAlign w:val="center"/>
          </w:tcPr>
          <w:p>
            <w:pPr>
              <w:pStyle w:val="Normal"/>
              <w:spacing w:lineRule="auto" w:line="240"/>
              <w:jc w:val="start"/>
              <w:rPr/>
            </w:pPr>
            <w:r>
              <w:rPr>
                <w:sz w:val="20"/>
                <w:szCs w:val="20"/>
              </w:rPr>
              <w:t>500</w:t>
            </w:r>
          </w:p>
        </w:tc>
      </w:tr>
      <w:tr>
        <w:trPr/>
        <w:tc>
          <w:tcPr>
            <w:tcW w:w="2600" w:type="dxa"/>
            <w:tcBorders>
              <w:top w:val="single" w:sz="2" w:space="0" w:color="888888"/>
              <w:start w:val="single" w:sz="4" w:space="0" w:color="000000"/>
              <w:bottom w:val="single" w:sz="2" w:space="0" w:color="888888"/>
              <w:end w:val="single" w:sz="2" w:space="0" w:color="888888"/>
            </w:tcBorders>
            <w:vAlign w:val="center"/>
          </w:tcPr>
          <w:p>
            <w:pPr>
              <w:pStyle w:val="Normal"/>
              <w:spacing w:lineRule="auto" w:line="240"/>
              <w:jc w:val="start"/>
              <w:rPr/>
            </w:pPr>
            <w:r>
              <w:rPr>
                <w:sz w:val="20"/>
                <w:szCs w:val="20"/>
              </w:rPr>
              <w:t>infraestrutura_disponivel</w:t>
            </w:r>
          </w:p>
        </w:tc>
        <w:tc>
          <w:tcPr>
            <w:tcW w:w="1800" w:type="dxa"/>
            <w:tcBorders>
              <w:top w:val="single" w:sz="2" w:space="0" w:color="888888"/>
              <w:start w:val="single" w:sz="2" w:space="0" w:color="888888"/>
              <w:bottom w:val="single" w:sz="2" w:space="0" w:color="888888"/>
              <w:end w:val="single" w:sz="2" w:space="0" w:color="888888"/>
            </w:tcBorders>
            <w:vAlign w:val="center"/>
          </w:tcPr>
          <w:p>
            <w:pPr>
              <w:pStyle w:val="Normal"/>
              <w:spacing w:lineRule="auto" w:line="240"/>
              <w:jc w:val="start"/>
              <w:rPr/>
            </w:pPr>
            <w:r>
              <w:rPr>
                <w:sz w:val="20"/>
                <w:szCs w:val="20"/>
              </w:rPr>
              <w:t>Sim/Não</w:t>
            </w:r>
          </w:p>
        </w:tc>
        <w:tc>
          <w:tcPr>
            <w:tcW w:w="3300" w:type="dxa"/>
            <w:tcBorders>
              <w:top w:val="single" w:sz="2" w:space="0" w:color="888888"/>
              <w:start w:val="single" w:sz="2" w:space="0" w:color="888888"/>
              <w:bottom w:val="single" w:sz="2" w:space="0" w:color="888888"/>
              <w:end w:val="single" w:sz="2" w:space="0" w:color="888888"/>
            </w:tcBorders>
            <w:vAlign w:val="center"/>
          </w:tcPr>
          <w:p>
            <w:pPr>
              <w:pStyle w:val="Normal"/>
              <w:spacing w:lineRule="auto" w:line="240"/>
              <w:jc w:val="start"/>
              <w:rPr/>
            </w:pPr>
            <w:r>
              <w:rPr>
                <w:sz w:val="20"/>
                <w:szCs w:val="20"/>
              </w:rPr>
              <w:t>Se o benefício envolve uso de infraestrutura física</w:t>
            </w:r>
          </w:p>
        </w:tc>
        <w:tc>
          <w:tcPr>
            <w:tcW w:w="2700" w:type="dxa"/>
            <w:tcBorders>
              <w:top w:val="single" w:sz="2" w:space="0" w:color="888888"/>
              <w:start w:val="single" w:sz="2" w:space="0" w:color="888888"/>
              <w:bottom w:val="single" w:sz="2" w:space="0" w:color="888888"/>
              <w:end w:val="single" w:sz="4" w:space="0" w:color="000000"/>
            </w:tcBorders>
            <w:vAlign w:val="center"/>
          </w:tcPr>
          <w:p>
            <w:pPr>
              <w:pStyle w:val="Normal"/>
              <w:spacing w:lineRule="auto" w:line="240"/>
              <w:jc w:val="start"/>
              <w:rPr/>
            </w:pPr>
            <w:r>
              <w:rPr>
                <w:sz w:val="20"/>
                <w:szCs w:val="20"/>
              </w:rPr>
              <w:t>Sim</w:t>
            </w:r>
          </w:p>
        </w:tc>
      </w:tr>
      <w:tr>
        <w:trPr/>
        <w:tc>
          <w:tcPr>
            <w:tcW w:w="2600" w:type="dxa"/>
            <w:tcBorders>
              <w:top w:val="single" w:sz="2" w:space="0" w:color="888888"/>
              <w:start w:val="single" w:sz="4" w:space="0" w:color="000000"/>
              <w:bottom w:val="single" w:sz="2" w:space="0" w:color="888888"/>
              <w:end w:val="single" w:sz="2" w:space="0" w:color="888888"/>
            </w:tcBorders>
            <w:vAlign w:val="center"/>
          </w:tcPr>
          <w:p>
            <w:pPr>
              <w:pStyle w:val="Normal"/>
              <w:spacing w:lineRule="auto" w:line="240"/>
              <w:jc w:val="start"/>
              <w:rPr/>
            </w:pPr>
            <w:r>
              <w:rPr>
                <w:sz w:val="20"/>
                <w:szCs w:val="20"/>
              </w:rPr>
              <w:t>total_vagas_ofertadas</w:t>
            </w:r>
          </w:p>
        </w:tc>
        <w:tc>
          <w:tcPr>
            <w:tcW w:w="1800" w:type="dxa"/>
            <w:tcBorders>
              <w:top w:val="single" w:sz="2" w:space="0" w:color="888888"/>
              <w:start w:val="single" w:sz="2" w:space="0" w:color="888888"/>
              <w:bottom w:val="single" w:sz="2" w:space="0" w:color="888888"/>
              <w:end w:val="single" w:sz="2" w:space="0" w:color="888888"/>
            </w:tcBorders>
            <w:vAlign w:val="center"/>
          </w:tcPr>
          <w:p>
            <w:pPr>
              <w:pStyle w:val="Normal"/>
              <w:spacing w:lineRule="auto" w:line="240"/>
              <w:jc w:val="start"/>
              <w:rPr/>
            </w:pPr>
            <w:r>
              <w:rPr>
                <w:sz w:val="20"/>
                <w:szCs w:val="20"/>
              </w:rPr>
              <w:t>inteiro</w:t>
            </w:r>
          </w:p>
        </w:tc>
        <w:tc>
          <w:tcPr>
            <w:tcW w:w="3300" w:type="dxa"/>
            <w:tcBorders>
              <w:top w:val="single" w:sz="2" w:space="0" w:color="888888"/>
              <w:start w:val="single" w:sz="2" w:space="0" w:color="888888"/>
              <w:bottom w:val="single" w:sz="2" w:space="0" w:color="888888"/>
              <w:end w:val="single" w:sz="2" w:space="0" w:color="888888"/>
            </w:tcBorders>
            <w:vAlign w:val="center"/>
          </w:tcPr>
          <w:p>
            <w:pPr>
              <w:pStyle w:val="Normal"/>
              <w:spacing w:lineRule="auto" w:line="240"/>
              <w:jc w:val="start"/>
              <w:rPr/>
            </w:pPr>
            <w:r>
              <w:rPr>
                <w:sz w:val="20"/>
                <w:szCs w:val="20"/>
              </w:rPr>
              <w:t>Vagas daquela linha</w:t>
            </w:r>
          </w:p>
        </w:tc>
        <w:tc>
          <w:tcPr>
            <w:tcW w:w="2700" w:type="dxa"/>
            <w:tcBorders>
              <w:top w:val="single" w:sz="2" w:space="0" w:color="888888"/>
              <w:start w:val="single" w:sz="2" w:space="0" w:color="888888"/>
              <w:bottom w:val="single" w:sz="2" w:space="0" w:color="888888"/>
              <w:end w:val="single" w:sz="4" w:space="0" w:color="000000"/>
            </w:tcBorders>
            <w:vAlign w:val="center"/>
          </w:tcPr>
          <w:p>
            <w:pPr>
              <w:pStyle w:val="Normal"/>
              <w:spacing w:lineRule="auto" w:line="240"/>
              <w:jc w:val="start"/>
              <w:rPr/>
            </w:pPr>
            <w:r>
              <w:rPr>
                <w:sz w:val="20"/>
                <w:szCs w:val="20"/>
              </w:rPr>
              <w:t>8</w:t>
            </w:r>
          </w:p>
        </w:tc>
      </w:tr>
      <w:tr>
        <w:trPr/>
        <w:tc>
          <w:tcPr>
            <w:tcW w:w="2600" w:type="dxa"/>
            <w:tcBorders>
              <w:top w:val="single" w:sz="2" w:space="0" w:color="888888"/>
              <w:start w:val="single" w:sz="4" w:space="0" w:color="000000"/>
              <w:bottom w:val="single" w:sz="2" w:space="0" w:color="888888"/>
              <w:end w:val="single" w:sz="2" w:space="0" w:color="888888"/>
            </w:tcBorders>
            <w:vAlign w:val="center"/>
          </w:tcPr>
          <w:p>
            <w:pPr>
              <w:pStyle w:val="Normal"/>
              <w:spacing w:lineRule="auto" w:line="240"/>
              <w:jc w:val="start"/>
              <w:rPr/>
            </w:pPr>
            <w:r>
              <w:rPr>
                <w:sz w:val="20"/>
                <w:szCs w:val="20"/>
              </w:rPr>
              <w:t>prazo_inscricao_dias</w:t>
            </w:r>
          </w:p>
        </w:tc>
        <w:tc>
          <w:tcPr>
            <w:tcW w:w="1800" w:type="dxa"/>
            <w:tcBorders>
              <w:top w:val="single" w:sz="2" w:space="0" w:color="888888"/>
              <w:start w:val="single" w:sz="2" w:space="0" w:color="888888"/>
              <w:bottom w:val="single" w:sz="2" w:space="0" w:color="888888"/>
              <w:end w:val="single" w:sz="2" w:space="0" w:color="888888"/>
            </w:tcBorders>
            <w:vAlign w:val="center"/>
          </w:tcPr>
          <w:p>
            <w:pPr>
              <w:pStyle w:val="Normal"/>
              <w:spacing w:lineRule="auto" w:line="240"/>
              <w:jc w:val="start"/>
              <w:rPr/>
            </w:pPr>
            <w:r>
              <w:rPr>
                <w:sz w:val="20"/>
                <w:szCs w:val="20"/>
              </w:rPr>
              <w:t>inteiro</w:t>
            </w:r>
          </w:p>
        </w:tc>
        <w:tc>
          <w:tcPr>
            <w:tcW w:w="3300" w:type="dxa"/>
            <w:tcBorders>
              <w:top w:val="single" w:sz="2" w:space="0" w:color="888888"/>
              <w:start w:val="single" w:sz="2" w:space="0" w:color="888888"/>
              <w:bottom w:val="single" w:sz="2" w:space="0" w:color="888888"/>
              <w:end w:val="single" w:sz="2" w:space="0" w:color="888888"/>
            </w:tcBorders>
            <w:vAlign w:val="center"/>
          </w:tcPr>
          <w:p>
            <w:pPr>
              <w:pStyle w:val="Normal"/>
              <w:spacing w:lineRule="auto" w:line="240"/>
              <w:jc w:val="start"/>
              <w:rPr/>
            </w:pPr>
            <w:r>
              <w:rPr>
                <w:sz w:val="20"/>
                <w:szCs w:val="20"/>
              </w:rPr>
              <w:t>Duração do período de inscrição (contagem inclusiva)</w:t>
            </w:r>
          </w:p>
        </w:tc>
        <w:tc>
          <w:tcPr>
            <w:tcW w:w="2700" w:type="dxa"/>
            <w:tcBorders>
              <w:top w:val="single" w:sz="2" w:space="0" w:color="888888"/>
              <w:start w:val="single" w:sz="2" w:space="0" w:color="888888"/>
              <w:bottom w:val="single" w:sz="2" w:space="0" w:color="888888"/>
              <w:end w:val="single" w:sz="4" w:space="0" w:color="000000"/>
            </w:tcBorders>
            <w:vAlign w:val="center"/>
          </w:tcPr>
          <w:p>
            <w:pPr>
              <w:pStyle w:val="Normal"/>
              <w:spacing w:lineRule="auto" w:line="240"/>
              <w:jc w:val="start"/>
              <w:rPr/>
            </w:pPr>
            <w:r>
              <w:rPr>
                <w:sz w:val="20"/>
                <w:szCs w:val="20"/>
              </w:rPr>
              <w:t>19</w:t>
            </w:r>
          </w:p>
        </w:tc>
      </w:tr>
      <w:tr>
        <w:trPr/>
        <w:tc>
          <w:tcPr>
            <w:tcW w:w="2600" w:type="dxa"/>
            <w:tcBorders>
              <w:top w:val="single" w:sz="2" w:space="0" w:color="888888"/>
              <w:start w:val="single" w:sz="4" w:space="0" w:color="000000"/>
              <w:bottom w:val="single" w:sz="4" w:space="0" w:color="000000"/>
              <w:end w:val="single" w:sz="2" w:space="0" w:color="888888"/>
            </w:tcBorders>
            <w:vAlign w:val="center"/>
          </w:tcPr>
          <w:p>
            <w:pPr>
              <w:pStyle w:val="Normal"/>
              <w:spacing w:lineRule="auto" w:line="240"/>
              <w:jc w:val="start"/>
              <w:rPr/>
            </w:pPr>
            <w:r>
              <w:rPr>
                <w:sz w:val="20"/>
                <w:szCs w:val="20"/>
              </w:rPr>
              <w:t>criterios_elegibilidade</w:t>
            </w:r>
          </w:p>
        </w:tc>
        <w:tc>
          <w:tcPr>
            <w:tcW w:w="1800" w:type="dxa"/>
            <w:tcBorders>
              <w:top w:val="single" w:sz="2" w:space="0" w:color="888888"/>
              <w:start w:val="single" w:sz="2" w:space="0" w:color="888888"/>
              <w:bottom w:val="single" w:sz="4" w:space="0" w:color="000000"/>
              <w:end w:val="single" w:sz="2" w:space="0" w:color="888888"/>
            </w:tcBorders>
            <w:vAlign w:val="center"/>
          </w:tcPr>
          <w:p>
            <w:pPr>
              <w:pStyle w:val="Normal"/>
              <w:spacing w:lineRule="auto" w:line="240"/>
              <w:jc w:val="start"/>
              <w:rPr/>
            </w:pPr>
            <w:r>
              <w:rPr>
                <w:sz w:val="20"/>
                <w:szCs w:val="20"/>
              </w:rPr>
              <w:t>texto livre (Seção 4.3)</w:t>
            </w:r>
          </w:p>
        </w:tc>
        <w:tc>
          <w:tcPr>
            <w:tcW w:w="3300" w:type="dxa"/>
            <w:tcBorders>
              <w:top w:val="single" w:sz="2" w:space="0" w:color="888888"/>
              <w:start w:val="single" w:sz="2" w:space="0" w:color="888888"/>
              <w:bottom w:val="single" w:sz="4" w:space="0" w:color="000000"/>
              <w:end w:val="single" w:sz="2" w:space="0" w:color="888888"/>
            </w:tcBorders>
            <w:vAlign w:val="center"/>
          </w:tcPr>
          <w:p>
            <w:pPr>
              <w:pStyle w:val="Normal"/>
              <w:spacing w:lineRule="auto" w:line="240"/>
              <w:jc w:val="start"/>
              <w:rPr/>
            </w:pPr>
            <w:r>
              <w:rPr>
                <w:sz w:val="20"/>
                <w:szCs w:val="20"/>
              </w:rPr>
              <w:t>Critérios adicionais específicos da modalidade</w:t>
            </w:r>
          </w:p>
        </w:tc>
        <w:tc>
          <w:tcPr>
            <w:tcW w:w="2700" w:type="dxa"/>
            <w:tcBorders>
              <w:top w:val="single" w:sz="2" w:space="0" w:color="888888"/>
              <w:start w:val="single" w:sz="2" w:space="0" w:color="888888"/>
              <w:bottom w:val="single" w:sz="4" w:space="0" w:color="000000"/>
              <w:end w:val="single" w:sz="4" w:space="0" w:color="000000"/>
            </w:tcBorders>
            <w:vAlign w:val="center"/>
          </w:tcPr>
          <w:p>
            <w:pPr>
              <w:pStyle w:val="Normal"/>
              <w:spacing w:lineRule="auto" w:line="240"/>
              <w:jc w:val="start"/>
              <w:rPr/>
            </w:pPr>
            <w:r>
              <w:rPr>
                <w:sz w:val="20"/>
                <w:szCs w:val="20"/>
              </w:rPr>
              <w:t>Núcleo familiar fora do perímetro urbano...</w:t>
            </w:r>
          </w:p>
        </w:tc>
      </w:tr>
    </w:tbl>
    <w:p>
      <w:pPr>
        <w:pStyle w:val="Normal"/>
        <w:spacing w:before="0" w:after="240"/>
        <w:jc w:val="start"/>
        <w:rPr/>
      </w:pPr>
      <w:r>
        <w:rPr>
          <w:sz w:val="20"/>
          <w:szCs w:val="20"/>
        </w:rPr>
        <w:t>Fonte: elaborado pelos autores.</w:t>
      </w:r>
    </w:p>
    <w:p>
      <w:pPr>
        <w:pStyle w:val="Normal"/>
        <w:rPr/>
      </w:pPr>
      <w:r>
        <w:rPr/>
      </w:r>
      <w:r>
        <w:br w:type="page"/>
      </w:r>
    </w:p>
    <w:p>
      <w:pPr>
        <w:pStyle w:val="Heading1"/>
        <w:spacing w:before="0" w:after="240"/>
        <w:rPr/>
      </w:pPr>
      <w:r>
        <w:rPr>
          <w:b/>
          <w:bCs/>
          <w:sz w:val="24"/>
          <w:szCs w:val="24"/>
        </w:rPr>
        <w:t>APÊNDICE B — LOG DE EXTENSÃO DA TAXONOMIA (MODELO)</w:t>
      </w:r>
    </w:p>
    <w:tbl>
      <w:tblPr>
        <w:tblW w:w="10400" w:type="dxa"/>
        <w:jc w:val="start"/>
        <w:tblInd w:w="0" w:type="dxa"/>
        <w:tblLayout w:type="fixed"/>
        <w:tblCellMar>
          <w:top w:w="60" w:type="dxa"/>
          <w:start w:w="80" w:type="dxa"/>
          <w:bottom w:w="60" w:type="dxa"/>
          <w:end w:w="80" w:type="dxa"/>
        </w:tblCellMar>
      </w:tblPr>
      <w:tblGrid>
        <w:gridCol w:w="1399"/>
        <w:gridCol w:w="2201"/>
        <w:gridCol w:w="2399"/>
        <w:gridCol w:w="2401"/>
        <w:gridCol w:w="2000"/>
      </w:tblGrid>
      <w:tr>
        <w:trPr>
          <w:tblHeader w:val="true"/>
        </w:trPr>
        <w:tc>
          <w:tcPr>
            <w:tcW w:w="1399" w:type="dxa"/>
            <w:tcBorders>
              <w:top w:val="single" w:sz="4" w:space="0" w:color="000000"/>
              <w:start w:val="single" w:sz="4" w:space="0" w:color="000000"/>
              <w:bottom w:val="single" w:sz="2" w:space="0" w:color="888888"/>
              <w:end w:val="single" w:sz="2" w:space="0" w:color="888888"/>
            </w:tcBorders>
            <w:shd w:fill="D9D9D9" w:val="clear"/>
            <w:vAlign w:val="center"/>
          </w:tcPr>
          <w:p>
            <w:pPr>
              <w:pStyle w:val="Normal"/>
              <w:spacing w:lineRule="auto" w:line="240"/>
              <w:jc w:val="center"/>
              <w:rPr/>
            </w:pPr>
            <w:r>
              <w:rPr>
                <w:b/>
                <w:bCs/>
                <w:sz w:val="20"/>
                <w:szCs w:val="20"/>
              </w:rPr>
              <w:t>Data</w:t>
            </w:r>
          </w:p>
        </w:tc>
        <w:tc>
          <w:tcPr>
            <w:tcW w:w="2201" w:type="dxa"/>
            <w:tcBorders>
              <w:top w:val="single" w:sz="4" w:space="0" w:color="000000"/>
              <w:start w:val="single" w:sz="2" w:space="0" w:color="888888"/>
              <w:bottom w:val="single" w:sz="2" w:space="0" w:color="888888"/>
              <w:end w:val="single" w:sz="2" w:space="0" w:color="888888"/>
            </w:tcBorders>
            <w:shd w:fill="D9D9D9" w:val="clear"/>
            <w:vAlign w:val="center"/>
          </w:tcPr>
          <w:p>
            <w:pPr>
              <w:pStyle w:val="Normal"/>
              <w:spacing w:lineRule="auto" w:line="240"/>
              <w:jc w:val="center"/>
              <w:rPr/>
            </w:pPr>
            <w:r>
              <w:rPr>
                <w:b/>
                <w:bCs/>
                <w:sz w:val="20"/>
                <w:szCs w:val="20"/>
              </w:rPr>
              <w:t>Categoria nova proposta</w:t>
            </w:r>
          </w:p>
        </w:tc>
        <w:tc>
          <w:tcPr>
            <w:tcW w:w="2399" w:type="dxa"/>
            <w:tcBorders>
              <w:top w:val="single" w:sz="4" w:space="0" w:color="000000"/>
              <w:start w:val="single" w:sz="2" w:space="0" w:color="888888"/>
              <w:bottom w:val="single" w:sz="2" w:space="0" w:color="888888"/>
              <w:end w:val="single" w:sz="2" w:space="0" w:color="888888"/>
            </w:tcBorders>
            <w:shd w:fill="D9D9D9" w:val="clear"/>
            <w:vAlign w:val="center"/>
          </w:tcPr>
          <w:p>
            <w:pPr>
              <w:pStyle w:val="Normal"/>
              <w:spacing w:lineRule="auto" w:line="240"/>
              <w:jc w:val="center"/>
              <w:rPr/>
            </w:pPr>
            <w:r>
              <w:rPr>
                <w:b/>
                <w:bCs/>
                <w:sz w:val="20"/>
                <w:szCs w:val="20"/>
              </w:rPr>
              <w:t>Instituição/edital de origem</w:t>
            </w:r>
          </w:p>
        </w:tc>
        <w:tc>
          <w:tcPr>
            <w:tcW w:w="2401" w:type="dxa"/>
            <w:tcBorders>
              <w:top w:val="single" w:sz="4" w:space="0" w:color="000000"/>
              <w:start w:val="single" w:sz="2" w:space="0" w:color="888888"/>
              <w:bottom w:val="single" w:sz="2" w:space="0" w:color="888888"/>
              <w:end w:val="single" w:sz="2" w:space="0" w:color="888888"/>
            </w:tcBorders>
            <w:shd w:fill="D9D9D9" w:val="clear"/>
            <w:vAlign w:val="center"/>
          </w:tcPr>
          <w:p>
            <w:pPr>
              <w:pStyle w:val="Normal"/>
              <w:spacing w:lineRule="auto" w:line="240"/>
              <w:jc w:val="center"/>
              <w:rPr/>
            </w:pPr>
            <w:r>
              <w:rPr>
                <w:b/>
                <w:bCs/>
                <w:sz w:val="20"/>
                <w:szCs w:val="20"/>
              </w:rPr>
              <w:t>Justificativa</w:t>
            </w:r>
          </w:p>
        </w:tc>
        <w:tc>
          <w:tcPr>
            <w:tcW w:w="2000" w:type="dxa"/>
            <w:tcBorders>
              <w:top w:val="single" w:sz="4" w:space="0" w:color="000000"/>
              <w:start w:val="single" w:sz="2" w:space="0" w:color="888888"/>
              <w:bottom w:val="single" w:sz="2" w:space="0" w:color="888888"/>
              <w:end w:val="single" w:sz="4" w:space="0" w:color="000000"/>
            </w:tcBorders>
            <w:shd w:fill="D9D9D9" w:val="clear"/>
            <w:vAlign w:val="center"/>
          </w:tcPr>
          <w:p>
            <w:pPr>
              <w:pStyle w:val="Normal"/>
              <w:spacing w:lineRule="auto" w:line="240"/>
              <w:jc w:val="center"/>
              <w:rPr/>
            </w:pPr>
            <w:r>
              <w:rPr>
                <w:b/>
                <w:bCs/>
                <w:sz w:val="20"/>
                <w:szCs w:val="20"/>
              </w:rPr>
              <w:t>Decisão</w:t>
            </w:r>
          </w:p>
        </w:tc>
      </w:tr>
      <w:tr>
        <w:trPr/>
        <w:tc>
          <w:tcPr>
            <w:tcW w:w="1399" w:type="dxa"/>
            <w:tcBorders>
              <w:top w:val="single" w:sz="2" w:space="0" w:color="888888"/>
              <w:start w:val="single" w:sz="4" w:space="0" w:color="000000"/>
              <w:bottom w:val="single" w:sz="4" w:space="0" w:color="000000"/>
              <w:end w:val="single" w:sz="2" w:space="0" w:color="888888"/>
            </w:tcBorders>
            <w:vAlign w:val="center"/>
          </w:tcPr>
          <w:p>
            <w:pPr>
              <w:pStyle w:val="Normal"/>
              <w:spacing w:lineRule="auto" w:line="240"/>
              <w:jc w:val="start"/>
              <w:rPr/>
            </w:pPr>
            <w:r>
              <w:rPr>
                <w:sz w:val="20"/>
                <w:szCs w:val="20"/>
              </w:rPr>
              <w:t>(preencher a cada extensão)</w:t>
            </w:r>
          </w:p>
        </w:tc>
        <w:tc>
          <w:tcPr>
            <w:tcW w:w="2201" w:type="dxa"/>
            <w:tcBorders>
              <w:top w:val="single" w:sz="2" w:space="0" w:color="888888"/>
              <w:start w:val="single" w:sz="2" w:space="0" w:color="888888"/>
              <w:bottom w:val="single" w:sz="4" w:space="0" w:color="000000"/>
              <w:end w:val="single" w:sz="2" w:space="0" w:color="888888"/>
            </w:tcBorders>
            <w:vAlign w:val="center"/>
          </w:tcPr>
          <w:p>
            <w:pPr>
              <w:pStyle w:val="Normal"/>
              <w:spacing w:lineRule="auto" w:line="240"/>
              <w:jc w:val="start"/>
              <w:rPr/>
            </w:pPr>
            <w:r>
              <w:rPr/>
            </w:r>
          </w:p>
        </w:tc>
        <w:tc>
          <w:tcPr>
            <w:tcW w:w="2399" w:type="dxa"/>
            <w:tcBorders>
              <w:top w:val="single" w:sz="2" w:space="0" w:color="888888"/>
              <w:start w:val="single" w:sz="2" w:space="0" w:color="888888"/>
              <w:bottom w:val="single" w:sz="4" w:space="0" w:color="000000"/>
              <w:end w:val="single" w:sz="2" w:space="0" w:color="888888"/>
            </w:tcBorders>
            <w:vAlign w:val="center"/>
          </w:tcPr>
          <w:p>
            <w:pPr>
              <w:pStyle w:val="Normal"/>
              <w:spacing w:lineRule="auto" w:line="240"/>
              <w:jc w:val="start"/>
              <w:rPr/>
            </w:pPr>
            <w:r>
              <w:rPr/>
            </w:r>
          </w:p>
        </w:tc>
        <w:tc>
          <w:tcPr>
            <w:tcW w:w="2401" w:type="dxa"/>
            <w:tcBorders>
              <w:top w:val="single" w:sz="2" w:space="0" w:color="888888"/>
              <w:start w:val="single" w:sz="2" w:space="0" w:color="888888"/>
              <w:bottom w:val="single" w:sz="4" w:space="0" w:color="000000"/>
              <w:end w:val="single" w:sz="2" w:space="0" w:color="888888"/>
            </w:tcBorders>
            <w:vAlign w:val="center"/>
          </w:tcPr>
          <w:p>
            <w:pPr>
              <w:pStyle w:val="Normal"/>
              <w:spacing w:lineRule="auto" w:line="240"/>
              <w:jc w:val="start"/>
              <w:rPr/>
            </w:pPr>
            <w:r>
              <w:rPr/>
            </w:r>
          </w:p>
        </w:tc>
        <w:tc>
          <w:tcPr>
            <w:tcW w:w="2000" w:type="dxa"/>
            <w:tcBorders>
              <w:top w:val="single" w:sz="2" w:space="0" w:color="888888"/>
              <w:start w:val="single" w:sz="2" w:space="0" w:color="888888"/>
              <w:bottom w:val="single" w:sz="4" w:space="0" w:color="000000"/>
              <w:end w:val="single" w:sz="4" w:space="0" w:color="000000"/>
            </w:tcBorders>
            <w:vAlign w:val="center"/>
          </w:tcPr>
          <w:p>
            <w:pPr>
              <w:pStyle w:val="Normal"/>
              <w:spacing w:lineRule="auto" w:line="240"/>
              <w:jc w:val="start"/>
              <w:rPr/>
            </w:pPr>
            <w:r>
              <w:rPr/>
            </w:r>
          </w:p>
        </w:tc>
      </w:tr>
    </w:tbl>
    <w:p>
      <w:pPr>
        <w:pStyle w:val="Normal"/>
        <w:rPr/>
      </w:pPr>
      <w:r>
        <w:rPr/>
      </w:r>
      <w:r>
        <w:br w:type="page"/>
      </w:r>
    </w:p>
    <w:p>
      <w:pPr>
        <w:pStyle w:val="Heading1"/>
        <w:spacing w:before="0" w:after="240"/>
        <w:rPr/>
      </w:pPr>
      <w:r>
        <w:rPr>
          <w:b/>
          <w:bCs/>
          <w:sz w:val="24"/>
          <w:szCs w:val="24"/>
        </w:rPr>
        <w:t>APÊNDICE C — CHECKLIST OPERACIONAL RESUMIDO</w:t>
      </w:r>
    </w:p>
    <w:p>
      <w:pPr>
        <w:pStyle w:val="ListParagraph"/>
        <w:numPr>
          <w:ilvl w:val="0"/>
          <w:numId w:val="1"/>
        </w:numPr>
        <w:spacing w:lineRule="auto" w:line="360" w:before="0" w:after="100"/>
        <w:jc w:val="both"/>
        <w:rPr/>
      </w:pPr>
      <w:r>
        <w:rPr>
          <w:sz w:val="24"/>
          <w:szCs w:val="24"/>
        </w:rPr>
        <w:t>Marco legal e hierarquia institucional identificados (Seção 5.1)</w:t>
      </w:r>
    </w:p>
    <w:p>
      <w:pPr>
        <w:pStyle w:val="ListParagraph"/>
        <w:numPr>
          <w:ilvl w:val="0"/>
          <w:numId w:val="1"/>
        </w:numPr>
        <w:spacing w:lineRule="auto" w:line="360" w:before="0" w:after="100"/>
        <w:jc w:val="both"/>
        <w:rPr/>
      </w:pPr>
      <w:r>
        <w:rPr>
          <w:sz w:val="24"/>
          <w:szCs w:val="24"/>
        </w:rPr>
        <w:t>Dicionário de tradução local construído e validado em piloto (Seções 5.1 e 9)</w:t>
      </w:r>
    </w:p>
    <w:p>
      <w:pPr>
        <w:pStyle w:val="ListParagraph"/>
        <w:numPr>
          <w:ilvl w:val="0"/>
          <w:numId w:val="1"/>
        </w:numPr>
        <w:spacing w:lineRule="auto" w:line="360" w:before="0" w:after="100"/>
        <w:jc w:val="both"/>
        <w:rPr/>
      </w:pPr>
      <w:r>
        <w:rPr>
          <w:sz w:val="24"/>
          <w:szCs w:val="24"/>
        </w:rPr>
        <w:t>Quadro de vagas localizado e total declarado anotado (Seção 5.2, etapa 2)</w:t>
      </w:r>
    </w:p>
    <w:p>
      <w:pPr>
        <w:pStyle w:val="ListParagraph"/>
        <w:numPr>
          <w:ilvl w:val="0"/>
          <w:numId w:val="1"/>
        </w:numPr>
        <w:spacing w:lineRule="auto" w:line="360" w:before="0" w:after="100"/>
        <w:jc w:val="both"/>
        <w:rPr/>
      </w:pPr>
      <w:r>
        <w:rPr>
          <w:sz w:val="24"/>
          <w:szCs w:val="24"/>
        </w:rPr>
        <w:t>Cada modalidade mapeada para categoria funcional, sem forçar categorias existentes (Seção 6)</w:t>
      </w:r>
    </w:p>
    <w:p>
      <w:pPr>
        <w:pStyle w:val="ListParagraph"/>
        <w:numPr>
          <w:ilvl w:val="0"/>
          <w:numId w:val="1"/>
        </w:numPr>
        <w:spacing w:lineRule="auto" w:line="360" w:before="0" w:after="100"/>
        <w:jc w:val="both"/>
        <w:rPr/>
      </w:pPr>
      <w:r>
        <w:rPr>
          <w:sz w:val="24"/>
          <w:szCs w:val="24"/>
        </w:rPr>
        <w:t>Regra de agregação/desagregação aplicada objetivamente (Seção 7)</w:t>
      </w:r>
    </w:p>
    <w:p>
      <w:pPr>
        <w:pStyle w:val="ListParagraph"/>
        <w:numPr>
          <w:ilvl w:val="0"/>
          <w:numId w:val="1"/>
        </w:numPr>
        <w:spacing w:lineRule="auto" w:line="360" w:before="0" w:after="100"/>
        <w:jc w:val="both"/>
        <w:rPr/>
      </w:pPr>
      <w:r>
        <w:rPr>
          <w:sz w:val="24"/>
          <w:szCs w:val="24"/>
        </w:rPr>
        <w:t>Soma de vagas lançadas = total declarado (Quadro 3)</w:t>
      </w:r>
    </w:p>
    <w:p>
      <w:pPr>
        <w:pStyle w:val="ListParagraph"/>
        <w:numPr>
          <w:ilvl w:val="0"/>
          <w:numId w:val="1"/>
        </w:numPr>
        <w:spacing w:lineRule="auto" w:line="360" w:before="0" w:after="100"/>
        <w:jc w:val="both"/>
        <w:rPr/>
      </w:pPr>
      <w:r>
        <w:rPr>
          <w:sz w:val="24"/>
          <w:szCs w:val="24"/>
        </w:rPr>
        <w:t>Duplicidade/retificação verificada antes da inserção (Seção 8)</w:t>
      </w:r>
    </w:p>
    <w:p>
      <w:pPr>
        <w:pStyle w:val="ListParagraph"/>
        <w:numPr>
          <w:ilvl w:val="0"/>
          <w:numId w:val="1"/>
        </w:numPr>
        <w:spacing w:lineRule="auto" w:line="360" w:before="0" w:after="100"/>
        <w:jc w:val="both"/>
        <w:rPr/>
      </w:pPr>
      <w:r>
        <w:rPr>
          <w:sz w:val="24"/>
          <w:szCs w:val="24"/>
        </w:rPr>
        <w:t>Fonte rastreável registrada em 100% das linhas</w:t>
      </w:r>
    </w:p>
    <w:p>
      <w:pPr>
        <w:pStyle w:val="ListParagraph"/>
        <w:numPr>
          <w:ilvl w:val="0"/>
          <w:numId w:val="1"/>
        </w:numPr>
        <w:spacing w:lineRule="auto" w:line="360" w:before="0" w:after="100"/>
        <w:jc w:val="both"/>
        <w:rPr/>
      </w:pPr>
      <w:r>
        <w:rPr>
          <w:sz w:val="24"/>
          <w:szCs w:val="24"/>
        </w:rPr>
        <w:t>Agregados recalculados por fórmula, intervalo expandido</w:t>
      </w:r>
    </w:p>
    <w:p>
      <w:pPr>
        <w:pStyle w:val="ListParagraph"/>
        <w:numPr>
          <w:ilvl w:val="0"/>
          <w:numId w:val="1"/>
        </w:numPr>
        <w:spacing w:lineRule="auto" w:line="360" w:before="0" w:after="100"/>
        <w:jc w:val="both"/>
        <w:rPr/>
      </w:pPr>
      <w:r>
        <w:rPr>
          <w:sz w:val="24"/>
          <w:szCs w:val="24"/>
        </w:rPr>
        <w:t>Variação inter-edital documentada explicitamente</w:t>
      </w:r>
    </w:p>
    <w:sectPr>
      <w:headerReference w:type="even" r:id="rId5"/>
      <w:headerReference w:type="default" r:id="rId6"/>
      <w:headerReference w:type="first" r:id="rId7"/>
      <w:type w:val="nextPage"/>
      <w:pgSz w:w="11906" w:h="16838"/>
      <w:pgMar w:left="1701" w:right="1134" w:gutter="0" w:header="708" w:top="1701"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Times New Roman">
    <w:charset w:val="01" w:characterSet="utf-8"/>
    <w:family w:val="swiss"/>
    <w:pitch w:val="variable"/>
  </w:font>
  <w:font w:name="Liberation Sans">
    <w:altName w:val="Arial"/>
    <w:charset w:val="01" w:characterSet="utf-8"/>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sz w:val="24"/>
        <w:szCs w:val="24"/>
      </w:rPr>
      <w:fldChar w:fldCharType="begin"/>
    </w:r>
    <w:r>
      <w:rPr>
        <w:sz w:val="24"/>
        <w:szCs w:val="24"/>
      </w:rPr>
      <w:instrText xml:space="preserve"> PAGE </w:instrText>
    </w:r>
    <w:r>
      <w:rPr>
        <w:sz w:val="24"/>
        <w:szCs w:val="24"/>
      </w:rPr>
      <w:fldChar w:fldCharType="separate"/>
    </w:r>
    <w:r>
      <w:rPr>
        <w:sz w:val="24"/>
        <w:szCs w:val="24"/>
      </w:rPr>
      <w:t>23</w:t>
    </w:r>
    <w:r>
      <w:rPr>
        <w:sz w:val="24"/>
        <w:szCs w:val="24"/>
      </w:rPr>
      <w:fldChar w:fldCharType="end"/>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sz w:val="24"/>
        <w:szCs w:val="24"/>
      </w:rPr>
      <w:fldChar w:fldCharType="begin"/>
    </w:r>
    <w:r>
      <w:rPr>
        <w:sz w:val="24"/>
        <w:szCs w:val="24"/>
      </w:rPr>
      <w:instrText xml:space="preserve"> PAGE </w:instrText>
    </w:r>
    <w:r>
      <w:rPr>
        <w:sz w:val="24"/>
        <w:szCs w:val="24"/>
      </w:rPr>
      <w:fldChar w:fldCharType="separate"/>
    </w:r>
    <w:r>
      <w:rPr>
        <w:sz w:val="24"/>
        <w:szCs w:val="24"/>
      </w:rPr>
      <w:t>23</w:t>
    </w:r>
    <w:r>
      <w:rPr>
        <w:sz w:val="24"/>
        <w:szCs w:val="24"/>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9"/>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pt-BR"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4"/>
      <w:szCs w:val="24"/>
      <w:lang w:val="pt-BR" w:eastAsia="zh-CN" w:bidi="hi-IN"/>
    </w:rPr>
  </w:style>
  <w:style w:type="paragraph" w:styleId="Heading1">
    <w:name w:val="heading 1"/>
    <w:basedOn w:val="Heading"/>
    <w:qFormat/>
    <w:pPr>
      <w:spacing w:lineRule="auto" w:line="360" w:before="480" w:after="240"/>
      <w:outlineLvl w:val="0"/>
    </w:pPr>
    <w:rPr>
      <w:rFonts w:ascii="Times New Roman" w:hAnsi="Times New Roman" w:eastAsia="Times New Roman" w:cs="Times New Roman"/>
      <w:b/>
      <w:bCs/>
      <w:sz w:val="24"/>
      <w:szCs w:val="24"/>
    </w:rPr>
  </w:style>
  <w:style w:type="paragraph" w:styleId="Heading2">
    <w:name w:val="heading 2"/>
    <w:basedOn w:val="Heading"/>
    <w:qFormat/>
    <w:pPr>
      <w:spacing w:lineRule="auto" w:line="360" w:before="360" w:after="180"/>
      <w:outlineLvl w:val="1"/>
    </w:pPr>
    <w:rPr>
      <w:rFonts w:ascii="Times New Roman" w:hAnsi="Times New Roman" w:eastAsia="Times New Roman" w:cs="Times New Roman"/>
      <w:b/>
      <w:bCs/>
      <w:sz w:val="24"/>
      <w:szCs w:val="24"/>
    </w:rPr>
  </w:style>
  <w:style w:type="paragraph" w:styleId="Heading3">
    <w:name w:val="heading 3"/>
    <w:basedOn w:val="Heading"/>
    <w:qFormat/>
    <w:pPr>
      <w:spacing w:lineRule="auto" w:line="360" w:before="240" w:after="120"/>
      <w:outlineLvl w:val="2"/>
    </w:pPr>
    <w:rPr>
      <w:rFonts w:ascii="Times New Roman" w:hAnsi="Times New Roman" w:eastAsia="Times New Roman" w:cs="Times New Roman"/>
      <w:i/>
      <w:iCs/>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4"/>
      <w:szCs w:val="24"/>
      <w:lang w:val="pt-BR"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4"/>
      <w:szCs w:val="24"/>
      <w:lang w:val="pt-B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header" Target="header5.xml"/><Relationship Id="rId7" Type="http://schemas.openxmlformats.org/officeDocument/2006/relationships/header" Target="header6.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112</TotalTime>
  <Application>LibreOffice/25.8.7.3$Linux_X86_64 LibreOffice_project/580$Build-3</Application>
  <AppVersion>15.0000</AppVersion>
  <Pages>23</Pages>
  <Words>4943</Words>
  <Characters>30210</Characters>
  <CharactersWithSpaces>34807</CharactersWithSpaces>
  <Paragraphs>376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2026-07-29T03:56:34Z</dcterms:created>
  <dc:creator>Un-named</dc:creator>
  <dc:description/>
  <dc:language>pt-BR</dc:language>
  <cp:lastModifiedBy/>
  <dcterms:modified xsi:type="dcterms:W3CDTF">2026-08-03T01:50:58Z</dcterms:modified>
  <cp:revision>2</cp:revision>
  <dc:subject/>
  <dc:title/>
</cp:coreProperties>
</file>