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2E"/>
          <w:sz w:val="44"/>
        </w:rPr>
        <w:t>Automação de desenvolvimento com agente de IA no GTPorte</w:t>
      </w:r>
    </w:p>
    <w:p>
      <w:r>
        <w:rPr>
          <w:b/>
        </w:rPr>
        <w:t>Trabalho de Conclusão de Curso 2026 — Grupo TDS-2026-008</w:t>
      </w:r>
      <w:r>
        <w:t xml:space="preserve"> Tecnologia em Desenvolvimento de Sistemas · 5º termo Relatório de processo e aprendizados · 24/08/2026</w:t>
      </w:r>
    </w:p>
    <w:p>
      <w:pPr>
        <w:pStyle w:val="Heading2"/>
      </w:pPr>
      <w:r>
        <w:t>1. Contexto</w:t>
      </w:r>
    </w:p>
    <w:p>
      <w:r>
        <w:t>O GTPorte é um sistema de gestão de transporte acadêmico municipal, construído em React 18 com TypeScript, Vite e Tailwind sobre Supabase (PostgreSQL, autenticação, armazenamento de arquivos e Row Level Security). Ele atende três públicos em painéis separados: o setor de transporte, o estudante e o motorista.</w:t>
      </w:r>
    </w:p>
    <w:p>
      <w:r>
        <w:t>Depois de uma rodada de validação com o cliente, surgiram dezesseis solicitações de mudança. Elas iam de ajustes visuais simples — remover dois textos da tela de entrada, reduzir o tamanho de uns cards — a mudanças estruturais de verdade: um fluxo de aprovação entre estudante e motorista, um cadastro de motorista com os campos exigidos pela legislação de transporte escolar, e um bloco institucional de configuração com cerca de setenta campos.</w:t>
      </w:r>
    </w:p>
    <w:p>
      <w:r>
        <w:t xml:space="preserve">Este relatório registra </w:t>
      </w:r>
      <w:r>
        <w:rPr>
          <w:b/>
        </w:rPr>
        <w:t>como</w:t>
      </w:r>
      <w:r>
        <w:t xml:space="preserve"> essas mudanças foram executadas com o apoio de um agente de IA (Claude Code), o que foi automatizado, o que deu certo, o que não deu, e o que faríamos diferente. O objetivo não é descrever o produto — isso está no README e no relatório técnico — e sim o processo de trabalho.</w:t>
      </w:r>
    </w:p>
    <w:p>
      <w:pPr>
        <w:pStyle w:val="Heading2"/>
      </w:pPr>
      <w:r>
        <w:t>2. O que foi entregue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Commits na branch de trabalho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Arquivos alterados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Linhas adicionadas / removidas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8.071 / 601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Arquivos novos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Migrations de banco novas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6 (</w:t>
            </w:r>
            <w:r>
              <w:rPr>
                <w:rFonts w:ascii="Consolas" w:hAnsi="Consolas"/>
                <w:color w:val="6B7570"/>
                <w:sz w:val="19"/>
              </w:rPr>
              <w:t>0008</w:t>
            </w:r>
            <w:r>
              <w:t xml:space="preserve"> a </w:t>
            </w:r>
            <w:r>
              <w:rPr>
                <w:rFonts w:ascii="Consolas" w:hAnsi="Consolas"/>
                <w:color w:val="6B7570"/>
                <w:sz w:val="19"/>
              </w:rPr>
              <w:t>0012</w:t>
            </w:r>
            <w:r>
              <w:t xml:space="preserve">, mais </w:t>
            </w:r>
            <w:r>
              <w:rPr>
                <w:rFonts w:ascii="Consolas" w:hAnsi="Consolas"/>
                <w:color w:val="6B7570"/>
                <w:sz w:val="19"/>
              </w:rPr>
              <w:t>0014</w:t>
            </w:r>
            <w:r>
              <w:t xml:space="preserve"> de correções)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Tabelas no banco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15 → 22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Telas do painel do motorista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4 → 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t>Relatórios gerenciais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t>6 → 10</w:t>
            </w:r>
          </w:p>
        </w:tc>
      </w:tr>
    </w:tbl>
    <w:p/>
    <w:p>
      <w:r>
        <w:t>As dezesseis solicitações foram atendidas. As mudanças de banco ficaram versionadas como migrations idempotentes no repositório, para serem aplicadas no painel do Supabase — o agente não teve acesso ao banco de produção, o que foi uma decisão consciente do grupo.</w:t>
      </w:r>
    </w:p>
    <w:p>
      <w:pPr>
        <w:pStyle w:val="Heading2"/>
      </w:pPr>
      <w:r>
        <w:t>3. Como o trabalho foi organizado</w:t>
      </w:r>
    </w:p>
    <w:p>
      <w:pPr>
        <w:pStyle w:val="Heading3"/>
      </w:pPr>
      <w:r>
        <w:t>3.1 Planejamento antes da execução</w:t>
      </w:r>
    </w:p>
    <w:p>
      <w:r>
        <w:t>O primeiro passo não foi escrever código, e sim mapear o sistema. Três agentes de exploração percorreram o repositório em paralelo com escopos diferentes — telas administrativas principais, telas administrativas restantes, e infraestrutura mais modelo de dados — e devolveram um retrato do que já existia, com caminho de arquivo e número de linha.</w:t>
      </w:r>
    </w:p>
    <w:p>
      <w:r>
        <w:t>Isso mudou o resultado de forma concreta. O levantamento mostrou que:</w:t>
      </w:r>
    </w:p>
    <w:p>
      <w:pPr>
        <w:pStyle w:val="ListBullet"/>
        <w:ind w:left="340"/>
      </w:pPr>
      <w:r>
        <w:t>não existia componente de abas: cada tela que precisava reimplementava com botões soltos, em duas</w:t>
      </w:r>
    </w:p>
    <w:p>
      <w:r>
        <w:t>variações visuais diferentes;</w:t>
      </w:r>
    </w:p>
    <w:p>
      <w:pPr>
        <w:pStyle w:val="ListBullet"/>
        <w:ind w:left="340"/>
      </w:pPr>
      <w:r>
        <w:t>a paleta de cores estava duplicada em sete lugares;</w:t>
      </w:r>
    </w:p>
    <w:p>
      <w:pPr>
        <w:pStyle w:val="ListBullet"/>
        <w:ind w:left="340"/>
      </w:pPr>
      <w:r>
        <w:t xml:space="preserve">a tabela </w:t>
      </w:r>
      <w:r>
        <w:rPr>
          <w:rFonts w:ascii="Consolas" w:hAnsi="Consolas"/>
          <w:color w:val="6B7570"/>
          <w:sz w:val="19"/>
        </w:rPr>
        <w:t>documento</w:t>
      </w:r>
      <w:r>
        <w:t xml:space="preserve"> só tinha </w:t>
      </w:r>
      <w:r>
        <w:rPr>
          <w:rFonts w:ascii="Consolas" w:hAnsi="Consolas"/>
          <w:color w:val="6B7570"/>
          <w:sz w:val="19"/>
        </w:rPr>
        <w:t>estudante_id</w:t>
      </w:r>
      <w:r>
        <w:t>, então "documentos do motorista" não era um ajuste de</w:t>
      </w:r>
    </w:p>
    <w:p>
      <w:r>
        <w:t>tela, era modelagem nova;</w:t>
      </w:r>
    </w:p>
    <w:p>
      <w:pPr>
        <w:pStyle w:val="ListBullet"/>
        <w:ind w:left="340"/>
      </w:pPr>
      <w:r>
        <w:rPr>
          <w:rFonts w:ascii="Consolas" w:hAnsi="Consolas"/>
          <w:color w:val="6B7570"/>
          <w:sz w:val="19"/>
        </w:rPr>
        <w:t>src/lib/paginas.ts</w:t>
      </w:r>
      <w:r>
        <w:t xml:space="preserve"> espelha à mão uma função do banco, sem nada garantindo que as duas listas</w:t>
      </w:r>
    </w:p>
    <w:p>
      <w:r>
        <w:t>concordem.</w:t>
      </w:r>
    </w:p>
    <w:p>
      <w:r>
        <w:t>Nenhuma dessas informações estava no enunciado das solicitações. Todas mudaram o plano.</w:t>
      </w:r>
    </w:p>
    <w:p>
      <w:pPr>
        <w:pStyle w:val="Heading3"/>
      </w:pPr>
      <w:r>
        <w:t>3.2 Decisões que precisaram de gente</w:t>
      </w:r>
    </w:p>
    <w:p>
      <w:r>
        <w:t>Quatro pontos foram levados ao usuário antes de executar, porque interpretações diferentes levariam a trabalhos diferentes:</w:t>
      </w:r>
    </w:p>
    <w:p>
      <w:pPr>
        <w:pStyle w:val="ListNumber"/>
      </w:pPr>
      <w:r>
        <w:rPr>
          <w:b/>
        </w:rPr>
        <w:t>Ambiguidade real no enunciado.</w:t>
      </w:r>
      <w:r>
        <w:t xml:space="preserve"> Os itens 1 e 2 falavam em "página inicial" e "página de</w:t>
      </w:r>
    </w:p>
    <w:p>
      <w:r>
        <w:t>login" como se fossem telas distintas, mas o layout descrito (imagem à esquerda, campo estreito à direita) e os dois textos a remover estavam ambos na tela de login. Os itens 3 e 4, por sua vez, falavam de "página inicial" querendo dizer o painel pós-login. Executar sem perguntar teria produzido metade do trabalho no lugar errado.</w:t>
      </w:r>
    </w:p>
    <w:p>
      <w:pPr>
        <w:pStyle w:val="ListNumber"/>
      </w:pPr>
      <w:r>
        <w:rPr>
          <w:b/>
        </w:rPr>
        <w:t>Formato do link de acesso</w:t>
      </w:r>
      <w:r>
        <w:t xml:space="preserve"> (item 16): link com token de convite ou link simples copiável.</w:t>
      </w:r>
    </w:p>
    <w:p>
      <w:pPr>
        <w:pStyle w:val="ListNumber"/>
      </w:pPr>
      <w:r>
        <w:rPr>
          <w:b/>
        </w:rPr>
        <w:t>Estratégia de banco</w:t>
      </w:r>
      <w:r>
        <w:t>: gerar as migrations no repositório ou dar acesso ao Supabase ao agente.</w:t>
      </w:r>
    </w:p>
    <w:p>
      <w:pPr>
        <w:pStyle w:val="ListNumber"/>
      </w:pPr>
      <w:r>
        <w:rPr>
          <w:b/>
        </w:rPr>
        <w:t>Onde a automação deveria viver</w:t>
      </w:r>
      <w:r>
        <w:t>: versionada no repositório ou apenas na máquina de um</w:t>
      </w:r>
    </w:p>
    <w:p>
      <w:r>
        <w:t>integrante.</w:t>
      </w:r>
    </w:p>
    <w:p>
      <w:pPr>
        <w:pStyle w:val="Heading3"/>
      </w:pPr>
      <w:r>
        <w:t>3.3 Execução em fases</w:t>
      </w:r>
    </w:p>
    <w:p>
      <w:r>
        <w:t>O trabalho foi dividido em fases, com um commit ao fim de cada uma: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Conteúdo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Commits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Componentes base reutilizáveis (</w:t>
            </w:r>
            <w:r>
              <w:rPr>
                <w:rFonts w:ascii="Consolas" w:hAnsi="Consolas"/>
                <w:color w:val="6B7570"/>
                <w:sz w:val="19"/>
              </w:rPr>
              <w:t>Tabs</w:t>
            </w:r>
            <w:r>
              <w:t xml:space="preserve">, </w:t>
            </w:r>
            <w:r>
              <w:rPr>
                <w:rFonts w:ascii="Consolas" w:hAnsi="Consolas"/>
                <w:color w:val="6B7570"/>
                <w:sz w:val="19"/>
              </w:rPr>
              <w:t>Campo</w:t>
            </w:r>
            <w:r>
              <w:t xml:space="preserve">, </w:t>
            </w:r>
            <w:r>
              <w:rPr>
                <w:rFonts w:ascii="Consolas" w:hAnsi="Consolas"/>
                <w:color w:val="6B7570"/>
                <w:sz w:val="19"/>
              </w:rPr>
              <w:t>UploadFoto</w:t>
            </w:r>
            <w:r>
              <w:t>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Ajustes visuais rápidos (itens 1, 2, 3, 4, 7, 11)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Seis migrations de banco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Telas que consomem as migrations (itens 5, 6, 8, 9, 12, 13, 14, 15, 16)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Skill, hooks e agente revisor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Tarefa delegada e correções da revisão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Documentação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1</w:t>
            </w:r>
          </w:p>
        </w:tc>
      </w:tr>
    </w:tbl>
    <w:p/>
    <w:p>
      <w:r>
        <w:t xml:space="preserve">A fase 0 existir foi uma escolha deliberada. Três das mudanças pediam formulários em abas, e duas somavam cerca de cento e dez campos. Sem extrair antes um componente de abas e um renderizador de campo declarativo, as telas de motorista e de configurações teriam passado de mil linhas de JSX repetido cada uma. Com eles, os campos viraram dados: </w:t>
      </w:r>
      <w:r>
        <w:rPr>
          <w:rFonts w:ascii="Consolas" w:hAnsi="Consolas"/>
          <w:color w:val="6B7570"/>
          <w:sz w:val="19"/>
        </w:rPr>
        <w:t>src/lib/motorista.ts</w:t>
      </w:r>
      <w:r>
        <w:t xml:space="preserve"> e </w:t>
      </w:r>
      <w:r>
        <w:rPr>
          <w:rFonts w:ascii="Consolas" w:hAnsi="Consolas"/>
          <w:color w:val="6B7570"/>
          <w:sz w:val="19"/>
        </w:rPr>
        <w:t>src/lib/organizacao.ts</w:t>
      </w:r>
      <w:r>
        <w:t xml:space="preserve"> descrevem os formulários como listas de objetos, e as telas apenas percorrem essas listas.</w:t>
      </w:r>
    </w:p>
    <w:p>
      <w:pPr>
        <w:pStyle w:val="Heading2"/>
      </w:pPr>
      <w:r>
        <w:t>4. A automação criada</w:t>
      </w:r>
    </w:p>
    <w:p>
      <w:r>
        <w:t xml:space="preserve">Toda a automação ficou versionada no repositório, em </w:t>
      </w:r>
      <w:r>
        <w:rPr>
          <w:rFonts w:ascii="Consolas" w:hAnsi="Consolas"/>
          <w:color w:val="6B7570"/>
          <w:sz w:val="19"/>
        </w:rPr>
        <w:t>.claude/</w:t>
      </w:r>
      <w:r>
        <w:t xml:space="preserve"> e </w:t>
      </w:r>
      <w:r>
        <w:rPr>
          <w:rFonts w:ascii="Consolas" w:hAnsi="Consolas"/>
          <w:color w:val="6B7570"/>
          <w:sz w:val="19"/>
        </w:rPr>
        <w:t>.githooks/</w:t>
      </w:r>
      <w:r>
        <w:t>, para valer para o grupo inteiro e não apenas para quem estivesse com o agente aberto.</w:t>
      </w:r>
    </w:p>
    <w:p>
      <w:pPr>
        <w:pStyle w:val="Heading3"/>
      </w:pPr>
      <w:r>
        <w:t>4.1 Skill de teste — /testar-site</w:t>
      </w:r>
    </w:p>
    <w:p>
      <w:r>
        <w:rPr>
          <w:rFonts w:ascii="Consolas" w:hAnsi="Consolas"/>
          <w:color w:val="6B7570"/>
          <w:sz w:val="19"/>
        </w:rPr>
        <w:t>.claude/skills/testar-site/</w:t>
      </w:r>
      <w:r>
        <w:t xml:space="preserve"> é um roteiro de verificação ponta a ponta no navegador. O projeto não tem suíte de testes automatizados; </w:t>
      </w:r>
      <w:r>
        <w:rPr>
          <w:rFonts w:ascii="Consolas" w:hAnsi="Consolas"/>
          <w:color w:val="6B7570"/>
          <w:sz w:val="19"/>
        </w:rPr>
        <w:t>tsc --noEmit</w:t>
      </w:r>
      <w:r>
        <w:t xml:space="preserve"> garante que o código compila, não que funciona. A skill cobre essa diferença.</w:t>
      </w:r>
    </w:p>
    <w:p>
      <w:r>
        <w:t>Ela sobe o servidor de desenvolvimento, percorre um checklist de 45 itens nos três painéis, lê o console do navegador filtrando por erros, e devolve uma tabela de aprovado, reprovado ou bloqueado por item.</w:t>
      </w:r>
    </w:p>
    <w:p>
      <w:r>
        <w:t>Três detalhes que valeram a pena:</w:t>
      </w:r>
    </w:p>
    <w:p>
      <w:pPr>
        <w:pStyle w:val="ListBullet"/>
        <w:ind w:left="340"/>
      </w:pPr>
      <w:r>
        <w:rPr>
          <w:b/>
        </w:rPr>
        <w:t>"Bloqueado" é diferente de "reprovado".</w:t>
      </w:r>
      <w:r>
        <w:t xml:space="preserve"> Como as migrations são aplicadas manualmente, uma tela</w:t>
      </w:r>
    </w:p>
    <w:p>
      <w:r>
        <w:t>pode falhar simplesmente porque a tabela ainda não existe. Tratar isso como defeito produziria um relatório enganoso, então a skill primeiro confere se as tabelas existem e classifica de acordo.</w:t>
      </w:r>
    </w:p>
    <w:p>
      <w:pPr>
        <w:pStyle w:val="ListBullet"/>
        <w:ind w:left="340"/>
      </w:pPr>
      <w:r>
        <w:rPr>
          <w:b/>
        </w:rPr>
        <w:t>Limite de duas tentativas por item.</w:t>
      </w:r>
      <w:r>
        <w:t xml:space="preserve"> Sem esse limite, um agente insiste no mesmo botão</w:t>
      </w:r>
    </w:p>
    <w:p>
      <w:r>
        <w:t>indefinidamente.</w:t>
      </w:r>
    </w:p>
    <w:p>
      <w:pPr>
        <w:pStyle w:val="ListBullet"/>
        <w:ind w:left="340"/>
      </w:pPr>
      <w:r>
        <w:rPr>
          <w:b/>
        </w:rPr>
        <w:t>Uma seção dedicada à regressão mais provável.</w:t>
      </w:r>
      <w:r>
        <w:t xml:space="preserve"> A migration </w:t>
      </w:r>
      <w:r>
        <w:rPr>
          <w:rFonts w:ascii="Consolas" w:hAnsi="Consolas"/>
          <w:color w:val="6B7570"/>
          <w:sz w:val="19"/>
        </w:rPr>
        <w:t>0012</w:t>
      </w:r>
      <w:r>
        <w:t xml:space="preserve"> reescreveu</w:t>
      </w:r>
    </w:p>
    <w:p>
      <w:r>
        <w:rPr>
          <w:rFonts w:ascii="Consolas" w:hAnsi="Consolas"/>
          <w:color w:val="6B7570"/>
          <w:sz w:val="19"/>
        </w:rPr>
        <w:t>confirmar_presenca</w:t>
      </w:r>
      <w:r>
        <w:t>, que é usada tanto pelo aluno quanto pelo balcão. O caminho do balcão precisava continuar idêntico. O checklist trata isso como item destacado, não como mais uma linha.</w:t>
      </w:r>
    </w:p>
    <w:p>
      <w:pPr>
        <w:pStyle w:val="Heading3"/>
      </w:pPr>
      <w:r>
        <w:t>4.2 Hooks de qualidade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Hook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 que faz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6B7570"/>
                <w:sz w:val="19"/>
              </w:rPr>
              <w:t>checar-tipos.cjs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6B7570"/>
                <w:sz w:val="19"/>
              </w:rPr>
              <w:t>PostToolUse</w:t>
            </w:r>
            <w:r>
              <w:t xml:space="preserve"> em `Edit\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Write`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6B7570"/>
                <w:sz w:val="19"/>
              </w:rPr>
              <w:t>antes-do-commit.cjs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6B7570"/>
                <w:sz w:val="19"/>
              </w:rPr>
              <w:t>PreToolUse</w:t>
            </w:r>
            <w:r>
              <w:t xml:space="preserve"> em </w:t>
            </w:r>
            <w:r>
              <w:rPr>
                <w:rFonts w:ascii="Consolas" w:hAnsi="Consolas"/>
                <w:color w:val="6B7570"/>
                <w:sz w:val="19"/>
              </w:rPr>
              <w:t>Bash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 xml:space="preserve">Intercepta </w:t>
            </w:r>
            <w:r>
              <w:rPr>
                <w:rFonts w:ascii="Consolas" w:hAnsi="Consolas"/>
                <w:color w:val="6B7570"/>
                <w:sz w:val="19"/>
              </w:rPr>
              <w:t>git commit</w:t>
            </w:r>
            <w:r>
              <w:t xml:space="preserve">: barra se o projeto não compilar ou se houver </w:t>
            </w:r>
            <w:r>
              <w:rPr>
                <w:rFonts w:ascii="Consolas" w:hAnsi="Consolas"/>
                <w:color w:val="6B7570"/>
                <w:sz w:val="19"/>
              </w:rPr>
              <w:t>console.log</w:t>
            </w:r>
            <w:r>
              <w:t xml:space="preserve"> novo no índice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6B7570"/>
                <w:sz w:val="19"/>
              </w:rPr>
              <w:t>.githooks/pre-commit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Hook nativo do git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t>A mesma checagem fora do agente, para quem commita pelo terminal ou pelo editor</w:t>
            </w:r>
          </w:p>
        </w:tc>
      </w:tr>
    </w:tbl>
    <w:p/>
    <w:p>
      <w:r>
        <w:t xml:space="preserve">O segundo é o hook atrelado a uma tarefa do git. Ele respeita </w:t>
      </w:r>
      <w:r>
        <w:rPr>
          <w:rFonts w:ascii="Consolas" w:hAnsi="Consolas"/>
          <w:color w:val="6B7570"/>
          <w:sz w:val="19"/>
        </w:rPr>
        <w:t>--no-verify</w:t>
      </w:r>
      <w:r>
        <w:t xml:space="preserve"> para o caso excepcional, e o hook nativo garante que o portão vale para o grupo todo — basta rodar uma vez por clone: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git config core.hooksPath .githooks</w:t>
      </w:r>
    </w:p>
    <w:p/>
    <w:p>
      <w:r>
        <w:rPr>
          <w:b/>
        </w:rPr>
        <w:t>Uma decisão técnica que mudou o resultado:</w:t>
      </w:r>
      <w:r>
        <w:t xml:space="preserve"> a primeira versão dos hooks foi escrita em shell, usando </w:t>
      </w:r>
      <w:r>
        <w:rPr>
          <w:rFonts w:ascii="Consolas" w:hAnsi="Consolas"/>
          <w:color w:val="6B7570"/>
          <w:sz w:val="19"/>
        </w:rPr>
        <w:t>jq</w:t>
      </w:r>
      <w:r>
        <w:t xml:space="preserve"> para ler o JSON de entrada. Ao testar, descobrimos que </w:t>
      </w:r>
      <w:r>
        <w:rPr>
          <w:rFonts w:ascii="Consolas" w:hAnsi="Consolas"/>
          <w:color w:val="6B7570"/>
          <w:sz w:val="19"/>
        </w:rPr>
        <w:t>jq</w:t>
      </w:r>
      <w:r>
        <w:t xml:space="preserve"> não está instalado na máquina de desenvolvimento. Reescrevemos em Node — que o projeto já exige — e o hook passou a funcionar igual no Git Bash, no PowerShell e no Linux, sem dependência nova. Depois disso, uma segunda correção: a chamada usava </w:t>
      </w:r>
      <w:r>
        <w:rPr>
          <w:rFonts w:ascii="Consolas" w:hAnsi="Consolas"/>
          <w:color w:val="6B7570"/>
          <w:sz w:val="19"/>
        </w:rPr>
        <w:t>npx</w:t>
      </w:r>
      <w:r>
        <w:t xml:space="preserve"> com </w:t>
      </w:r>
      <w:r>
        <w:rPr>
          <w:rFonts w:ascii="Consolas" w:hAnsi="Consolas"/>
          <w:color w:val="6B7570"/>
          <w:sz w:val="19"/>
        </w:rPr>
        <w:t>shell: true</w:t>
      </w:r>
      <w:r>
        <w:t>, o que gerava um aviso de depreciação do Node em toda execução; passamos a invocar o compilador local direto (</w:t>
      </w:r>
      <w:r>
        <w:rPr>
          <w:rFonts w:ascii="Consolas" w:hAnsi="Consolas"/>
          <w:color w:val="6B7570"/>
          <w:sz w:val="19"/>
        </w:rPr>
        <w:t>node_modules/typescript/bin/tsc</w:t>
      </w:r>
      <w:r>
        <w:t>).</w:t>
      </w:r>
    </w:p>
    <w:p>
      <w:r>
        <w:t>Ambos os hooks foram testados nos dois caminhos antes de serem versionados: com o código limpo, e com um defeito proposital inserido e depois revertido.</w:t>
      </w:r>
    </w:p>
    <w:p>
      <w:pPr>
        <w:pStyle w:val="Heading3"/>
      </w:pPr>
      <w:r>
        <w:t>4.3 Agente revisor</w:t>
      </w:r>
    </w:p>
    <w:p>
      <w:r>
        <w:rPr>
          <w:rFonts w:ascii="Consolas" w:hAnsi="Consolas"/>
          <w:color w:val="6B7570"/>
          <w:sz w:val="19"/>
        </w:rPr>
        <w:t>.claude/agents/revisor-gtporte.md</w:t>
      </w:r>
      <w:r>
        <w:t xml:space="preserve"> define um subagente especializado no que o compilador não pega: função </w:t>
      </w:r>
      <w:r>
        <w:rPr>
          <w:rFonts w:ascii="Consolas" w:hAnsi="Consolas"/>
          <w:color w:val="6B7570"/>
          <w:sz w:val="19"/>
        </w:rPr>
        <w:t>security definer</w:t>
      </w:r>
      <w:r>
        <w:t xml:space="preserve"> sem validação de autor, componentes de </w:t>
      </w:r>
      <w:r>
        <w:rPr>
          <w:rFonts w:ascii="Consolas" w:hAnsi="Consolas"/>
          <w:color w:val="6B7570"/>
          <w:sz w:val="19"/>
        </w:rPr>
        <w:t>ui/</w:t>
      </w:r>
      <w:r>
        <w:t xml:space="preserve"> reimplementados à mão, cor fora da paleta do Tailwind, e divergência entre </w:t>
      </w:r>
      <w:r>
        <w:rPr>
          <w:rFonts w:ascii="Consolas" w:hAnsi="Consolas"/>
          <w:color w:val="6B7570"/>
          <w:sz w:val="19"/>
        </w:rPr>
        <w:t>src/lib/paginas.ts</w:t>
      </w:r>
      <w:r>
        <w:t xml:space="preserve"> e a função </w:t>
      </w:r>
      <w:r>
        <w:rPr>
          <w:rFonts w:ascii="Consolas" w:hAnsi="Consolas"/>
          <w:color w:val="6B7570"/>
          <w:sz w:val="19"/>
        </w:rPr>
        <w:t>paginas_do_sistema()</w:t>
      </w:r>
      <w:r>
        <w:t xml:space="preserve"> do banco.</w:t>
      </w:r>
    </w:p>
    <w:p>
      <w:r>
        <w:t xml:space="preserve">A escolha do escopo foi deliberada: um revisor genérico repetiria o que o </w:t>
      </w:r>
      <w:r>
        <w:rPr>
          <w:rFonts w:ascii="Consolas" w:hAnsi="Consolas"/>
          <w:color w:val="6B7570"/>
          <w:sz w:val="19"/>
        </w:rPr>
        <w:t>tsc</w:t>
      </w:r>
      <w:r>
        <w:t xml:space="preserve"> já faz. O valor está em codificar o conhecimento específico deste projeto — sobretudo o fato de que toda RPC do Supabase roda como </w:t>
      </w:r>
      <w:r>
        <w:rPr>
          <w:rFonts w:ascii="Consolas" w:hAnsi="Consolas"/>
          <w:color w:val="6B7570"/>
          <w:sz w:val="19"/>
        </w:rPr>
        <w:t>security definer</w:t>
      </w:r>
      <w:r>
        <w:t xml:space="preserve"> e, portanto, ignora a Row Level Security por definição. Uma função nova que esqueça de checar quem está chamando é uma falha de segurança que nenhuma ferramenta genérica apontaria.</w:t>
      </w:r>
    </w:p>
    <w:p>
      <w:pPr>
        <w:pStyle w:val="Heading2"/>
      </w:pPr>
      <w:r>
        <w:t>5. Tarefa de desenvolvimento delegada a um agente</w:t>
      </w:r>
    </w:p>
    <w:p>
      <w:r>
        <w:t>Para exercitar a delegação de uma unidade fechada de trabalho, escolhemos um problema real encontrado no levantamento da fase de planejamento.</w:t>
      </w:r>
    </w:p>
    <w:p>
      <w:pPr>
        <w:pStyle w:val="Heading3"/>
      </w:pPr>
      <w:r>
        <w:t>5.1 O problema</w:t>
      </w:r>
    </w:p>
    <w:p>
      <w:r>
        <w:t xml:space="preserve">O mapa de cores da situação operacional da rota estava duplicado </w:t>
      </w:r>
      <w:r>
        <w:rPr>
          <w:b/>
        </w:rPr>
        <w:t>literalmente</w:t>
      </w:r>
      <w:r>
        <w:t>, com os mesmos seis valores hexadecimais, em três arquivos:</w:t>
      </w:r>
    </w:p>
    <w:p>
      <w:pPr>
        <w:pStyle w:val="ListBullet"/>
        <w:ind w:left="340"/>
      </w:pPr>
      <w:r>
        <w:rPr>
          <w:rFonts w:ascii="Consolas" w:hAnsi="Consolas"/>
          <w:color w:val="6B7570"/>
          <w:sz w:val="19"/>
        </w:rPr>
        <w:t>src/pages/Dashboard.tsx</w:t>
      </w:r>
    </w:p>
    <w:p>
      <w:pPr>
        <w:pStyle w:val="ListBullet"/>
        <w:ind w:left="340"/>
      </w:pPr>
      <w:r>
        <w:rPr>
          <w:rFonts w:ascii="Consolas" w:hAnsi="Consolas"/>
          <w:color w:val="6B7570"/>
          <w:sz w:val="19"/>
        </w:rPr>
        <w:t>src/pages/estudante/MinhaRota.tsx</w:t>
      </w:r>
    </w:p>
    <w:p>
      <w:pPr>
        <w:pStyle w:val="ListBullet"/>
        <w:ind w:left="340"/>
      </w:pPr>
      <w:r>
        <w:rPr>
          <w:rFonts w:ascii="Consolas" w:hAnsi="Consolas"/>
          <w:color w:val="6B7570"/>
          <w:sz w:val="19"/>
        </w:rPr>
        <w:t>src/pages/motorista/MinhasRotas.tsx</w:t>
      </w:r>
    </w:p>
    <w:p>
      <w:pPr>
        <w:pStyle w:val="Heading3"/>
      </w:pPr>
      <w:r>
        <w:t>5.2 Por que esta tarefa</w:t>
      </w:r>
    </w:p>
    <w:p>
      <w:r>
        <w:t xml:space="preserve">Ela tem as três características que tornam uma tarefa boa para delegar: </w:t>
      </w:r>
      <w:r>
        <w:rPr>
          <w:b/>
        </w:rPr>
        <w:t>escopo fechado</w:t>
      </w:r>
      <w:r>
        <w:t xml:space="preserve"> (três arquivos nomeados), </w:t>
      </w:r>
      <w:r>
        <w:rPr>
          <w:b/>
        </w:rPr>
        <w:t>critério de sucesso objetivo</w:t>
      </w:r>
      <w:r>
        <w:t xml:space="preserve"> (</w:t>
      </w:r>
      <w:r>
        <w:rPr>
          <w:rFonts w:ascii="Consolas" w:hAnsi="Consolas"/>
          <w:color w:val="6B7570"/>
          <w:sz w:val="19"/>
        </w:rPr>
        <w:t>tsc --noEmit</w:t>
      </w:r>
      <w:r>
        <w:t xml:space="preserve"> limpo e build passando), e </w:t>
      </w:r>
      <w:r>
        <w:rPr>
          <w:b/>
        </w:rPr>
        <w:t>resultado verificável sem julgamento subjetivo</w:t>
      </w:r>
      <w:r>
        <w:t xml:space="preserve"> (a aparência não pode mudar).</w:t>
      </w:r>
    </w:p>
    <w:p>
      <w:pPr>
        <w:pStyle w:val="Heading3"/>
      </w:pPr>
      <w:r>
        <w:t>5.3 O prompt</w:t>
      </w:r>
    </w:p>
    <w:p>
      <w:r>
        <w:t>O prompt entregue ao agente continha, além do problema:</w:t>
      </w:r>
    </w:p>
    <w:p>
      <w:pPr>
        <w:pStyle w:val="ListBullet"/>
        <w:ind w:left="340"/>
      </w:pPr>
      <w:r>
        <w:t>os caminhos e as linhas aproximadas das três duplicatas;</w:t>
      </w:r>
    </w:p>
    <w:p>
      <w:pPr>
        <w:pStyle w:val="ListBullet"/>
        <w:ind w:left="340"/>
      </w:pPr>
      <w:r>
        <w:t>a função canônica já criada (</w:t>
      </w:r>
      <w:r>
        <w:rPr>
          <w:rFonts w:ascii="Consolas" w:hAnsi="Consolas"/>
          <w:color w:val="6B7570"/>
          <w:sz w:val="19"/>
        </w:rPr>
        <w:t>badgeSituacaoOperacional</w:t>
      </w:r>
      <w:r>
        <w:t xml:space="preserve"> em </w:t>
      </w:r>
      <w:r>
        <w:rPr>
          <w:rFonts w:ascii="Consolas" w:hAnsi="Consolas"/>
          <w:color w:val="6B7570"/>
          <w:sz w:val="19"/>
        </w:rPr>
        <w:t>src/lib/format.ts</w:t>
      </w:r>
      <w:r>
        <w:t>) e seu tipo de</w:t>
      </w:r>
    </w:p>
    <w:p>
      <w:r>
        <w:t>retorno;</w:t>
      </w:r>
    </w:p>
    <w:p>
      <w:pPr>
        <w:pStyle w:val="ListBullet"/>
        <w:ind w:left="340"/>
      </w:pPr>
      <w:r>
        <w:rPr>
          <w:b/>
        </w:rPr>
        <w:t>uma armadilha explícita</w:t>
      </w:r>
      <w:r>
        <w:t xml:space="preserve">: os arquivos usam </w:t>
      </w:r>
      <w:r>
        <w:rPr>
          <w:rFonts w:ascii="Consolas" w:hAnsi="Consolas"/>
          <w:color w:val="6B7570"/>
          <w:sz w:val="19"/>
        </w:rPr>
        <w:t>ROTULO_SITUACAO_OPERACIONAL</w:t>
      </w:r>
      <w:r>
        <w:t xml:space="preserve"> para o texto e</w:t>
      </w:r>
    </w:p>
    <w:p>
      <w:r>
        <w:rPr>
          <w:rFonts w:ascii="Consolas" w:hAnsi="Consolas"/>
          <w:color w:val="6B7570"/>
          <w:sz w:val="19"/>
        </w:rPr>
        <w:t>COR_SITUACAO</w:t>
      </w:r>
      <w:r>
        <w:t xml:space="preserve"> para a cor; a função nova traz as duas coisas, então o import antigo pode ou não ficar sem uso, e isso precisa ser verificado caso a caso;</w:t>
      </w:r>
    </w:p>
    <w:p>
      <w:pPr>
        <w:pStyle w:val="ListBullet"/>
        <w:ind w:left="340"/>
      </w:pPr>
      <w:r>
        <w:t xml:space="preserve">o comando exato de verificação, com a observação de </w:t>
      </w:r>
      <w:r>
        <w:rPr>
          <w:b/>
        </w:rPr>
        <w:t>não usar `npx`</w:t>
      </w:r>
      <w:r>
        <w:t xml:space="preserve"> por ser lento nesta</w:t>
      </w:r>
    </w:p>
    <w:p>
      <w:r>
        <w:t>máquina;</w:t>
      </w:r>
    </w:p>
    <w:p>
      <w:pPr>
        <w:pStyle w:val="ListBullet"/>
        <w:ind w:left="340"/>
      </w:pPr>
      <w:r>
        <w:t>limites: não commitar, não tocar em outros arquivos, manter os comentários em português.</w:t>
      </w:r>
    </w:p>
    <w:p>
      <w:r>
        <w:t>Nomear a armadilha antecipadamente foi o que mais rendeu. É exatamente o tipo de detalhe que produz um erro de compilação silencioso — variável importada e não usada — e que custa uma ida e volta inteira quando não é dito.</w:t>
      </w:r>
    </w:p>
    <w:p>
      <w:pPr>
        <w:pStyle w:val="Heading3"/>
      </w:pPr>
      <w:r>
        <w:t>5.4 Resultado</w:t>
      </w:r>
    </w:p>
    <w:p>
      <w:r>
        <w:t>O agente executou a tarefa em uma passagem, sem precisar de correção de rumo. O que ele entregou:</w:t>
      </w:r>
    </w:p>
    <w:p>
      <w:pPr>
        <w:pStyle w:val="ListBullet"/>
        <w:ind w:left="340"/>
      </w:pPr>
      <w:r>
        <w:t>removeu as três constantes duplicadas;</w:t>
      </w:r>
    </w:p>
    <w:p>
      <w:pPr>
        <w:pStyle w:val="ListBullet"/>
        <w:ind w:left="340"/>
      </w:pPr>
      <w:r>
        <w:t xml:space="preserve">ajustou os imports caso a caso — em dois arquivos </w:t>
      </w:r>
      <w:r>
        <w:rPr>
          <w:rFonts w:ascii="Consolas" w:hAnsi="Consolas"/>
          <w:color w:val="6B7570"/>
          <w:sz w:val="19"/>
        </w:rPr>
        <w:t>ROTULO_SITUACAO_OPERACIONAL</w:t>
      </w:r>
      <w:r>
        <w:t xml:space="preserve"> ficou sem uso e</w:t>
      </w:r>
    </w:p>
    <w:p>
      <w:r>
        <w:t>foi removido, no terceiro continuou sendo usado em outro ponto e foi mantido, que era exatamente a armadilha apontada no prompt;</w:t>
      </w:r>
    </w:p>
    <w:p>
      <w:pPr>
        <w:pStyle w:val="ListBullet"/>
        <w:ind w:left="340"/>
      </w:pPr>
      <w:r>
        <w:t xml:space="preserve">adaptou cada ponto de uso ao formato do JSX local: onde havia o componente </w:t>
      </w:r>
      <w:r>
        <w:rPr>
          <w:rFonts w:ascii="Consolas" w:hAnsi="Consolas"/>
          <w:color w:val="6B7570"/>
          <w:sz w:val="19"/>
        </w:rPr>
        <w:t>&lt;Badge&gt;</w:t>
      </w:r>
      <w:r>
        <w:t>, passou a</w:t>
      </w:r>
    </w:p>
    <w:p>
      <w:r>
        <w:t xml:space="preserve">função direto; onde o JSX aplicava cor via </w:t>
      </w:r>
      <w:r>
        <w:rPr>
          <w:rFonts w:ascii="Consolas" w:hAnsi="Consolas"/>
          <w:color w:val="6B7570"/>
          <w:sz w:val="19"/>
        </w:rPr>
        <w:t>style</w:t>
      </w:r>
      <w:r>
        <w:t xml:space="preserve">, leu </w:t>
      </w:r>
      <w:r>
        <w:rPr>
          <w:rFonts w:ascii="Consolas" w:hAnsi="Consolas"/>
          <w:color w:val="6B7570"/>
          <w:sz w:val="19"/>
        </w:rPr>
        <w:t>.bg</w:t>
      </w:r>
      <w:r>
        <w:t xml:space="preserve"> e </w:t>
      </w:r>
      <w:r>
        <w:rPr>
          <w:rFonts w:ascii="Consolas" w:hAnsi="Consolas"/>
          <w:color w:val="6B7570"/>
          <w:sz w:val="19"/>
        </w:rPr>
        <w:t>.fg</w:t>
      </w:r>
      <w:r>
        <w:t>;</w:t>
      </w:r>
    </w:p>
    <w:p>
      <w:pPr>
        <w:pStyle w:val="ListBullet"/>
        <w:ind w:left="340"/>
      </w:pPr>
      <w:r>
        <w:t xml:space="preserve">preservou o </w:t>
      </w:r>
      <w:r>
        <w:rPr>
          <w:rFonts w:ascii="Consolas" w:hAnsi="Consolas"/>
          <w:color w:val="6B7570"/>
          <w:sz w:val="19"/>
        </w:rPr>
        <w:t>.toUpperCase()</w:t>
      </w:r>
      <w:r>
        <w:t xml:space="preserve"> que já existia, para o texto exibido não mudar;</w:t>
      </w:r>
    </w:p>
    <w:p>
      <w:pPr>
        <w:pStyle w:val="ListBullet"/>
        <w:ind w:left="340"/>
      </w:pPr>
      <w:r>
        <w:t xml:space="preserve">verificou com </w:t>
      </w:r>
      <w:r>
        <w:rPr>
          <w:rFonts w:ascii="Consolas" w:hAnsi="Consolas"/>
          <w:color w:val="6B7570"/>
          <w:sz w:val="19"/>
        </w:rPr>
        <w:t>tsc --noEmit</w:t>
      </w:r>
      <w:r>
        <w:t xml:space="preserve"> limpo e </w:t>
      </w:r>
      <w:r>
        <w:rPr>
          <w:rFonts w:ascii="Consolas" w:hAnsi="Consolas"/>
          <w:color w:val="6B7570"/>
          <w:sz w:val="19"/>
        </w:rPr>
        <w:t>npm run build</w:t>
      </w:r>
      <w:r>
        <w:t xml:space="preserve"> completo.</w:t>
      </w:r>
    </w:p>
    <w:p>
      <w:r>
        <w:rPr>
          <w:b/>
        </w:rPr>
        <w:t>Conferência independente.</w:t>
      </w:r>
      <w:r>
        <w:t xml:space="preserve"> Confirmamos por conta própria que nenhuma ocorrência de </w:t>
      </w:r>
      <w:r>
        <w:rPr>
          <w:rFonts w:ascii="Consolas" w:hAnsi="Consolas"/>
          <w:color w:val="6B7570"/>
          <w:sz w:val="19"/>
        </w:rPr>
        <w:t>COR_SITUACAO</w:t>
      </w:r>
      <w:r>
        <w:t xml:space="preserve"> restou no código, que os rótulos de </w:t>
      </w:r>
      <w:r>
        <w:rPr>
          <w:rFonts w:ascii="Consolas" w:hAnsi="Consolas"/>
          <w:color w:val="6B7570"/>
          <w:sz w:val="19"/>
        </w:rPr>
        <w:t>badgeSituacaoOperacional</w:t>
      </w:r>
      <w:r>
        <w:t xml:space="preserve"> são idênticos aos de </w:t>
      </w:r>
      <w:r>
        <w:rPr>
          <w:rFonts w:ascii="Consolas" w:hAnsi="Consolas"/>
          <w:color w:val="6B7570"/>
          <w:sz w:val="19"/>
        </w:rPr>
        <w:t>ROTULO_SITUACAO_OPERACIONAL</w:t>
      </w:r>
      <w:r>
        <w:t>, e que o build passa.</w:t>
      </w:r>
    </w:p>
    <w:p>
      <w:r>
        <w:t xml:space="preserve">Uma ressalva: em </w:t>
      </w:r>
      <w:r>
        <w:rPr>
          <w:rFonts w:ascii="Consolas" w:hAnsi="Consolas"/>
          <w:color w:val="6B7570"/>
          <w:sz w:val="19"/>
        </w:rPr>
        <w:t>MinhaRota.tsx</w:t>
      </w:r>
      <w:r>
        <w:t xml:space="preserve"> o agente derivou o valor fora do bloco condicional e precisou de asserção não-nula (</w:t>
      </w:r>
      <w:r>
        <w:rPr>
          <w:rFonts w:ascii="Consolas" w:hAnsi="Consolas"/>
          <w:color w:val="6B7570"/>
          <w:sz w:val="19"/>
        </w:rPr>
        <w:t>badgeSituacao!</w:t>
      </w:r>
      <w:r>
        <w:t xml:space="preserve">) em três lugares. É seguro — o trecho só renderiza sob </w:t>
      </w:r>
      <w:r>
        <w:rPr>
          <w:rFonts w:ascii="Consolas" w:hAnsi="Consolas"/>
          <w:color w:val="6B7570"/>
          <w:sz w:val="19"/>
        </w:rPr>
        <w:t>rota &amp;&amp;</w:t>
      </w:r>
      <w:r>
        <w:t xml:space="preserve"> — mas é o tipo de solução que enfraquece a checagem para contornar um detalhe de escopo. Movemos o cálculo para dentro do bloco, o que dispensou a asserção. Vale como registro de que </w:t>
      </w:r>
      <w:r>
        <w:rPr>
          <w:b/>
        </w:rPr>
        <w:t>revisar a entrega do agente continua sendo necessário mesmo quando ela passa em todos os testes</w:t>
      </w:r>
      <w:r>
        <w:t>: o critério objetivo estava satisfeito, e ainda assim havia o que melhorar.</w:t>
      </w:r>
    </w:p>
    <w:p>
      <w:pPr>
        <w:pStyle w:val="Heading2"/>
      </w:pPr>
      <w:r>
        <w:t>6. Revisão automatizada da branch</w:t>
      </w:r>
    </w:p>
    <w:p>
      <w:r>
        <w:t xml:space="preserve">Depois de fechar as dezesseis solicitações, rodamos o agente revisor sobre a branch inteira comparada com </w:t>
      </w:r>
      <w:r>
        <w:rPr>
          <w:rFonts w:ascii="Consolas" w:hAnsi="Consolas"/>
          <w:color w:val="6B7570"/>
          <w:sz w:val="19"/>
        </w:rPr>
        <w:t>main</w:t>
      </w:r>
      <w:r>
        <w:t xml:space="preserve"> — 44 arquivos, 7.227 linhas adicionadas até aquele ponto. O </w:t>
      </w:r>
      <w:r>
        <w:rPr>
          <w:rFonts w:ascii="Consolas" w:hAnsi="Consolas"/>
          <w:color w:val="6B7570"/>
          <w:sz w:val="19"/>
        </w:rPr>
        <w:t>tsc --noEmit</w:t>
      </w:r>
      <w:r>
        <w:t xml:space="preserve"> passava limpo, então tudo o que ele encontrou é, por definição, o que o compilador não vê.</w:t>
      </w:r>
    </w:p>
    <w:p>
      <w:r>
        <w:t xml:space="preserve">Foram </w:t>
      </w:r>
      <w:r>
        <w:rPr>
          <w:b/>
        </w:rPr>
        <w:t>onze achados</w:t>
      </w:r>
      <w:r>
        <w:t>, quatro deles graves. Os mais relevantes:</w:t>
      </w:r>
    </w:p>
    <w:p>
      <w:r>
        <w:rPr>
          <w:b/>
        </w:rPr>
        <w:t>1. Dados pessoais do motorista expostos.</w:t>
      </w:r>
      <w:r>
        <w:t xml:space="preserve"> A migration </w:t>
      </w:r>
      <w:r>
        <w:rPr>
          <w:rFonts w:ascii="Consolas" w:hAnsi="Consolas"/>
          <w:color w:val="6B7570"/>
          <w:sz w:val="19"/>
        </w:rPr>
        <w:t>0011</w:t>
      </w:r>
      <w:r>
        <w:t xml:space="preserve"> acrescentou CPF, RG, data de nascimento, endereço residencial completo e e-mail pessoal à tabela </w:t>
      </w:r>
      <w:r>
        <w:rPr>
          <w:rFonts w:ascii="Consolas" w:hAnsi="Consolas"/>
          <w:color w:val="6B7570"/>
          <w:sz w:val="19"/>
        </w:rPr>
        <w:t>motorista</w:t>
      </w:r>
      <w:r>
        <w:t xml:space="preserve">. Essa tabela tinha, desde o início do projeto, uma policy de leitura </w:t>
      </w:r>
      <w:r>
        <w:rPr>
          <w:rFonts w:ascii="Consolas" w:hAnsi="Consolas"/>
          <w:color w:val="6B7570"/>
          <w:sz w:val="19"/>
        </w:rPr>
        <w:t>auth.role() = 'authenticated'</w:t>
      </w:r>
      <w:r>
        <w:t xml:space="preserve"> — escrita quando ela continha apenas nome, telefone e CNH, para que o estudante pudesse ver quem dirige a rota dele. Ninguém revisou a policy ao ampliar a tabela. O resultado: qualquer estudante logado conseguia ler o CPF e o endereço de toda a equipe de motoristas.</w:t>
      </w:r>
    </w:p>
    <w:p>
      <w:r>
        <w:rPr>
          <w:b/>
        </w:rPr>
        <w:t>2. Motorista podia aprovar o próprio documento.</w:t>
      </w:r>
      <w:r>
        <w:t xml:space="preserve"> A policy de inserção em </w:t>
      </w:r>
      <w:r>
        <w:rPr>
          <w:rFonts w:ascii="Consolas" w:hAnsi="Consolas"/>
          <w:color w:val="6B7570"/>
          <w:sz w:val="19"/>
        </w:rPr>
        <w:t>documento_motorista</w:t>
      </w:r>
      <w:r>
        <w:t xml:space="preserve"> validava o </w:t>
      </w:r>
      <w:r>
        <w:rPr>
          <w:rFonts w:ascii="Consolas" w:hAnsi="Consolas"/>
          <w:color w:val="6B7570"/>
          <w:sz w:val="19"/>
        </w:rPr>
        <w:t>motorista_id</w:t>
      </w:r>
      <w:r>
        <w:t xml:space="preserve">, mas não o </w:t>
      </w:r>
      <w:r>
        <w:rPr>
          <w:rFonts w:ascii="Consolas" w:hAnsi="Consolas"/>
          <w:color w:val="6B7570"/>
          <w:sz w:val="19"/>
        </w:rPr>
        <w:t>status</w:t>
      </w:r>
      <w:r>
        <w:t xml:space="preserve">. Como existe um gatilho que recalcula a situação documental na hora, bastava inserir um documento já com </w:t>
      </w:r>
      <w:r>
        <w:rPr>
          <w:rFonts w:ascii="Consolas" w:hAnsi="Consolas"/>
          <w:color w:val="6B7570"/>
          <w:sz w:val="19"/>
        </w:rPr>
        <w:t>status = 'aprovado'</w:t>
      </w:r>
      <w:r>
        <w:t xml:space="preserve"> por chamada direta à API para se auto-aprovar, contornando a regra de que só o administrador aprova. A tela enviava </w:t>
      </w:r>
      <w:r>
        <w:rPr>
          <w:rFonts w:ascii="Consolas" w:hAnsi="Consolas"/>
          <w:color w:val="6B7570"/>
          <w:sz w:val="19"/>
        </w:rPr>
        <w:t>'pendente'</w:t>
      </w:r>
      <w:r>
        <w:t xml:space="preserve"> por convenção, não por obrigação. A mesma falha existia no lado do estudante desde o início do projeto.</w:t>
      </w:r>
    </w:p>
    <w:p>
      <w:r>
        <w:rPr>
          <w:b/>
        </w:rPr>
        <w:t>3. Uma RPC contornando a Row Level Security.</w:t>
      </w:r>
      <w:r>
        <w:t xml:space="preserve"> A função </w:t>
      </w:r>
      <w:r>
        <w:rPr>
          <w:rFonts w:ascii="Consolas" w:hAnsi="Consolas"/>
          <w:color w:val="6B7570"/>
          <w:sz w:val="19"/>
        </w:rPr>
        <w:t>ocupacao_por_data</w:t>
      </w:r>
      <w:r>
        <w:t xml:space="preserve">, criada na migration </w:t>
      </w:r>
      <w:r>
        <w:rPr>
          <w:rFonts w:ascii="Consolas" w:hAnsi="Consolas"/>
          <w:color w:val="6B7570"/>
          <w:sz w:val="19"/>
        </w:rPr>
        <w:t>0008</w:t>
      </w:r>
      <w:r>
        <w:t xml:space="preserve">, repete o trabalho de uma view que havia sido declarada </w:t>
      </w:r>
      <w:r>
        <w:rPr>
          <w:rFonts w:ascii="Consolas" w:hAnsi="Consolas"/>
          <w:color w:val="6B7570"/>
          <w:sz w:val="19"/>
        </w:rPr>
        <w:t>security_invoker = true</w:t>
      </w:r>
      <w:r>
        <w:t xml:space="preserve"> justamente para que a RLS valesse. A função nova, sendo </w:t>
      </w:r>
      <w:r>
        <w:rPr>
          <w:rFonts w:ascii="Consolas" w:hAnsi="Consolas"/>
          <w:color w:val="6B7570"/>
          <w:sz w:val="19"/>
        </w:rPr>
        <w:t>security definer</w:t>
      </w:r>
      <w:r>
        <w:t xml:space="preserve"> e sem checar quem chama, desfazia essa decisão.</w:t>
      </w:r>
    </w:p>
    <w:p>
      <w:r>
        <w:rPr>
          <w:b/>
        </w:rPr>
        <w:t>4. Indicadores da Visão geral zerados em silêncio.</w:t>
      </w:r>
      <w:r>
        <w:t xml:space="preserve"> Este é o achado mais instrutivo. A RPC </w:t>
      </w:r>
      <w:r>
        <w:rPr>
          <w:rFonts w:ascii="Consolas" w:hAnsi="Consolas"/>
          <w:color w:val="6B7570"/>
          <w:sz w:val="19"/>
        </w:rPr>
        <w:t>ocupacao_por_data</w:t>
      </w:r>
      <w:r>
        <w:t xml:space="preserve"> devolve seis colunas; o hook a tipava como </w:t>
      </w:r>
      <w:r>
        <w:rPr>
          <w:rFonts w:ascii="Consolas" w:hAnsi="Consolas"/>
          <w:color w:val="6B7570"/>
          <w:sz w:val="19"/>
        </w:rPr>
        <w:t>OcupacaoRota</w:t>
      </w:r>
      <w:r>
        <w:t xml:space="preserve">, que tem quinze. O Dashboard filtrava por </w:t>
      </w:r>
      <w:r>
        <w:rPr>
          <w:rFonts w:ascii="Consolas" w:hAnsi="Consolas"/>
          <w:color w:val="6B7570"/>
          <w:sz w:val="19"/>
        </w:rPr>
        <w:t>o.status</w:t>
      </w:r>
      <w:r>
        <w:t xml:space="preserve">, campo que a RPC não devolve — então "Rotas em operação" mostrava zero, "em revisão" mostrava zero e a "Ocupação média" somava capacidade zero. </w:t>
      </w:r>
      <w:r>
        <w:rPr>
          <w:b/>
        </w:rPr>
        <w:t>Sem nenhum erro de compilação</w:t>
      </w:r>
      <w:r>
        <w:t>, porque a conversão de tipo forçada (</w:t>
      </w:r>
      <w:r>
        <w:rPr>
          <w:rFonts w:ascii="Consolas" w:hAnsi="Consolas"/>
          <w:color w:val="6B7570"/>
          <w:sz w:val="19"/>
        </w:rPr>
        <w:t>as OcupacaoRota[]</w:t>
      </w:r>
      <w:r>
        <w:t>) mentia para o compilador.</w:t>
      </w:r>
    </w:p>
    <w:p>
      <w:r>
        <w:t xml:space="preserve">Os demais achados: salvar um bloco em Configurações apagava o que estava digitado nos outros blocos ainda não salvos; os filtros de relatório vazavam de um relatório para o outro, produzindo recorte fantasma em documento de prestação de contas; o </w:t>
      </w:r>
      <w:r>
        <w:rPr>
          <w:rFonts w:ascii="Consolas" w:hAnsi="Consolas"/>
          <w:color w:val="6B7570"/>
          <w:sz w:val="19"/>
        </w:rPr>
        <w:t>UploadFoto</w:t>
      </w:r>
      <w:r>
        <w:t xml:space="preserve"> criava um object URL por render sem revogar; um checkbox usava hexadecimal cru divergindo do token da paleta; e o cancelamento de solicitação não era registrado no log de auditoria.</w:t>
      </w:r>
    </w:p>
    <w:p>
      <w:r>
        <w:t xml:space="preserve">O revisor também informou explicitamente o que </w:t>
      </w:r>
      <w:r>
        <w:rPr>
          <w:b/>
        </w:rPr>
        <w:t>não</w:t>
      </w:r>
      <w:r>
        <w:t xml:space="preserve"> encontrou: nenhum componente de </w:t>
      </w:r>
      <w:r>
        <w:rPr>
          <w:rFonts w:ascii="Consolas" w:hAnsi="Consolas"/>
          <w:color w:val="6B7570"/>
          <w:sz w:val="19"/>
        </w:rPr>
        <w:t>ui/</w:t>
      </w:r>
      <w:r>
        <w:t xml:space="preserve"> reimplementado à mão nas telas novas, RLS completa nas sete tabelas criadas, listas de páginas do front e do banco em sincronia, e o retorno jsonb de </w:t>
      </w:r>
      <w:r>
        <w:rPr>
          <w:rFonts w:ascii="Consolas" w:hAnsi="Consolas"/>
          <w:color w:val="6B7570"/>
          <w:sz w:val="19"/>
        </w:rPr>
        <w:t>minha_rota()</w:t>
      </w:r>
      <w:r>
        <w:t xml:space="preserve"> batendo campo a campo com o tipo TypeScript.</w:t>
      </w:r>
    </w:p>
    <w:p>
      <w:r>
        <w:rPr>
          <w:b/>
        </w:rPr>
        <w:t>Todos os achados acionáveis foram corrigidos</w:t>
      </w:r>
      <w:r>
        <w:t xml:space="preserve"> na migration </w:t>
      </w:r>
      <w:r>
        <w:rPr>
          <w:rFonts w:ascii="Consolas" w:hAnsi="Consolas"/>
          <w:color w:val="6B7570"/>
          <w:sz w:val="19"/>
        </w:rPr>
        <w:t>0014_correcoes_revisao.sql</w:t>
      </w:r>
      <w:r>
        <w:t xml:space="preserve"> e no commit </w:t>
      </w:r>
      <w:r>
        <w:rPr>
          <w:rFonts w:ascii="Consolas" w:hAnsi="Consolas"/>
          <w:color w:val="6B7570"/>
          <w:sz w:val="19"/>
        </w:rPr>
        <w:t>f5bae1f</w:t>
      </w:r>
      <w:r>
        <w:t xml:space="preserve">. O seed de demonstração, que estava dentro de </w:t>
      </w:r>
      <w:r>
        <w:rPr>
          <w:rFonts w:ascii="Consolas" w:hAnsi="Consolas"/>
          <w:color w:val="6B7570"/>
          <w:sz w:val="19"/>
        </w:rPr>
        <w:t>supabase/migrations/</w:t>
      </w:r>
      <w:r>
        <w:t xml:space="preserve"> e seria aplicado por um </w:t>
      </w:r>
      <w:r>
        <w:rPr>
          <w:rFonts w:ascii="Consolas" w:hAnsi="Consolas"/>
          <w:color w:val="6B7570"/>
          <w:sz w:val="19"/>
        </w:rPr>
        <w:t>supabase db push</w:t>
      </w:r>
      <w:r>
        <w:t xml:space="preserve"> em produção, foi movido para </w:t>
      </w:r>
      <w:r>
        <w:rPr>
          <w:rFonts w:ascii="Consolas" w:hAnsi="Consolas"/>
          <w:color w:val="6B7570"/>
          <w:sz w:val="19"/>
        </w:rPr>
        <w:t>supabase/seed/</w:t>
      </w:r>
      <w:r>
        <w:t>.</w:t>
      </w:r>
    </w:p>
    <w:p>
      <w:r>
        <w:rPr>
          <w:b/>
        </w:rPr>
        <w:t>O que isso ensina.</w:t>
      </w:r>
      <w:r>
        <w:t xml:space="preserve"> Os três primeiros achados são falhas de segurança que passariam despercebidas em revisão humana por serem </w:t>
      </w:r>
      <w:r>
        <w:rPr>
          <w:i/>
        </w:rPr>
        <w:t>invisíveis no diff</w:t>
      </w:r>
      <w:r>
        <w:t xml:space="preserve">: em nenhum deles o código errado foi escrito nesta branch. O que a branch fez foi </w:t>
      </w:r>
      <w:r>
        <w:rPr>
          <w:b/>
        </w:rPr>
        <w:t>acrescentar colunas a uma tabela cuja policy já existia</w:t>
      </w:r>
      <w:r>
        <w:t xml:space="preserve"> — e a policy, que não aparece no diff, deixou de ser adequada. Revisar só o que mudou não bastava; era preciso revisar o que o que mudou </w:t>
      </w:r>
      <w:r>
        <w:rPr>
          <w:i/>
        </w:rPr>
        <w:t>afetou</w:t>
      </w:r>
      <w:r>
        <w:t>.</w:t>
      </w:r>
    </w:p>
    <w:p>
      <w:r>
        <w:t xml:space="preserve">O quarto mostra o custo de uma conversão de tipo forçada: </w:t>
      </w:r>
      <w:r>
        <w:rPr>
          <w:rFonts w:ascii="Consolas" w:hAnsi="Consolas"/>
          <w:color w:val="6B7570"/>
          <w:sz w:val="19"/>
        </w:rPr>
        <w:t>as OcupacaoRota[]</w:t>
      </w:r>
      <w:r>
        <w:t xml:space="preserve"> transformou um erro que o compilador teria pego numa tela que mostra zero sem reclamar.</w:t>
      </w:r>
    </w:p>
    <w:p>
      <w:pPr>
        <w:pStyle w:val="Heading2"/>
      </w:pPr>
      <w:r>
        <w:t>7. O que funcionou</w:t>
      </w:r>
    </w:p>
    <w:p>
      <w:r>
        <w:rPr>
          <w:b/>
        </w:rPr>
        <w:t>Explorar antes de planejar.</w:t>
      </w:r>
      <w:r>
        <w:t xml:space="preserve"> Os três agentes de exploração custaram alguns minutos e evitaram retrabalho em pelo menos quatro pontos — o mais caro deles seria descobrir só na hora de codificar que "documentos do motorista" exigia modelagem nova, e não um filtro de tela.</w:t>
      </w:r>
    </w:p>
    <w:p>
      <w:r>
        <w:rPr>
          <w:b/>
        </w:rPr>
        <w:t>Perguntar quando a ambiguidade é real.</w:t>
      </w:r>
      <w:r>
        <w:t xml:space="preserve"> Quatro perguntas no início pouparam metade de uma fase de trabalho no lugar errado. O critério aplicado foi: perguntar quando leituras diferentes levariam a trabalhos diferentes; decidir sozinho quando existe um padrão óbvio.</w:t>
      </w:r>
    </w:p>
    <w:p>
      <w:r>
        <w:rPr>
          <w:b/>
        </w:rPr>
        <w:t>Fazer a base antes das telas.</w:t>
      </w:r>
      <w:r>
        <w:t xml:space="preserve"> A fase 0, que não entregou nenhuma funcionalidade visível, foi o que permitiu que as três telas de formulário grandes ficassem legíveis.</w:t>
      </w:r>
    </w:p>
    <w:p>
      <w:r>
        <w:rPr>
          <w:b/>
        </w:rPr>
        <w:t>Commit por fase, com mensagem explicando o porquê.</w:t>
      </w:r>
      <w:r>
        <w:t xml:space="preserve"> As mensagens registram as decisões de projeto — por que uma tabela irmã em vez de generalizar </w:t>
      </w:r>
      <w:r>
        <w:rPr>
          <w:rFonts w:ascii="Consolas" w:hAnsi="Consolas"/>
          <w:color w:val="6B7570"/>
          <w:sz w:val="19"/>
        </w:rPr>
        <w:t>documento</w:t>
      </w:r>
      <w:r>
        <w:t xml:space="preserve">, por que uma coluna </w:t>
      </w:r>
      <w:r>
        <w:rPr>
          <w:rFonts w:ascii="Consolas" w:hAnsi="Consolas"/>
          <w:color w:val="6B7570"/>
          <w:sz w:val="19"/>
        </w:rPr>
        <w:t>situacao</w:t>
      </w:r>
      <w:r>
        <w:t xml:space="preserve"> nova em vez de estender o enum existente. Isso vale mais para o relatório técnico do que qualquer comentário no código.</w:t>
      </w:r>
    </w:p>
    <w:p>
      <w:r>
        <w:rPr>
          <w:b/>
        </w:rPr>
        <w:t>Testar o hook antes de versionar.</w:t>
      </w:r>
      <w:r>
        <w:t xml:space="preserve"> Foi o que revelou a ausência do </w:t>
      </w:r>
      <w:r>
        <w:rPr>
          <w:rFonts w:ascii="Consolas" w:hAnsi="Consolas"/>
          <w:color w:val="6B7570"/>
          <w:sz w:val="19"/>
        </w:rPr>
        <w:t>jq</w:t>
      </w:r>
      <w:r>
        <w:t>. Um hook quebrado é pior que hook nenhum, porque falha em silêncio.</w:t>
      </w:r>
    </w:p>
    <w:p>
      <w:pPr>
        <w:pStyle w:val="Heading2"/>
      </w:pPr>
      <w:r>
        <w:t>8. O que não funcionou</w:t>
      </w:r>
    </w:p>
    <w:p>
      <w:r>
        <w:rPr>
          <w:b/>
        </w:rPr>
        <w:t>Heredoc de shell com conteúdo grande.</w:t>
      </w:r>
      <w:r>
        <w:t xml:space="preserve"> Editar arquivos passando blocos extensos de código por heredoc falhou duas vezes com erro de sintaxe do shell. A solução foi escrever scripts de edição em Node e executá-los — mais previsível, e com a vantagem de o script ficar disponível para reexecutar.</w:t>
      </w:r>
    </w:p>
    <w:p>
      <w:r>
        <w:rPr>
          <w:b/>
        </w:rPr>
        <w:t>Codificação de caracteres no Windows.</w:t>
      </w:r>
      <w:r>
        <w:t xml:space="preserve"> Duas ocorrências. A saída do Python quebrava ao imprimir caracteres combinantes no console (cp1252), e a correção da faixa de diacríticos em </w:t>
      </w:r>
      <w:r>
        <w:rPr>
          <w:rFonts w:ascii="Consolas" w:hAnsi="Consolas"/>
          <w:color w:val="6B7570"/>
          <w:sz w:val="19"/>
        </w:rPr>
        <w:t>exportar.ts</w:t>
      </w:r>
      <w:r>
        <w:t xml:space="preserve"> precisou ser feita via Node para escrever </w:t>
      </w:r>
      <w:r>
        <w:rPr>
          <w:rFonts w:ascii="Consolas" w:hAnsi="Consolas"/>
          <w:color w:val="6B7570"/>
          <w:sz w:val="19"/>
        </w:rPr>
        <w:t>̀-ͯ</w:t>
      </w:r>
      <w:r>
        <w:t xml:space="preserve"> escapado — tanto o editor quanto o Python inseriam os caracteres crus, invisíveis no fonte, que era exatamente o defeito original.</w:t>
      </w:r>
    </w:p>
    <w:p>
      <w:r>
        <w:rPr>
          <w:b/>
        </w:rPr>
        <w:t>Fim de linha CRLF.</w:t>
      </w:r>
      <w:r>
        <w:t xml:space="preserve"> As primeiras edições por script falhavam ao procurar trechos de várias linhas, porque os arquivos do repositório usam CRLF e os padrões de busca usavam LF. Resolvido com um utilitário que normaliza ao ler e restaura ao gravar. É o tipo de atrito que consome tempo sem produzir nada.</w:t>
      </w:r>
    </w:p>
    <w:p>
      <w:r>
        <w:rPr>
          <w:b/>
        </w:rPr>
        <w:t>Confiar em ferramenta não verificada.</w:t>
      </w:r>
      <w:r>
        <w:t xml:space="preserve"> Escrever os hooks assumindo </w:t>
      </w:r>
      <w:r>
        <w:rPr>
          <w:rFonts w:ascii="Consolas" w:hAnsi="Consolas"/>
          <w:color w:val="6B7570"/>
          <w:sz w:val="19"/>
        </w:rPr>
        <w:t>jq</w:t>
      </w:r>
      <w:r>
        <w:t xml:space="preserve"> instalado foi otimismo. Custou uma reescrita completa.</w:t>
      </w:r>
    </w:p>
    <w:p>
      <w:r>
        <w:rPr>
          <w:b/>
        </w:rPr>
        <w:t>Um laço infinito no próprio gerador deste relatório.</w:t>
      </w:r>
      <w:r>
        <w:t xml:space="preserve"> O conversor de Markdown para </w:t>
      </w:r>
      <w:r>
        <w:rPr>
          <w:rFonts w:ascii="Consolas" w:hAnsi="Consolas"/>
          <w:color w:val="6B7570"/>
          <w:sz w:val="19"/>
        </w:rPr>
        <w:t>.docx</w:t>
      </w:r>
      <w:r>
        <w:t xml:space="preserve"> tratava linhas iniciadas por </w:t>
      </w:r>
      <w:r>
        <w:rPr>
          <w:rFonts w:ascii="Consolas" w:hAnsi="Consolas"/>
          <w:color w:val="6B7570"/>
          <w:sz w:val="19"/>
        </w:rPr>
        <w:t>*</w:t>
      </w:r>
      <w:r>
        <w:t xml:space="preserve"> como lista. Um parágrafo que começa com </w:t>
      </w:r>
      <w:r>
        <w:rPr>
          <w:rFonts w:ascii="Consolas" w:hAnsi="Consolas"/>
          <w:color w:val="6B7570"/>
          <w:sz w:val="19"/>
        </w:rPr>
        <w:t>**Negrito**</w:t>
      </w:r>
      <w:r>
        <w:t xml:space="preserve"> casa com esse padrão sem ser lista: o laço recusava a linha, não avançava o índice, e o script travava. Só apareceu porque o texto deste relatório usa negrito no início de vários parágrafos. É um lembrete de que código auxiliar — script de build, gerador, ferramenta de apoio — merece o mesmo cuidado que o código do produto, e frequentemente não recebe.</w:t>
      </w:r>
    </w:p>
    <w:p>
      <w:pPr>
        <w:pStyle w:val="Heading2"/>
      </w:pPr>
      <w:r>
        <w:t>9. Como o processo pode melhorar</w:t>
      </w:r>
    </w:p>
    <w:p>
      <w:r>
        <w:rPr>
          <w:b/>
        </w:rPr>
        <w:t>1. Testes automatizados de verdade.</w:t>
      </w:r>
      <w:r>
        <w:t xml:space="preserve"> É a lacuna maior. Hoje </w:t>
      </w:r>
      <w:r>
        <w:rPr>
          <w:rFonts w:ascii="Consolas" w:hAnsi="Consolas"/>
          <w:color w:val="6B7570"/>
          <w:sz w:val="19"/>
        </w:rPr>
        <w:t>npm run lint</w:t>
      </w:r>
      <w:r>
        <w:t xml:space="preserve"> é apenas </w:t>
      </w:r>
      <w:r>
        <w:rPr>
          <w:rFonts w:ascii="Consolas" w:hAnsi="Consolas"/>
          <w:color w:val="6B7570"/>
          <w:sz w:val="19"/>
        </w:rPr>
        <w:t>tsc --noEmit</w:t>
      </w:r>
      <w:r>
        <w:t xml:space="preserve">: garante que o código compila, não que funciona. Vitest com Testing Library nas funções puras de </w:t>
      </w:r>
      <w:r>
        <w:rPr>
          <w:rFonts w:ascii="Consolas" w:hAnsi="Consolas"/>
          <w:color w:val="6B7570"/>
          <w:sz w:val="19"/>
        </w:rPr>
        <w:t>src/lib/</w:t>
      </w:r>
      <w:r>
        <w:t xml:space="preserve"> (</w:t>
      </w:r>
      <w:r>
        <w:rPr>
          <w:rFonts w:ascii="Consolas" w:hAnsi="Consolas"/>
          <w:color w:val="6B7570"/>
          <w:sz w:val="19"/>
        </w:rPr>
        <w:t>format.ts</w:t>
      </w:r>
      <w:r>
        <w:t xml:space="preserve">, </w:t>
      </w:r>
      <w:r>
        <w:rPr>
          <w:rFonts w:ascii="Consolas" w:hAnsi="Consolas"/>
          <w:color w:val="6B7570"/>
          <w:sz w:val="19"/>
        </w:rPr>
        <w:t>exportar.ts</w:t>
      </w:r>
      <w:r>
        <w:t>) e Playwright no fluxo de presença dariam uma rede de segurança real, e o hook de pré-commit passaria a rodá-los.</w:t>
      </w:r>
    </w:p>
    <w:p>
      <w:r>
        <w:rPr>
          <w:b/>
        </w:rPr>
        <w:t>2. Verificar automaticamente a sincronia front/banco.</w:t>
      </w:r>
      <w:r>
        <w:t xml:space="preserve"> </w:t>
      </w:r>
      <w:r>
        <w:rPr>
          <w:rFonts w:ascii="Consolas" w:hAnsi="Consolas"/>
          <w:color w:val="6B7570"/>
          <w:sz w:val="19"/>
        </w:rPr>
        <w:t>src/lib/paginas.ts</w:t>
      </w:r>
      <w:r>
        <w:t xml:space="preserve"> espelha à mão a função </w:t>
      </w:r>
      <w:r>
        <w:rPr>
          <w:rFonts w:ascii="Consolas" w:hAnsi="Consolas"/>
          <w:color w:val="6B7570"/>
          <w:sz w:val="19"/>
        </w:rPr>
        <w:t>paginas_do_sistema()</w:t>
      </w:r>
      <w:r>
        <w:t xml:space="preserve"> da migration </w:t>
      </w:r>
      <w:r>
        <w:rPr>
          <w:rFonts w:ascii="Consolas" w:hAnsi="Consolas"/>
          <w:color w:val="6B7570"/>
          <w:sz w:val="19"/>
        </w:rPr>
        <w:t>0007</w:t>
      </w:r>
      <w:r>
        <w:t>. Uma página adicionada em um lado e esquecida no outro falha em silêncio. Um teste que compare as duas listas resolveria em poucas linhas.</w:t>
      </w:r>
    </w:p>
    <w:p>
      <w:r>
        <w:rPr>
          <w:b/>
        </w:rPr>
        <w:t>3. Tipos gerados a partir do banco.</w:t>
      </w:r>
      <w:r>
        <w:t xml:space="preserve"> O Supabase CLI gera tipos TypeScript a partir do schema real (</w:t>
      </w:r>
      <w:r>
        <w:rPr>
          <w:rFonts w:ascii="Consolas" w:hAnsi="Consolas"/>
          <w:color w:val="6B7570"/>
          <w:sz w:val="19"/>
        </w:rPr>
        <w:t>supabase gen types typescript</w:t>
      </w:r>
      <w:r>
        <w:t xml:space="preserve">). Hoje </w:t>
      </w:r>
      <w:r>
        <w:rPr>
          <w:rFonts w:ascii="Consolas" w:hAnsi="Consolas"/>
          <w:color w:val="6B7570"/>
          <w:sz w:val="19"/>
        </w:rPr>
        <w:t>src/lib/types.ts</w:t>
      </w:r>
      <w:r>
        <w:t xml:space="preserve"> é mantido à mão, e o retorno jsonb de </w:t>
      </w:r>
      <w:r>
        <w:rPr>
          <w:rFonts w:ascii="Consolas" w:hAnsi="Consolas"/>
          <w:color w:val="6B7570"/>
          <w:sz w:val="19"/>
        </w:rPr>
        <w:t>minha_rota()</w:t>
      </w:r>
      <w:r>
        <w:t xml:space="preserve"> é tipado por confiança: um campo adicionado no TypeScript mas esquecido no SQL chega como </w:t>
      </w:r>
      <w:r>
        <w:rPr>
          <w:rFonts w:ascii="Consolas" w:hAnsi="Consolas"/>
          <w:color w:val="6B7570"/>
          <w:sz w:val="19"/>
        </w:rPr>
        <w:t>undefined</w:t>
      </w:r>
      <w:r>
        <w:t xml:space="preserve"> sem nenhum erro de compilação.</w:t>
      </w:r>
    </w:p>
    <w:p>
      <w:r>
        <w:rPr>
          <w:b/>
        </w:rPr>
        <w:t>4. Ambiente de banco descartável.</w:t>
      </w:r>
      <w:r>
        <w:t xml:space="preserve"> As migrations foram escritas sem poder executá-las — só foi possível conferir estruturalmente o balanceamento das marcações de citação. Um Postgres local ou um projeto Supabase de teste permitiria aplicar e reverter cada migration antes de versioná-la.</w:t>
      </w:r>
    </w:p>
    <w:p>
      <w:r>
        <w:rPr>
          <w:b/>
        </w:rPr>
        <w:t>5. Paleta em um lugar só.</w:t>
      </w:r>
      <w:r>
        <w:t xml:space="preserve"> As cores estão em </w:t>
      </w:r>
      <w:r>
        <w:rPr>
          <w:rFonts w:ascii="Consolas" w:hAnsi="Consolas"/>
          <w:color w:val="6B7570"/>
          <w:sz w:val="19"/>
        </w:rPr>
        <w:t>tailwind.config.js</w:t>
      </w:r>
      <w:r>
        <w:t xml:space="preserve">, em </w:t>
      </w:r>
      <w:r>
        <w:rPr>
          <w:rFonts w:ascii="Consolas" w:hAnsi="Consolas"/>
          <w:color w:val="6B7570"/>
          <w:sz w:val="19"/>
        </w:rPr>
        <w:t>src/lib/format.ts</w:t>
      </w:r>
      <w:r>
        <w:t xml:space="preserve"> e espalhadas em hexadecimal cru por várias telas. Consolidar em tokens CSS eliminaria uma classe inteira de inconsistência.</w:t>
      </w:r>
    </w:p>
    <w:p>
      <w:r>
        <w:rPr>
          <w:b/>
        </w:rPr>
        <w:t>6. Escrever o prompt da tarefa delegada como se fosse para um colega novo.</w:t>
      </w:r>
      <w:r>
        <w:t xml:space="preserve"> O que mais melhorou o resultado da delegação não foi descrever o objetivo — foi nomear a armadilha, dar o comando exato de verificação e declarar os limites. Vale como padrão para as próximas.</w:t>
      </w:r>
    </w:p>
    <w:p>
      <w:pPr>
        <w:pStyle w:val="Heading2"/>
      </w:pPr>
      <w:r>
        <w:t>10. Conclusão</w:t>
      </w:r>
    </w:p>
    <w:p>
      <w:r>
        <w:t>As dezesseis solicitações foram atendidas, o repositório passou a carregar sua própria automação de qualidade, e o processo ficou documentado.</w:t>
      </w:r>
    </w:p>
    <w:p>
      <w:r>
        <w:t xml:space="preserve">O aprendizado que atravessa todo o trabalho é que o agente de IA rende muito mais em </w:t>
      </w:r>
      <w:r>
        <w:rPr>
          <w:b/>
        </w:rPr>
        <w:t>preparação e verificação</w:t>
      </w:r>
      <w:r>
        <w:t xml:space="preserve"> do que em digitação. As horas que produziram mais valor foram as de exploração inicial — que revelaram quatro problemas estruturais não previstos no enunciado — e as de teste dos hooks — que revelaram uma dependência inexistente antes de ela quebrar na máquina de outro integrante. Escrever o código foi a parte mais rápida e menos arriscada.</w:t>
      </w:r>
    </w:p>
    <w:p>
      <w:r>
        <w:t xml:space="preserve">O segundo aprendizado é que automação só vale quando está versionada. Um hook na máquina de um integrante é um hábito pessoal; um hook em </w:t>
      </w:r>
      <w:r>
        <w:rPr>
          <w:rFonts w:ascii="Consolas" w:hAnsi="Consolas"/>
          <w:color w:val="6B7570"/>
          <w:sz w:val="19"/>
        </w:rPr>
        <w:t>.githooks/</w:t>
      </w:r>
      <w:r>
        <w:t xml:space="preserve"> é uma regra do projeto.</w:t>
      </w:r>
    </w:p>
    <w:p>
      <w:r>
        <w:t xml:space="preserve">E o terceiro, que aparece nas seções 7 e 8 em partes iguais: o limite do agente não está no que ele sabe escrever, e sim no que ele consegue </w:t>
      </w:r>
      <w:r>
        <w:rPr>
          <w:b/>
        </w:rPr>
        <w:t>verificar</w:t>
      </w:r>
      <w:r>
        <w:t>. Onde havia critério objetivo — compila, o build passa, a aparência não mudou — o resultado foi confiável. Onde não havia — as migrations, que não puderam ser executadas — o resultado continua dependendo de conferência humana, e o relatório diz isso explicitamente em vez de fingir o contrário.</w:t>
      </w:r>
    </w:p>
    <w:p>
      <w:pPr>
        <w:pStyle w:val="Heading2"/>
      </w:pPr>
      <w:r>
        <w:t>Anexo · Estrutura da automação no repositório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.claude/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settings.json                   hooks e permissões do projeto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agents/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revisor-gtporte.md            subagente de revisão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hooks/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checar-tipos.cjs              type-check após cada edição em src/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antes-do-commit.cjs           portão antes do git commit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skills/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testar-site/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  SKILL.md                    roteiro de teste no navegador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    checklist.md                45 itens nos três painéis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.githooks/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pre-commit                      mesma checagem fora do agente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docs/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relatorio-automacao-gtporte.md  fonte deste documento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relatorio-automacao-gtporte.docx</w:t>
      </w:r>
    </w:p>
    <w:p>
      <w:pPr>
        <w:spacing w:after="0"/>
        <w:ind w:left="340"/>
      </w:pPr>
      <w:r>
        <w:rPr>
          <w:rFonts w:ascii="Consolas" w:hAnsi="Consolas"/>
          <w:sz w:val="18"/>
        </w:rPr>
        <w:t>scripts/</w:t>
      </w:r>
    </w:p>
    <w:p>
      <w:pPr>
        <w:spacing w:after="0"/>
        <w:ind w:left="340"/>
      </w:pPr>
      <w:r>
        <w:rPr>
          <w:rFonts w:ascii="Consolas" w:hAnsi="Consolas"/>
          <w:sz w:val="18"/>
        </w:rPr>
        <w:t xml:space="preserve">  gerar-relatorio.py              converte o Markdown em .docx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3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