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4B17" w14:textId="32A9F00C" w:rsidR="00574547" w:rsidRDefault="00574547" w:rsidP="62DD071E">
      <w:pPr>
        <w:jc w:val="center"/>
        <w:rPr>
          <w:rFonts w:ascii="Dosis" w:eastAsiaTheme="majorEastAsia" w:hAnsi="Dosis" w:cstheme="majorBidi"/>
          <w:b/>
          <w:bCs/>
          <w:noProof/>
          <w:color w:val="01A77F"/>
          <w:sz w:val="32"/>
          <w:szCs w:val="32"/>
          <w:lang w:eastAsia="pt-BR"/>
        </w:rPr>
      </w:pPr>
    </w:p>
    <w:p w14:paraId="2F41B4FF" w14:textId="13258CC0" w:rsidR="00DD6D3E" w:rsidRPr="00FD32A2" w:rsidRDefault="62DD071E" w:rsidP="00574547">
      <w:pPr>
        <w:pStyle w:val="Ttulo1"/>
        <w:rPr>
          <w:noProof/>
          <w:lang w:eastAsia="pt-BR"/>
        </w:rPr>
      </w:pPr>
      <w:r w:rsidRPr="62DD071E">
        <w:rPr>
          <w:noProof/>
          <w:lang w:eastAsia="pt-BR"/>
        </w:rPr>
        <w:t>Atividade de Extensão</w:t>
      </w:r>
    </w:p>
    <w:p w14:paraId="2265E3E7" w14:textId="77777777" w:rsidR="00681046" w:rsidRPr="00606E4E" w:rsidRDefault="00681046" w:rsidP="00681046">
      <w:pPr>
        <w:pStyle w:val="Ttulo2"/>
        <w:rPr>
          <w:rFonts w:cs="Arial"/>
        </w:rPr>
      </w:pPr>
      <w:r>
        <w:rPr>
          <w:rFonts w:cs="Arial"/>
        </w:rPr>
        <w:t>Estudantes responsáveis</w:t>
      </w:r>
    </w:p>
    <w:p w14:paraId="43509696" w14:textId="27E4332F" w:rsidR="00681046" w:rsidRDefault="62DD071E" w:rsidP="00681046">
      <w:pPr>
        <w:rPr>
          <w:rFonts w:cs="Arial"/>
          <w:lang w:eastAsia="pt-BR"/>
        </w:rPr>
      </w:pPr>
      <w:r w:rsidRPr="62DD071E">
        <w:rPr>
          <w:rFonts w:cs="Arial"/>
          <w:lang w:eastAsia="pt-BR"/>
        </w:rPr>
        <w:t>Fabr</w:t>
      </w:r>
      <w:r w:rsidR="00E85F78">
        <w:rPr>
          <w:rFonts w:cs="Arial"/>
          <w:lang w:eastAsia="pt-BR"/>
        </w:rPr>
        <w:t>i</w:t>
      </w:r>
      <w:r w:rsidRPr="62DD071E">
        <w:rPr>
          <w:rFonts w:cs="Arial"/>
          <w:lang w:eastAsia="pt-BR"/>
        </w:rPr>
        <w:t xml:space="preserve">cio </w:t>
      </w:r>
      <w:r w:rsidR="293AD26E" w:rsidRPr="293AD26E">
        <w:rPr>
          <w:rFonts w:cs="Arial"/>
          <w:lang w:eastAsia="pt-BR"/>
        </w:rPr>
        <w:t xml:space="preserve">de Almeida Costa </w:t>
      </w:r>
      <w:r w:rsidRPr="62DD071E">
        <w:rPr>
          <w:rFonts w:cs="Arial"/>
          <w:lang w:eastAsia="pt-BR"/>
        </w:rPr>
        <w:t>Segundo</w:t>
      </w:r>
    </w:p>
    <w:p w14:paraId="2FE5BBAF" w14:textId="52FB3E6B" w:rsidR="00681046" w:rsidRDefault="62DD071E" w:rsidP="00681046">
      <w:pPr>
        <w:rPr>
          <w:rFonts w:cs="Arial"/>
          <w:lang w:eastAsia="pt-BR"/>
        </w:rPr>
      </w:pPr>
      <w:r w:rsidRPr="62DD071E">
        <w:rPr>
          <w:rFonts w:cs="Arial"/>
          <w:lang w:eastAsia="pt-BR"/>
        </w:rPr>
        <w:t xml:space="preserve">Felipe </w:t>
      </w:r>
      <w:r w:rsidR="00850C25">
        <w:rPr>
          <w:rFonts w:cs="Arial"/>
          <w:lang w:eastAsia="pt-BR"/>
        </w:rPr>
        <w:t xml:space="preserve">da Silva </w:t>
      </w:r>
      <w:r w:rsidRPr="62DD071E">
        <w:rPr>
          <w:rFonts w:cs="Arial"/>
          <w:lang w:eastAsia="pt-BR"/>
        </w:rPr>
        <w:t xml:space="preserve">Modesto </w:t>
      </w:r>
    </w:p>
    <w:p w14:paraId="51A921A9" w14:textId="03F62FB2" w:rsidR="00681046" w:rsidRDefault="62DD071E" w:rsidP="00681046">
      <w:pPr>
        <w:rPr>
          <w:rFonts w:cs="Arial"/>
          <w:lang w:eastAsia="pt-BR"/>
        </w:rPr>
      </w:pPr>
      <w:r w:rsidRPr="62DD071E">
        <w:rPr>
          <w:rFonts w:cs="Arial"/>
          <w:lang w:eastAsia="pt-BR"/>
        </w:rPr>
        <w:t xml:space="preserve">Gabriel </w:t>
      </w:r>
      <w:proofErr w:type="spellStart"/>
      <w:r w:rsidRPr="62DD071E">
        <w:rPr>
          <w:rFonts w:cs="Arial"/>
          <w:lang w:eastAsia="pt-BR"/>
        </w:rPr>
        <w:t>Sturalli</w:t>
      </w:r>
      <w:proofErr w:type="spellEnd"/>
      <w:r w:rsidRPr="62DD071E">
        <w:rPr>
          <w:rFonts w:cs="Arial"/>
          <w:lang w:eastAsia="pt-BR"/>
        </w:rPr>
        <w:t xml:space="preserve"> </w:t>
      </w:r>
    </w:p>
    <w:p w14:paraId="6933C214" w14:textId="7BF66B78" w:rsidR="00E85F78" w:rsidRDefault="00E85F78" w:rsidP="62DD071E">
      <w:pPr>
        <w:rPr>
          <w:rFonts w:cs="Arial"/>
          <w:lang w:eastAsia="pt-BR"/>
        </w:rPr>
      </w:pPr>
      <w:r>
        <w:rPr>
          <w:rFonts w:cs="Arial"/>
          <w:lang w:eastAsia="pt-BR"/>
        </w:rPr>
        <w:t>Leandro Mesquita de Souza</w:t>
      </w:r>
    </w:p>
    <w:p w14:paraId="3548F313" w14:textId="4017B97D" w:rsidR="62DD071E" w:rsidRDefault="62DD071E" w:rsidP="62DD071E">
      <w:pPr>
        <w:rPr>
          <w:rFonts w:cs="Arial"/>
          <w:lang w:eastAsia="pt-BR"/>
        </w:rPr>
      </w:pPr>
      <w:r w:rsidRPr="62DD071E">
        <w:rPr>
          <w:rFonts w:cs="Arial"/>
          <w:lang w:eastAsia="pt-BR"/>
        </w:rPr>
        <w:t xml:space="preserve">Lívia </w:t>
      </w:r>
      <w:r w:rsidR="293AD26E" w:rsidRPr="293AD26E">
        <w:rPr>
          <w:rFonts w:cs="Arial"/>
          <w:lang w:eastAsia="pt-BR"/>
        </w:rPr>
        <w:t xml:space="preserve">de Pieri </w:t>
      </w:r>
      <w:r w:rsidRPr="62DD071E">
        <w:rPr>
          <w:rFonts w:cs="Arial"/>
          <w:lang w:eastAsia="pt-BR"/>
        </w:rPr>
        <w:t xml:space="preserve">Cardozo </w:t>
      </w:r>
    </w:p>
    <w:p w14:paraId="10FE913A" w14:textId="5E556AEF" w:rsidR="62DD071E" w:rsidRDefault="62DD071E" w:rsidP="62DD071E">
      <w:pPr>
        <w:rPr>
          <w:rFonts w:cs="Arial"/>
          <w:lang w:eastAsia="pt-BR"/>
        </w:rPr>
      </w:pPr>
      <w:r w:rsidRPr="62DD071E">
        <w:rPr>
          <w:rFonts w:cs="Arial"/>
          <w:lang w:eastAsia="pt-BR"/>
        </w:rPr>
        <w:t>Rafael Rocha</w:t>
      </w:r>
      <w:r w:rsidR="00E85F78">
        <w:rPr>
          <w:rFonts w:cs="Arial"/>
          <w:lang w:eastAsia="pt-BR"/>
        </w:rPr>
        <w:t xml:space="preserve"> Rodrigues</w:t>
      </w:r>
    </w:p>
    <w:p w14:paraId="7829EA5F" w14:textId="77777777" w:rsidR="00681046" w:rsidRDefault="00681046" w:rsidP="00681046">
      <w:pPr>
        <w:pStyle w:val="Ttulo1"/>
      </w:pPr>
      <w:r>
        <w:t>Termo de isenção de responsabilidade: Extensão</w:t>
      </w:r>
    </w:p>
    <w:p w14:paraId="27A747DA" w14:textId="4B5AFF5D" w:rsidR="000F3C27" w:rsidRDefault="00681046" w:rsidP="00681046">
      <w:pPr>
        <w:jc w:val="both"/>
        <w:rPr>
          <w:rFonts w:cs="Arial"/>
          <w:sz w:val="16"/>
          <w:szCs w:val="16"/>
          <w:lang w:eastAsia="pt-BR"/>
        </w:rPr>
      </w:pPr>
      <w:r w:rsidRPr="00681046">
        <w:rPr>
          <w:rFonts w:cs="Arial"/>
          <w:sz w:val="16"/>
          <w:szCs w:val="16"/>
          <w:lang w:eastAsia="pt-BR"/>
        </w:rPr>
        <w:t>O presente documento foi elaborado pelos autores como parte das atividades de extensão obrigatórias para sua formação acadêmica. As informações, análises, interpretações e opiniões aqui expressas são de responsabilidade exclusiva do(s) autor(es) e não refletem a posição da Fundação Escola de Comércio Álvares Penteado (FECAP), seus gestores, professores ou do Centro de Estudos em Conjuntura Econômica (CECON) e seus membros. Os autores afirmam que empregaram os melhores esforços na sua produção e que não cometeram quaisquer crimes ou práticas desleais acadêmicas, como plágio, na sua elaboração. O CECON e a FECAP não se responsabilizam por quaisquer decisões econômicas ou de investimento tomadas com base nas informações deste relatório. O conteúdo deste relatório é livre, não podendo ser comercializado ou monetizado por terceiros de nenhuma forma. Este conteúdo possui caráter exclusivamente informativo e não deverá ser usado para constituir qualquer decisão de compra ou venda de ativos ou produtos ou de investimento.</w:t>
      </w:r>
    </w:p>
    <w:p w14:paraId="7D038306" w14:textId="77777777" w:rsidR="000F3C27" w:rsidRDefault="000F3C27">
      <w:pPr>
        <w:rPr>
          <w:rFonts w:cs="Arial"/>
          <w:sz w:val="16"/>
          <w:szCs w:val="16"/>
          <w:lang w:eastAsia="pt-BR"/>
        </w:rPr>
      </w:pPr>
      <w:r>
        <w:rPr>
          <w:rFonts w:cs="Arial"/>
          <w:sz w:val="16"/>
          <w:szCs w:val="16"/>
          <w:lang w:eastAsia="pt-BR"/>
        </w:rPr>
        <w:br w:type="page"/>
      </w:r>
    </w:p>
    <w:p w14:paraId="73A2DC9E" w14:textId="6878BCAF" w:rsidR="00281D85" w:rsidRDefault="00281D85" w:rsidP="00281D85">
      <w:pPr>
        <w:jc w:val="center"/>
        <w:rPr>
          <w:rFonts w:cs="Arial"/>
          <w:noProof/>
          <w:lang w:eastAsia="pt-BR"/>
        </w:rPr>
      </w:pPr>
      <w:r w:rsidRPr="00281D85">
        <w:rPr>
          <w:rFonts w:ascii="Dosis" w:eastAsiaTheme="majorEastAsia" w:hAnsi="Dosis" w:cstheme="majorBidi"/>
          <w:b/>
          <w:bCs/>
          <w:color w:val="01A77F"/>
          <w:sz w:val="32"/>
          <w:szCs w:val="32"/>
        </w:rPr>
        <w:lastRenderedPageBreak/>
        <w:t xml:space="preserve">Análise da Ata da Reunião do Comitê de Política Monetária </w:t>
      </w:r>
    </w:p>
    <w:p w14:paraId="5D128D68" w14:textId="77777777" w:rsidR="00E85F78" w:rsidRDefault="00D63592" w:rsidP="293AD26E">
      <w:pPr>
        <w:pStyle w:val="font-claude-response-body"/>
        <w:jc w:val="both"/>
        <w:rPr>
          <w:rStyle w:val="Forte"/>
          <w:rFonts w:ascii="Poppins" w:eastAsia="Poppins" w:hAnsi="Poppins" w:cs="Poppins"/>
          <w:b w:val="0"/>
          <w:sz w:val="22"/>
          <w:szCs w:val="22"/>
        </w:rPr>
      </w:pPr>
      <w:r w:rsidRPr="293AD26E">
        <w:rPr>
          <w:rStyle w:val="Forte"/>
          <w:rFonts w:ascii="Poppins" w:eastAsia="Poppins" w:hAnsi="Poppins" w:cs="Poppins"/>
          <w:b w:val="0"/>
          <w:sz w:val="22"/>
          <w:szCs w:val="22"/>
        </w:rPr>
        <w:t>O cenário econômico atual passa por certas instabilidades devido ao cenário americano, que permanece incerto, tendo em vista a guerra comercial entre o Brasil e os EUA, o qual está passando por um período de incerteza ocasionado pelo recente shutdown (a paralisação do governo que ocorre caso o orçamento para o ano fiscal seguinte não seja aprovado até 30 de setembro). Em relação ao cenário doméstico, houve uma melhora substancial em alguns indicadores, conforme esperado pelo Banco Central, porém a inflação segue acima da meta estipulada tanto no cenário de 2025 quanto no cenário de 2026.</w:t>
      </w:r>
    </w:p>
    <w:p w14:paraId="0492370F" w14:textId="4C07AA06" w:rsidR="00D63592" w:rsidRPr="00F221C9" w:rsidRDefault="00D63592" w:rsidP="293AD26E">
      <w:pPr>
        <w:pStyle w:val="font-claude-response-body"/>
        <w:jc w:val="both"/>
        <w:rPr>
          <w:rStyle w:val="Forte"/>
          <w:rFonts w:ascii="Poppins" w:eastAsia="Poppins" w:hAnsi="Poppins" w:cs="Poppins"/>
          <w:b w:val="0"/>
          <w:sz w:val="22"/>
          <w:szCs w:val="22"/>
        </w:rPr>
      </w:pPr>
      <w:r w:rsidRPr="293AD26E">
        <w:rPr>
          <w:rStyle w:val="Forte"/>
          <w:rFonts w:ascii="Poppins" w:eastAsia="Poppins" w:hAnsi="Poppins" w:cs="Poppins"/>
          <w:b w:val="0"/>
          <w:sz w:val="22"/>
          <w:szCs w:val="22"/>
        </w:rPr>
        <w:t>Nos últimos meses, alguns dados trouxeram alívio: a inflação caiu e a economia está crescendo em um ritmo mais controlado. Porém, o Banco Central ainda mantém cautela, tendo em vista que o mercado ainda acredita que a inflação se manterá acima da meta nos anos de 2025 e 2026. As previsões, de acordo com o boletim FOCUS, apontam 4,5% em 2025 e 4,2% em 2026</w:t>
      </w:r>
      <w:r w:rsidR="00FB0C73">
        <w:rPr>
          <w:rStyle w:val="Forte"/>
          <w:rFonts w:ascii="Poppins" w:eastAsia="Poppins" w:hAnsi="Poppins" w:cs="Poppins"/>
          <w:b w:val="0"/>
          <w:sz w:val="22"/>
          <w:szCs w:val="22"/>
        </w:rPr>
        <w:t xml:space="preserve">, </w:t>
      </w:r>
      <w:r w:rsidRPr="293AD26E">
        <w:rPr>
          <w:rStyle w:val="Forte"/>
          <w:rFonts w:ascii="Poppins" w:eastAsia="Poppins" w:hAnsi="Poppins" w:cs="Poppins"/>
          <w:b w:val="0"/>
          <w:sz w:val="22"/>
          <w:szCs w:val="22"/>
        </w:rPr>
        <w:t>bem longe da meta de 3% estabelecida. Essa desancoragem das expectativas de inflação é especialmente preocupante, pois quando empresas e consumidores não acreditam que a inflação voltará à meta, eles ajustam seus preços e salários de forma mais agressiva, criando um ciclo que torna o controle inflacionário mais custoso em termos de atividade econômica.</w:t>
      </w:r>
    </w:p>
    <w:p w14:paraId="7856FF88" w14:textId="7FC47E7E" w:rsidR="00D63592" w:rsidRPr="00F221C9" w:rsidRDefault="00D63592" w:rsidP="293AD26E">
      <w:pPr>
        <w:pStyle w:val="font-claude-response-body"/>
        <w:jc w:val="both"/>
        <w:rPr>
          <w:rStyle w:val="Forte"/>
          <w:rFonts w:ascii="Poppins" w:eastAsia="Poppins" w:hAnsi="Poppins" w:cs="Poppins"/>
          <w:b w:val="0"/>
          <w:sz w:val="22"/>
          <w:szCs w:val="22"/>
        </w:rPr>
      </w:pPr>
      <w:r w:rsidRPr="293AD26E">
        <w:rPr>
          <w:rStyle w:val="Forte"/>
          <w:rFonts w:ascii="Poppins" w:eastAsia="Poppins" w:hAnsi="Poppins" w:cs="Poppins"/>
          <w:b w:val="0"/>
          <w:sz w:val="22"/>
          <w:szCs w:val="22"/>
        </w:rPr>
        <w:t>Outro fator importante é o mercado de trabalho, que continua resiliente, com baixo desemprego e aumento de salários. Esse cenário sugere que o hiato do produto</w:t>
      </w:r>
      <w:r w:rsidR="00C42DCC">
        <w:rPr>
          <w:rStyle w:val="Forte"/>
          <w:rFonts w:ascii="Poppins" w:eastAsia="Poppins" w:hAnsi="Poppins" w:cs="Poppins"/>
          <w:b w:val="0"/>
          <w:sz w:val="22"/>
          <w:szCs w:val="22"/>
        </w:rPr>
        <w:t xml:space="preserve">, que é </w:t>
      </w:r>
      <w:r w:rsidRPr="293AD26E">
        <w:rPr>
          <w:rStyle w:val="Forte"/>
          <w:rFonts w:ascii="Poppins" w:eastAsia="Poppins" w:hAnsi="Poppins" w:cs="Poppins"/>
          <w:b w:val="0"/>
          <w:sz w:val="22"/>
          <w:szCs w:val="22"/>
        </w:rPr>
        <w:t>a diferença entre o que a economia está produzindo e seu potencial máximo</w:t>
      </w:r>
      <w:r w:rsidR="00C42DCC">
        <w:rPr>
          <w:rStyle w:val="Forte"/>
          <w:rFonts w:ascii="Poppins" w:eastAsia="Poppins" w:hAnsi="Poppins" w:cs="Poppins"/>
          <w:b w:val="0"/>
          <w:sz w:val="22"/>
          <w:szCs w:val="22"/>
        </w:rPr>
        <w:t>,</w:t>
      </w:r>
      <w:r w:rsidRPr="293AD26E">
        <w:rPr>
          <w:rStyle w:val="Forte"/>
          <w:rFonts w:ascii="Poppins" w:eastAsia="Poppins" w:hAnsi="Poppins" w:cs="Poppins"/>
          <w:b w:val="0"/>
          <w:sz w:val="22"/>
          <w:szCs w:val="22"/>
        </w:rPr>
        <w:t xml:space="preserve"> ainda está positivo, ou seja, a demanda agregada segue pressionando a capacidade produtiva do país. Isso causa aumento de preços, principalmente no setor de serviços, que é mais sensível às condições do mercado de trabalho. Enquanto isso, setores que dependem mais de crédito e são sensíveis às condições financeiras, como imóveis e carros, já sentem o peso dos juros altos e estão desacelerando, demonstrando que os canais de transmissão da política monetária estão funcionando.</w:t>
      </w:r>
    </w:p>
    <w:p w14:paraId="3C95F061" w14:textId="77777777" w:rsidR="00D63592" w:rsidRPr="00F221C9" w:rsidRDefault="00D63592" w:rsidP="293AD26E">
      <w:pPr>
        <w:pStyle w:val="font-claude-response-body"/>
        <w:jc w:val="both"/>
        <w:rPr>
          <w:rStyle w:val="Forte"/>
          <w:rFonts w:ascii="Poppins" w:eastAsia="Poppins" w:hAnsi="Poppins" w:cs="Poppins"/>
          <w:b w:val="0"/>
          <w:sz w:val="22"/>
          <w:szCs w:val="22"/>
        </w:rPr>
      </w:pPr>
      <w:r w:rsidRPr="293AD26E">
        <w:rPr>
          <w:rStyle w:val="Forte"/>
          <w:rFonts w:ascii="Poppins" w:eastAsia="Poppins" w:hAnsi="Poppins" w:cs="Poppins"/>
          <w:b w:val="0"/>
          <w:sz w:val="22"/>
          <w:szCs w:val="22"/>
        </w:rPr>
        <w:t xml:space="preserve">Outro tema que voltou com força nas discussões foi a questão fiscal. O Copom deixou claro que não adianta o Banco Central fazer sua parte se o governo não controlar melhor os gastos públicos. A falta de reformas estruturais e as dúvidas sobre a sustentabilidade da dívida pública acabam </w:t>
      </w:r>
      <w:r w:rsidRPr="293AD26E">
        <w:rPr>
          <w:rStyle w:val="Forte"/>
          <w:rFonts w:ascii="Poppins" w:eastAsia="Poppins" w:hAnsi="Poppins" w:cs="Poppins"/>
          <w:b w:val="0"/>
          <w:sz w:val="22"/>
          <w:szCs w:val="22"/>
        </w:rPr>
        <w:lastRenderedPageBreak/>
        <w:t>elevando o prêmio de risco da economia brasileira e forçando os juros a ficarem mais altos do que o necessário. O debate do comitê evidenciou, novamente, que políticas fiscais e monetárias devem seguir o mesmo caminho para que o ajuste macroeconômico seja eficiente.</w:t>
      </w:r>
    </w:p>
    <w:p w14:paraId="5F338956" w14:textId="77777777" w:rsidR="00D63592" w:rsidRPr="00F221C9" w:rsidRDefault="00D63592" w:rsidP="293AD26E">
      <w:pPr>
        <w:pStyle w:val="font-claude-response-body"/>
        <w:jc w:val="both"/>
        <w:rPr>
          <w:rStyle w:val="Forte"/>
          <w:rFonts w:ascii="Poppins" w:eastAsia="Poppins" w:hAnsi="Poppins" w:cs="Poppins"/>
          <w:b w:val="0"/>
          <w:sz w:val="22"/>
          <w:szCs w:val="22"/>
        </w:rPr>
      </w:pPr>
      <w:r w:rsidRPr="293AD26E">
        <w:rPr>
          <w:rStyle w:val="Forte"/>
          <w:rFonts w:ascii="Poppins" w:eastAsia="Poppins" w:hAnsi="Poppins" w:cs="Poppins"/>
          <w:b w:val="0"/>
          <w:sz w:val="22"/>
          <w:szCs w:val="22"/>
        </w:rPr>
        <w:t>Recentemente, o real se valorizou um pouco à frente do dólar, o que ajuda a segurar os preços de produtos importados e alimentos através do canal cambial, um dos principais mecanismos de transmissão da inflação externa para a economia doméstica. Porém, essa apreciação cambial está mais relacionada com o diferencial de juros entre o Brasil e o resto do mundo e com a depreciação generalizada do dólar do que com fundamentos sólidos. Se o cenário externo mudar, esse movimento pode se reverter rapidamente, gerando pressões inflacionárias por meio do câmbio.</w:t>
      </w:r>
    </w:p>
    <w:p w14:paraId="572888C0" w14:textId="2A1E2D5D" w:rsidR="00D63592" w:rsidRDefault="0D028765" w:rsidP="293AD26E">
      <w:pPr>
        <w:pStyle w:val="font-claude-response-body"/>
        <w:jc w:val="both"/>
        <w:rPr>
          <w:rStyle w:val="Forte"/>
          <w:rFonts w:ascii="Poppins" w:eastAsia="Poppins" w:hAnsi="Poppins" w:cs="Poppins"/>
          <w:b w:val="0"/>
          <w:bCs w:val="0"/>
          <w:sz w:val="22"/>
          <w:szCs w:val="22"/>
        </w:rPr>
      </w:pPr>
      <w:r w:rsidRPr="0D028765">
        <w:rPr>
          <w:rStyle w:val="Forte"/>
          <w:rFonts w:ascii="Poppins" w:eastAsia="Poppins" w:hAnsi="Poppins" w:cs="Poppins"/>
          <w:b w:val="0"/>
          <w:bCs w:val="0"/>
          <w:sz w:val="22"/>
          <w:szCs w:val="22"/>
        </w:rPr>
        <w:t>Em última instância, o Bacen sinaliza que a manutenção da Selic no nível atual é, no momento, a postura adequada, sem indicação de necessidade de aperto adicional. A política monetária já em território contracionista continuará sendo fundamental para promover o desaquecimento da demanda agregada. Enquanto não houver a percepção de que a inflação vai convergir para a meta e diante de um cenário externo incerto, não haverá espaço para praticar uma política monetária menos restritiva. Os próximos passos vão depender de como será a evolução de quatro elementos principais: o ritmo da atividade econômica, o comportamento do câmbio e seu repasse para os preços domésticos, as expectativas de inflação por parte do mercado e se a política fiscal por parte do governo federal seguirá caminhos harmoniosos com a política monetária.​​​​​​​​​​​​​​​​</w:t>
      </w:r>
    </w:p>
    <w:p w14:paraId="1750DF86" w14:textId="136B4F8C" w:rsidR="293AD26E" w:rsidRDefault="293AD26E" w:rsidP="293AD26E">
      <w:pPr>
        <w:pStyle w:val="font-claude-response-body"/>
        <w:jc w:val="both"/>
        <w:rPr>
          <w:rStyle w:val="Forte"/>
          <w:rFonts w:ascii="Poppins" w:eastAsia="Poppins" w:hAnsi="Poppins" w:cs="Poppins"/>
          <w:b w:val="0"/>
          <w:bCs w:val="0"/>
          <w:sz w:val="22"/>
          <w:szCs w:val="22"/>
        </w:rPr>
      </w:pPr>
    </w:p>
    <w:p w14:paraId="02A2F1ED" w14:textId="3DA622EC" w:rsidR="000F3C27" w:rsidRPr="00852C04" w:rsidRDefault="000F3C27" w:rsidP="000F3C27">
      <w:pPr>
        <w:jc w:val="both"/>
        <w:rPr>
          <w:rFonts w:ascii="Dosis" w:eastAsiaTheme="majorEastAsia" w:hAnsi="Dosis" w:cstheme="majorBidi"/>
          <w:noProof/>
          <w:color w:val="01A77F"/>
          <w:sz w:val="26"/>
          <w:szCs w:val="26"/>
          <w:lang w:eastAsia="pt-BR"/>
        </w:rPr>
      </w:pPr>
      <w:r w:rsidRPr="00852C04">
        <w:rPr>
          <w:rFonts w:ascii="Dosis" w:eastAsiaTheme="majorEastAsia" w:hAnsi="Dosis" w:cstheme="majorBidi"/>
          <w:noProof/>
          <w:color w:val="01A77F"/>
          <w:sz w:val="26"/>
          <w:szCs w:val="26"/>
          <w:lang w:eastAsia="pt-BR"/>
        </w:rPr>
        <w:t xml:space="preserve">Evolução </w:t>
      </w:r>
      <w:r w:rsidR="00852C04" w:rsidRPr="00852C04">
        <w:rPr>
          <w:rFonts w:ascii="Dosis" w:eastAsiaTheme="majorEastAsia" w:hAnsi="Dosis" w:cstheme="majorBidi"/>
          <w:noProof/>
          <w:color w:val="01A77F"/>
          <w:sz w:val="26"/>
          <w:szCs w:val="26"/>
          <w:lang w:eastAsia="pt-BR"/>
        </w:rPr>
        <w:t xml:space="preserve">da Série Dessazonalizada da Produção Industrial – IBGE </w:t>
      </w:r>
    </w:p>
    <w:p w14:paraId="27796D00" w14:textId="0A8EFA1F" w:rsidR="293AD26E" w:rsidRDefault="62DD071E" w:rsidP="293AD26E">
      <w:pPr>
        <w:jc w:val="both"/>
      </w:pPr>
      <w:r>
        <w:t xml:space="preserve">Para a tomada de decisões macroeconômicas, o Banco Central do Brasil leva em consideração o nível de atividade da indústria brasileira, no que tange </w:t>
      </w:r>
      <w:proofErr w:type="spellStart"/>
      <w:r>
        <w:t>a</w:t>
      </w:r>
      <w:proofErr w:type="spellEnd"/>
      <w:r>
        <w:t xml:space="preserve"> produção de mercadorias, serviços de produção industriais e serviços instalação, manutenção e reparação de máquinas e equipamentos. Os dados de produção industrial são medidos mensalmente e representados em um número índice, gerados pelo Instituto Brasileiro de Geografia e Estatística (IBGE), que realiza o chamado “ajuste sazonal”, que remove o fator sazonal da série de produção analisada, pela variação que ela pode sofrer </w:t>
      </w:r>
      <w:r>
        <w:lastRenderedPageBreak/>
        <w:t>por fatores de mercado em determinadas épocas do ano, como o aumento da demanda por mercadorias durante o período de Natal. A seguir, apresentaremos uma breve análise dos índices de produção industrial para os meses de janeiro de 2024 a junho de 2025, considerando a série dessazonalizada (com o ajuste sazonal) do IBGE.</w:t>
      </w:r>
    </w:p>
    <w:p w14:paraId="393785A2" w14:textId="77777777" w:rsidR="00EA4294" w:rsidRPr="00587D1D" w:rsidRDefault="00144602" w:rsidP="000F3C27">
      <w:pPr>
        <w:rPr>
          <w:rFonts w:ascii="Dosis" w:hAnsi="Dosis"/>
          <w:color w:val="01A77F"/>
        </w:rPr>
      </w:pPr>
      <w:r w:rsidRPr="00587D1D">
        <w:rPr>
          <w:rFonts w:ascii="Dosis" w:hAnsi="Dosis"/>
          <w:color w:val="01A77F"/>
          <w:sz w:val="28"/>
          <w:szCs w:val="28"/>
        </w:rPr>
        <w:t xml:space="preserve">Tabela: </w:t>
      </w:r>
      <w:r w:rsidR="00D513DE" w:rsidRPr="00113612">
        <w:rPr>
          <w:rFonts w:ascii="Dosis" w:hAnsi="Dosis"/>
          <w:color w:val="01A77F"/>
          <w:sz w:val="28"/>
          <w:szCs w:val="28"/>
        </w:rPr>
        <w:t>Índice de Produção Industrial – Série Dessazonalizada (IBGE)</w:t>
      </w:r>
    </w:p>
    <w:tbl>
      <w:tblPr>
        <w:tblW w:w="9040" w:type="dxa"/>
        <w:tblCellMar>
          <w:left w:w="70" w:type="dxa"/>
          <w:right w:w="70" w:type="dxa"/>
        </w:tblCellMar>
        <w:tblLook w:val="04A0" w:firstRow="1" w:lastRow="0" w:firstColumn="1" w:lastColumn="0" w:noHBand="0" w:noVBand="1"/>
      </w:tblPr>
      <w:tblGrid>
        <w:gridCol w:w="1100"/>
        <w:gridCol w:w="7940"/>
      </w:tblGrid>
      <w:tr w:rsidR="00EA4294" w:rsidRPr="00EA4294" w14:paraId="0B5B9E78" w14:textId="77777777" w:rsidTr="00EA4294">
        <w:trPr>
          <w:trHeight w:val="420"/>
        </w:trPr>
        <w:tc>
          <w:tcPr>
            <w:tcW w:w="1100" w:type="dxa"/>
            <w:tcBorders>
              <w:top w:val="single" w:sz="4" w:space="0" w:color="auto"/>
              <w:left w:val="single" w:sz="4" w:space="0" w:color="auto"/>
              <w:bottom w:val="single" w:sz="4" w:space="0" w:color="auto"/>
              <w:right w:val="single" w:sz="4" w:space="0" w:color="auto"/>
            </w:tcBorders>
            <w:noWrap/>
            <w:vAlign w:val="center"/>
            <w:hideMark/>
          </w:tcPr>
          <w:p w14:paraId="220E664E" w14:textId="77777777" w:rsidR="00EA4294" w:rsidRPr="00EA4294" w:rsidRDefault="00EA4294" w:rsidP="00EA4294">
            <w:pPr>
              <w:spacing w:after="0" w:line="240" w:lineRule="auto"/>
              <w:jc w:val="center"/>
              <w:rPr>
                <w:rFonts w:ascii="Dosis" w:eastAsia="Times New Roman" w:hAnsi="Dosis" w:cs="Times New Roman"/>
                <w:color w:val="01A77F"/>
                <w:sz w:val="28"/>
                <w:szCs w:val="28"/>
                <w:lang w:eastAsia="pt-BR"/>
              </w:rPr>
            </w:pPr>
            <w:r w:rsidRPr="00EA4294">
              <w:rPr>
                <w:rFonts w:ascii="Dosis" w:eastAsia="Times New Roman" w:hAnsi="Dosis" w:cs="Times New Roman"/>
                <w:color w:val="01A77F"/>
                <w:sz w:val="28"/>
                <w:szCs w:val="28"/>
                <w:lang w:eastAsia="pt-BR"/>
              </w:rPr>
              <w:t xml:space="preserve">Data </w:t>
            </w:r>
          </w:p>
        </w:tc>
        <w:tc>
          <w:tcPr>
            <w:tcW w:w="7940" w:type="dxa"/>
            <w:tcBorders>
              <w:top w:val="single" w:sz="4" w:space="0" w:color="auto"/>
              <w:left w:val="nil"/>
              <w:bottom w:val="single" w:sz="4" w:space="0" w:color="auto"/>
              <w:right w:val="single" w:sz="4" w:space="0" w:color="auto"/>
            </w:tcBorders>
            <w:noWrap/>
            <w:vAlign w:val="center"/>
            <w:hideMark/>
          </w:tcPr>
          <w:p w14:paraId="1D7778A2" w14:textId="23D86F19" w:rsidR="00EA4294" w:rsidRPr="00EA4294" w:rsidRDefault="009D6FDD" w:rsidP="00EA4294">
            <w:pPr>
              <w:spacing w:after="0" w:line="240" w:lineRule="auto"/>
              <w:jc w:val="center"/>
              <w:rPr>
                <w:rFonts w:ascii="Dosis" w:eastAsia="Times New Roman" w:hAnsi="Dosis" w:cs="Times New Roman"/>
                <w:color w:val="01A77F"/>
                <w:sz w:val="28"/>
                <w:szCs w:val="28"/>
                <w:lang w:eastAsia="pt-BR"/>
              </w:rPr>
            </w:pPr>
            <w:r>
              <w:rPr>
                <w:rFonts w:ascii="Dosis" w:eastAsia="Times New Roman" w:hAnsi="Dosis" w:cs="Times New Roman"/>
                <w:color w:val="01A77F"/>
                <w:sz w:val="28"/>
                <w:szCs w:val="28"/>
                <w:lang w:eastAsia="pt-BR"/>
              </w:rPr>
              <w:t xml:space="preserve">Número </w:t>
            </w:r>
            <w:r w:rsidR="00EA4294" w:rsidRPr="00EA4294">
              <w:rPr>
                <w:rFonts w:ascii="Dosis" w:eastAsia="Times New Roman" w:hAnsi="Dosis" w:cs="Times New Roman"/>
                <w:color w:val="01A77F"/>
                <w:sz w:val="28"/>
                <w:szCs w:val="28"/>
                <w:lang w:eastAsia="pt-BR"/>
              </w:rPr>
              <w:t xml:space="preserve">Índice de Produção Industrial – Série Dessazonalizada (IBGE) </w:t>
            </w:r>
          </w:p>
        </w:tc>
      </w:tr>
      <w:tr w:rsidR="00EA4294" w:rsidRPr="00EA4294" w14:paraId="3ACF7817" w14:textId="77777777" w:rsidTr="00EA4294">
        <w:trPr>
          <w:trHeight w:val="420"/>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54DB1D3C"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2024.01</w:t>
            </w:r>
          </w:p>
        </w:tc>
        <w:tc>
          <w:tcPr>
            <w:tcW w:w="7940" w:type="dxa"/>
            <w:tcBorders>
              <w:top w:val="nil"/>
              <w:left w:val="nil"/>
              <w:bottom w:val="single" w:sz="4" w:space="0" w:color="auto"/>
              <w:right w:val="single" w:sz="4" w:space="0" w:color="auto"/>
            </w:tcBorders>
            <w:shd w:val="clear" w:color="000000" w:fill="FFFFFF"/>
            <w:vAlign w:val="center"/>
            <w:hideMark/>
          </w:tcPr>
          <w:p w14:paraId="74FD771D"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101,55</w:t>
            </w:r>
          </w:p>
        </w:tc>
      </w:tr>
      <w:tr w:rsidR="00EA4294" w:rsidRPr="00EA4294" w14:paraId="63FAFF40"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443EDB34"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2024.02</w:t>
            </w:r>
          </w:p>
        </w:tc>
        <w:tc>
          <w:tcPr>
            <w:tcW w:w="7940" w:type="dxa"/>
            <w:tcBorders>
              <w:top w:val="nil"/>
              <w:left w:val="nil"/>
              <w:bottom w:val="single" w:sz="4" w:space="0" w:color="auto"/>
              <w:right w:val="single" w:sz="4" w:space="0" w:color="auto"/>
            </w:tcBorders>
            <w:shd w:val="clear" w:color="000000" w:fill="FFFFFF"/>
            <w:vAlign w:val="center"/>
            <w:hideMark/>
          </w:tcPr>
          <w:p w14:paraId="3A6C335B"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101,79</w:t>
            </w:r>
          </w:p>
        </w:tc>
      </w:tr>
      <w:tr w:rsidR="00EA4294" w:rsidRPr="00EA4294" w14:paraId="17369286"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2F1F283F"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2024.03</w:t>
            </w:r>
          </w:p>
        </w:tc>
        <w:tc>
          <w:tcPr>
            <w:tcW w:w="7940" w:type="dxa"/>
            <w:tcBorders>
              <w:top w:val="nil"/>
              <w:left w:val="nil"/>
              <w:bottom w:val="single" w:sz="4" w:space="0" w:color="auto"/>
              <w:right w:val="single" w:sz="4" w:space="0" w:color="auto"/>
            </w:tcBorders>
            <w:shd w:val="clear" w:color="000000" w:fill="FFFFFF"/>
            <w:vAlign w:val="center"/>
            <w:hideMark/>
          </w:tcPr>
          <w:p w14:paraId="5957C53D"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102,28</w:t>
            </w:r>
          </w:p>
        </w:tc>
      </w:tr>
      <w:tr w:rsidR="00EA4294" w:rsidRPr="00EA4294" w14:paraId="61F8C021"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239FDE98"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2024.04</w:t>
            </w:r>
          </w:p>
        </w:tc>
        <w:tc>
          <w:tcPr>
            <w:tcW w:w="7940" w:type="dxa"/>
            <w:tcBorders>
              <w:top w:val="nil"/>
              <w:left w:val="nil"/>
              <w:bottom w:val="single" w:sz="4" w:space="0" w:color="auto"/>
              <w:right w:val="single" w:sz="4" w:space="0" w:color="auto"/>
            </w:tcBorders>
            <w:shd w:val="clear" w:color="000000" w:fill="FFFFFF"/>
            <w:vAlign w:val="center"/>
            <w:hideMark/>
          </w:tcPr>
          <w:p w14:paraId="472B44BC"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101,88</w:t>
            </w:r>
          </w:p>
        </w:tc>
      </w:tr>
      <w:tr w:rsidR="00EA4294" w:rsidRPr="00EA4294" w14:paraId="28264682"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1EEF980B"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2024.05</w:t>
            </w:r>
          </w:p>
        </w:tc>
        <w:tc>
          <w:tcPr>
            <w:tcW w:w="7940" w:type="dxa"/>
            <w:tcBorders>
              <w:top w:val="nil"/>
              <w:left w:val="nil"/>
              <w:bottom w:val="single" w:sz="4" w:space="0" w:color="auto"/>
              <w:right w:val="single" w:sz="4" w:space="0" w:color="auto"/>
            </w:tcBorders>
            <w:shd w:val="clear" w:color="000000" w:fill="FFFFFF"/>
            <w:vAlign w:val="center"/>
            <w:hideMark/>
          </w:tcPr>
          <w:p w14:paraId="68A8A09B"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100,64</w:t>
            </w:r>
          </w:p>
        </w:tc>
      </w:tr>
      <w:tr w:rsidR="00EA4294" w:rsidRPr="00EA4294" w14:paraId="6304B205"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5F6BA7CA"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2024.06</w:t>
            </w:r>
          </w:p>
        </w:tc>
        <w:tc>
          <w:tcPr>
            <w:tcW w:w="7940" w:type="dxa"/>
            <w:tcBorders>
              <w:top w:val="nil"/>
              <w:left w:val="nil"/>
              <w:bottom w:val="single" w:sz="4" w:space="0" w:color="auto"/>
              <w:right w:val="single" w:sz="4" w:space="0" w:color="auto"/>
            </w:tcBorders>
            <w:shd w:val="clear" w:color="000000" w:fill="FFFFFF"/>
            <w:vAlign w:val="center"/>
            <w:hideMark/>
          </w:tcPr>
          <w:p w14:paraId="4010E3EC"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105,11</w:t>
            </w:r>
          </w:p>
        </w:tc>
      </w:tr>
      <w:tr w:rsidR="00EA4294" w:rsidRPr="00EA4294" w14:paraId="4C86E5CC"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462E4920"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2024.07</w:t>
            </w:r>
          </w:p>
        </w:tc>
        <w:tc>
          <w:tcPr>
            <w:tcW w:w="7940" w:type="dxa"/>
            <w:tcBorders>
              <w:top w:val="nil"/>
              <w:left w:val="nil"/>
              <w:bottom w:val="single" w:sz="4" w:space="0" w:color="auto"/>
              <w:right w:val="single" w:sz="4" w:space="0" w:color="auto"/>
            </w:tcBorders>
            <w:shd w:val="clear" w:color="000000" w:fill="FFFFFF"/>
            <w:vAlign w:val="center"/>
            <w:hideMark/>
          </w:tcPr>
          <w:p w14:paraId="78B82C42"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103,62</w:t>
            </w:r>
          </w:p>
        </w:tc>
      </w:tr>
      <w:tr w:rsidR="00EA4294" w:rsidRPr="00EA4294" w14:paraId="75C5DFA2"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6E2AACD5"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2024.08</w:t>
            </w:r>
          </w:p>
        </w:tc>
        <w:tc>
          <w:tcPr>
            <w:tcW w:w="7940" w:type="dxa"/>
            <w:tcBorders>
              <w:top w:val="nil"/>
              <w:left w:val="nil"/>
              <w:bottom w:val="single" w:sz="4" w:space="0" w:color="auto"/>
              <w:right w:val="single" w:sz="4" w:space="0" w:color="auto"/>
            </w:tcBorders>
            <w:shd w:val="clear" w:color="000000" w:fill="FFFFFF"/>
            <w:vAlign w:val="center"/>
            <w:hideMark/>
          </w:tcPr>
          <w:p w14:paraId="76354C87"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103,32</w:t>
            </w:r>
          </w:p>
        </w:tc>
      </w:tr>
      <w:tr w:rsidR="00EA4294" w:rsidRPr="00EA4294" w14:paraId="6FCD084D"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43214F26"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2024.09</w:t>
            </w:r>
          </w:p>
        </w:tc>
        <w:tc>
          <w:tcPr>
            <w:tcW w:w="7940" w:type="dxa"/>
            <w:tcBorders>
              <w:top w:val="nil"/>
              <w:left w:val="nil"/>
              <w:bottom w:val="single" w:sz="4" w:space="0" w:color="auto"/>
              <w:right w:val="single" w:sz="4" w:space="0" w:color="auto"/>
            </w:tcBorders>
            <w:shd w:val="clear" w:color="000000" w:fill="FFFFFF"/>
            <w:vAlign w:val="center"/>
            <w:hideMark/>
          </w:tcPr>
          <w:p w14:paraId="6FE64409"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104,39</w:t>
            </w:r>
          </w:p>
        </w:tc>
      </w:tr>
      <w:tr w:rsidR="00EA4294" w:rsidRPr="00EA4294" w14:paraId="776E1C9F"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27C455B4"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2024.10</w:t>
            </w:r>
          </w:p>
        </w:tc>
        <w:tc>
          <w:tcPr>
            <w:tcW w:w="7940" w:type="dxa"/>
            <w:tcBorders>
              <w:top w:val="nil"/>
              <w:left w:val="nil"/>
              <w:bottom w:val="single" w:sz="4" w:space="0" w:color="auto"/>
              <w:right w:val="single" w:sz="4" w:space="0" w:color="auto"/>
            </w:tcBorders>
            <w:shd w:val="clear" w:color="000000" w:fill="FFFFFF"/>
            <w:vAlign w:val="center"/>
            <w:hideMark/>
          </w:tcPr>
          <w:p w14:paraId="3218AB3D"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104,34</w:t>
            </w:r>
          </w:p>
        </w:tc>
      </w:tr>
      <w:tr w:rsidR="00EA4294" w:rsidRPr="00EA4294" w14:paraId="08811B76"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564CFB51"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2024.11</w:t>
            </w:r>
          </w:p>
        </w:tc>
        <w:tc>
          <w:tcPr>
            <w:tcW w:w="7940" w:type="dxa"/>
            <w:tcBorders>
              <w:top w:val="nil"/>
              <w:left w:val="nil"/>
              <w:bottom w:val="single" w:sz="4" w:space="0" w:color="auto"/>
              <w:right w:val="single" w:sz="4" w:space="0" w:color="auto"/>
            </w:tcBorders>
            <w:shd w:val="clear" w:color="000000" w:fill="FFFFFF"/>
            <w:vAlign w:val="center"/>
            <w:hideMark/>
          </w:tcPr>
          <w:p w14:paraId="6252407E"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103,59</w:t>
            </w:r>
          </w:p>
        </w:tc>
      </w:tr>
      <w:tr w:rsidR="00EA4294" w:rsidRPr="00EA4294" w14:paraId="7D5CF3D7"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5C0730BE"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2024.12</w:t>
            </w:r>
          </w:p>
        </w:tc>
        <w:tc>
          <w:tcPr>
            <w:tcW w:w="7940" w:type="dxa"/>
            <w:tcBorders>
              <w:top w:val="nil"/>
              <w:left w:val="nil"/>
              <w:bottom w:val="single" w:sz="4" w:space="0" w:color="auto"/>
              <w:right w:val="single" w:sz="4" w:space="0" w:color="auto"/>
            </w:tcBorders>
            <w:shd w:val="clear" w:color="000000" w:fill="FFFFFF"/>
            <w:vAlign w:val="center"/>
            <w:hideMark/>
          </w:tcPr>
          <w:p w14:paraId="1AE5CFAE"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103,17</w:t>
            </w:r>
          </w:p>
        </w:tc>
      </w:tr>
      <w:tr w:rsidR="00EA4294" w:rsidRPr="00EA4294" w14:paraId="76DF2C4B"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720370B2"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2025.01</w:t>
            </w:r>
          </w:p>
        </w:tc>
        <w:tc>
          <w:tcPr>
            <w:tcW w:w="7940" w:type="dxa"/>
            <w:tcBorders>
              <w:top w:val="nil"/>
              <w:left w:val="nil"/>
              <w:bottom w:val="single" w:sz="4" w:space="0" w:color="auto"/>
              <w:right w:val="single" w:sz="4" w:space="0" w:color="auto"/>
            </w:tcBorders>
            <w:shd w:val="clear" w:color="000000" w:fill="FFFFFF"/>
            <w:vAlign w:val="center"/>
            <w:hideMark/>
          </w:tcPr>
          <w:p w14:paraId="09074498"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103,34</w:t>
            </w:r>
          </w:p>
        </w:tc>
      </w:tr>
      <w:tr w:rsidR="00EA4294" w:rsidRPr="00EA4294" w14:paraId="7035EE54"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6AB33879"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2025.02</w:t>
            </w:r>
          </w:p>
        </w:tc>
        <w:tc>
          <w:tcPr>
            <w:tcW w:w="7940" w:type="dxa"/>
            <w:tcBorders>
              <w:top w:val="nil"/>
              <w:left w:val="nil"/>
              <w:bottom w:val="single" w:sz="4" w:space="0" w:color="auto"/>
              <w:right w:val="single" w:sz="4" w:space="0" w:color="auto"/>
            </w:tcBorders>
            <w:shd w:val="clear" w:color="000000" w:fill="FFFFFF"/>
            <w:vAlign w:val="center"/>
            <w:hideMark/>
          </w:tcPr>
          <w:p w14:paraId="788A6447"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103,34</w:t>
            </w:r>
          </w:p>
        </w:tc>
      </w:tr>
      <w:tr w:rsidR="00EA4294" w:rsidRPr="00EA4294" w14:paraId="3F429513"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6004F424"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2025.03</w:t>
            </w:r>
          </w:p>
        </w:tc>
        <w:tc>
          <w:tcPr>
            <w:tcW w:w="7940" w:type="dxa"/>
            <w:tcBorders>
              <w:top w:val="nil"/>
              <w:left w:val="nil"/>
              <w:bottom w:val="single" w:sz="4" w:space="0" w:color="auto"/>
              <w:right w:val="single" w:sz="4" w:space="0" w:color="auto"/>
            </w:tcBorders>
            <w:shd w:val="clear" w:color="000000" w:fill="FFFFFF"/>
            <w:vAlign w:val="center"/>
            <w:hideMark/>
          </w:tcPr>
          <w:p w14:paraId="3916EB03"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105,19</w:t>
            </w:r>
          </w:p>
        </w:tc>
      </w:tr>
      <w:tr w:rsidR="00EA4294" w:rsidRPr="00EA4294" w14:paraId="180AF968"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785DE293"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2025.04</w:t>
            </w:r>
          </w:p>
        </w:tc>
        <w:tc>
          <w:tcPr>
            <w:tcW w:w="7940" w:type="dxa"/>
            <w:tcBorders>
              <w:top w:val="nil"/>
              <w:left w:val="nil"/>
              <w:bottom w:val="single" w:sz="4" w:space="0" w:color="auto"/>
              <w:right w:val="single" w:sz="4" w:space="0" w:color="auto"/>
            </w:tcBorders>
            <w:shd w:val="clear" w:color="000000" w:fill="FFFFFF"/>
            <w:vAlign w:val="center"/>
            <w:hideMark/>
          </w:tcPr>
          <w:p w14:paraId="44CA1817"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104,46</w:t>
            </w:r>
          </w:p>
        </w:tc>
      </w:tr>
      <w:tr w:rsidR="00EA4294" w:rsidRPr="00EA4294" w14:paraId="5BF44374"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780ED675"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2025.05</w:t>
            </w:r>
          </w:p>
        </w:tc>
        <w:tc>
          <w:tcPr>
            <w:tcW w:w="7940" w:type="dxa"/>
            <w:tcBorders>
              <w:top w:val="nil"/>
              <w:left w:val="nil"/>
              <w:bottom w:val="single" w:sz="4" w:space="0" w:color="auto"/>
              <w:right w:val="single" w:sz="4" w:space="0" w:color="auto"/>
            </w:tcBorders>
            <w:shd w:val="clear" w:color="000000" w:fill="FFFFFF"/>
            <w:vAlign w:val="center"/>
            <w:hideMark/>
          </w:tcPr>
          <w:p w14:paraId="6C4631E0"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103,92</w:t>
            </w:r>
          </w:p>
        </w:tc>
      </w:tr>
      <w:tr w:rsidR="00EA4294" w:rsidRPr="00EA4294" w14:paraId="342FB4FB" w14:textId="77777777" w:rsidTr="00EA4294">
        <w:trPr>
          <w:trHeight w:val="408"/>
        </w:trPr>
        <w:tc>
          <w:tcPr>
            <w:tcW w:w="1100" w:type="dxa"/>
            <w:tcBorders>
              <w:top w:val="nil"/>
              <w:left w:val="single" w:sz="4" w:space="0" w:color="auto"/>
              <w:bottom w:val="single" w:sz="4" w:space="0" w:color="auto"/>
              <w:right w:val="single" w:sz="4" w:space="0" w:color="auto"/>
            </w:tcBorders>
            <w:shd w:val="clear" w:color="000000" w:fill="FFFFFF"/>
            <w:vAlign w:val="center"/>
            <w:hideMark/>
          </w:tcPr>
          <w:p w14:paraId="44CC9454" w14:textId="77777777" w:rsidR="00EA4294" w:rsidRPr="00EA4294" w:rsidRDefault="00EA4294" w:rsidP="00EA4294">
            <w:pPr>
              <w:spacing w:after="0" w:line="240" w:lineRule="auto"/>
              <w:rPr>
                <w:rFonts w:eastAsia="Times New Roman" w:cs="Poppins"/>
                <w:b/>
                <w:bCs/>
                <w:color w:val="000000"/>
                <w:lang w:eastAsia="pt-BR"/>
              </w:rPr>
            </w:pPr>
            <w:r w:rsidRPr="00EA4294">
              <w:rPr>
                <w:rFonts w:eastAsia="Times New Roman" w:cs="Poppins"/>
                <w:b/>
                <w:bCs/>
                <w:color w:val="000000"/>
                <w:lang w:eastAsia="pt-BR"/>
              </w:rPr>
              <w:t>2025.06</w:t>
            </w:r>
          </w:p>
        </w:tc>
        <w:tc>
          <w:tcPr>
            <w:tcW w:w="7940" w:type="dxa"/>
            <w:tcBorders>
              <w:top w:val="nil"/>
              <w:left w:val="nil"/>
              <w:bottom w:val="single" w:sz="4" w:space="0" w:color="auto"/>
              <w:right w:val="single" w:sz="4" w:space="0" w:color="auto"/>
            </w:tcBorders>
            <w:shd w:val="clear" w:color="000000" w:fill="FFFFFF"/>
            <w:vAlign w:val="center"/>
            <w:hideMark/>
          </w:tcPr>
          <w:p w14:paraId="77633686" w14:textId="77777777" w:rsidR="00EA4294" w:rsidRPr="00EA4294" w:rsidRDefault="00EA4294" w:rsidP="00EA4294">
            <w:pPr>
              <w:spacing w:after="0" w:line="240" w:lineRule="auto"/>
              <w:jc w:val="right"/>
              <w:rPr>
                <w:rFonts w:eastAsia="Times New Roman" w:cs="Poppins"/>
                <w:b/>
                <w:bCs/>
                <w:color w:val="000000"/>
                <w:lang w:eastAsia="pt-BR"/>
              </w:rPr>
            </w:pPr>
            <w:r w:rsidRPr="00EA4294">
              <w:rPr>
                <w:rFonts w:eastAsia="Times New Roman" w:cs="Poppins"/>
                <w:b/>
                <w:bCs/>
                <w:color w:val="000000"/>
                <w:lang w:eastAsia="pt-BR"/>
              </w:rPr>
              <w:t>104,00</w:t>
            </w:r>
          </w:p>
        </w:tc>
      </w:tr>
    </w:tbl>
    <w:p w14:paraId="20ED0C04" w14:textId="6293DAAE" w:rsidR="00587D1D" w:rsidRPr="000F2BBB" w:rsidRDefault="00113612" w:rsidP="000F3C27">
      <w:pPr>
        <w:rPr>
          <w:sz w:val="16"/>
          <w:szCs w:val="16"/>
        </w:rPr>
      </w:pPr>
      <w:r>
        <w:rPr>
          <w:sz w:val="16"/>
          <w:szCs w:val="16"/>
        </w:rPr>
        <w:t>Fonte: IBGE. Elaboração: FECAP</w:t>
      </w:r>
    </w:p>
    <w:p w14:paraId="6D97A42E" w14:textId="40F2BB83" w:rsidR="000F3C27" w:rsidRPr="005D42EA" w:rsidRDefault="62DD071E" w:rsidP="62DD071E">
      <w:pPr>
        <w:jc w:val="both"/>
      </w:pPr>
      <w:r>
        <w:t xml:space="preserve">No início de 2024, o índice situou-se em 101,55 pontos, indicando o nível base da produção. Em fevereiro e abril ocorreu um crescimento na produção, evidenciado pelos índices de 101,79 pontos e 102,28 pontos. Entretanto, o nível de produção industrial teve uma baixa nos meses de abril e maio, regredindo ao menor nível de 100,64 pontos. Em junho daquele ano, o índice saltou para </w:t>
      </w:r>
      <w:r>
        <w:lastRenderedPageBreak/>
        <w:t>105,11, marcando o pico máximo do período analisado, o que representou um aumento expressivo após a baixa de maio.</w:t>
      </w:r>
    </w:p>
    <w:p w14:paraId="14ECC297" w14:textId="0E711CF3" w:rsidR="0064287F" w:rsidRPr="005D42EA" w:rsidRDefault="62DD071E" w:rsidP="62DD071E">
      <w:pPr>
        <w:jc w:val="both"/>
      </w:pPr>
      <w:r>
        <w:t xml:space="preserve">Durante o segundo semestre de 2024, o índice teve uma queda quando comparado ao fim do primeiro semestre, com 103,62 pontos em julho e 103,32 pontos em agosto, ainda que se recuperasse ao fim do terceiro trimestre com uma leve alta na produção, evidenciada pelo índice de 104,39 pontos em setembro. Para o quarto semestre daquele ano, a produção industrial apresentou uma queda baixa em seus índices, mas contínuas e que se mantêm até o final de 2024, caindo para 103,17 pontos em dezembro. </w:t>
      </w:r>
    </w:p>
    <w:p w14:paraId="55623411" w14:textId="77777777" w:rsidR="00D4030C" w:rsidRDefault="62DD071E" w:rsidP="62DD071E">
      <w:pPr>
        <w:jc w:val="both"/>
        <w:rPr>
          <w:noProof/>
        </w:rPr>
      </w:pPr>
      <w:r>
        <w:t>Para o início de 2025, a produção industrial teve uma leve melhora, seguida de um momento de estagnação de 103,34 pontos para os meses de janeiro e fevereiro, vindo a melhorar de maneira forte no mês de março, com o índice de produção chegando à 105,19 pontos, o mais alto desde junho de 2024. Todavia, o mês de abril apresentou queda na produção, demonstrado pelo índice de 104,46 pontos, tal como maio, com seus 103,92 pontos. O primeiro semestre deste ano fechou com a produção em alta quando comparada aos dois meses anteriores, considerando o número índice de 104,00 pontos.</w:t>
      </w:r>
      <w:r w:rsidRPr="62DD071E">
        <w:rPr>
          <w:noProof/>
        </w:rPr>
        <w:t xml:space="preserve"> </w:t>
      </w:r>
    </w:p>
    <w:p w14:paraId="4855F229" w14:textId="7F9918DF" w:rsidR="003115F3" w:rsidRDefault="00476760" w:rsidP="000F3C27">
      <w:r>
        <w:rPr>
          <w:noProof/>
        </w:rPr>
        <w:drawing>
          <wp:inline distT="0" distB="0" distL="0" distR="0" wp14:anchorId="2F5C2191" wp14:editId="39269E80">
            <wp:extent cx="5400040" cy="2847975"/>
            <wp:effectExtent l="0" t="0" r="10160" b="9525"/>
            <wp:docPr id="1909248201" name="Gráfico 1">
              <a:extLst xmlns:a="http://schemas.openxmlformats.org/drawingml/2006/main">
                <a:ext uri="{FF2B5EF4-FFF2-40B4-BE49-F238E27FC236}">
                  <a16:creationId xmlns:a16="http://schemas.microsoft.com/office/drawing/2014/main" id="{7C81C6D2-E4A0-99B4-EC1E-EC1E201011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017B35D" w14:textId="09B6C2B3" w:rsidR="00EA4716" w:rsidRDefault="62DD071E" w:rsidP="62DD071E">
      <w:pPr>
        <w:jc w:val="both"/>
      </w:pPr>
      <w:r>
        <w:t xml:space="preserve">Toda essa evolução indica que, com oscilações pontuais, a produção industrial apresenta uma tendência de crescimento moderado e relativamente instável, crescendo e decrescendo pouco ao longo de cada ano aqui analisado. Entretanto, é importante destacar que o decrescimento da produção industrial se deu em menor volume durante os primeiros seis </w:t>
      </w:r>
      <w:r>
        <w:lastRenderedPageBreak/>
        <w:t>meses de 2025, não atingindo em nenhum momento o baixo nível do mês de maio de 2024 ou um índice menor do que os de 103,34 pontos de janeiro e fevereiro. Ademais, o primeiro semestre de 2025 teve, em média, um melhor desempenho quando comparado ao mesmo período do ano anterior, atingindo 104,04 pontos contra 102,21, o que pode indicar um melhor resultado de produção industrial ao final do ano.</w:t>
      </w:r>
      <w:r w:rsidRPr="62DD071E">
        <w:rPr>
          <w:noProof/>
        </w:rPr>
        <w:t xml:space="preserve"> </w:t>
      </w:r>
    </w:p>
    <w:p w14:paraId="1785553D" w14:textId="66B00504" w:rsidR="62DD071E" w:rsidRDefault="62DD071E" w:rsidP="62DD071E">
      <w:pPr>
        <w:jc w:val="both"/>
      </w:pPr>
      <w:r>
        <w:t>Em síntese, o setor industrial brasileiro passou por momentos de volatilidade, mas apresentou um crescimento importante ao longo dos 18 meses, sinalizando um ambiente mais favorável e sujeito a menores baixas no primeiro semestre de 2025.</w:t>
      </w:r>
    </w:p>
    <w:p w14:paraId="1B7BA30B" w14:textId="77777777" w:rsidR="00BF0BCC" w:rsidRDefault="00BF0BCC" w:rsidP="62DD071E">
      <w:pPr>
        <w:jc w:val="both"/>
      </w:pPr>
    </w:p>
    <w:p w14:paraId="60378758" w14:textId="6EFD10B8" w:rsidR="000F3C27" w:rsidRPr="000F3C27" w:rsidRDefault="62DD071E" w:rsidP="000F3C27">
      <w:pPr>
        <w:jc w:val="both"/>
        <w:rPr>
          <w:rFonts w:cs="Arial"/>
          <w:noProof/>
          <w:lang w:eastAsia="pt-BR"/>
        </w:rPr>
      </w:pPr>
      <w:r w:rsidRPr="62DD071E">
        <w:rPr>
          <w:rFonts w:asciiTheme="minorHAnsi" w:eastAsiaTheme="majorEastAsia" w:hAnsiTheme="minorHAnsi" w:cstheme="majorBidi"/>
          <w:color w:val="01A77F"/>
          <w:sz w:val="26"/>
          <w:szCs w:val="26"/>
          <w:lang w:eastAsia="pt-BR"/>
        </w:rPr>
        <w:t>Evolução da Expectativa da Taxa de Inflação Acumulada pelo IGP-M (2025–2027)   </w:t>
      </w:r>
      <w:r w:rsidR="000F3C27">
        <w:br/>
      </w:r>
      <w:r w:rsidRPr="62DD071E">
        <w:rPr>
          <w:rFonts w:cs="Arial"/>
          <w:noProof/>
          <w:lang w:eastAsia="pt-BR"/>
        </w:rPr>
        <w:t>O IGP-M é um dos principais índices de inflação no Brasil e é calculado mensalmente pela Fundação Getúlio Vargas (FGV) e também é levado em consideração pelo Copom. O índice é composto e mede a variação de preços de três grandes etapas presentes na economia brasileira. O atacado (IPA-M), consumidor (IPC-M) e construção civil (INCC-M). Além disso é o principal indicador de reajustes dos contratos de aluguel. </w:t>
      </w:r>
    </w:p>
    <w:p w14:paraId="65757C1C" w14:textId="423431BF" w:rsidR="00D07F1F" w:rsidRDefault="62DD071E" w:rsidP="000F3C27">
      <w:pPr>
        <w:jc w:val="both"/>
        <w:rPr>
          <w:rFonts w:cs="Arial"/>
          <w:noProof/>
          <w:lang w:eastAsia="pt-BR"/>
        </w:rPr>
      </w:pPr>
      <w:r w:rsidRPr="62DD071E">
        <w:rPr>
          <w:rFonts w:cs="Arial"/>
          <w:noProof/>
          <w:lang w:eastAsia="pt-BR"/>
        </w:rPr>
        <w:t>O IGP-M é composto majoritariamente (</w:t>
      </w:r>
      <w:r w:rsidR="00B56644">
        <w:rPr>
          <w:rFonts w:cs="Arial"/>
          <w:noProof/>
          <w:lang w:eastAsia="pt-BR"/>
        </w:rPr>
        <w:t xml:space="preserve">cerca de </w:t>
      </w:r>
      <w:r w:rsidRPr="62DD071E">
        <w:rPr>
          <w:rFonts w:cs="Arial"/>
          <w:noProof/>
          <w:lang w:eastAsia="pt-BR"/>
        </w:rPr>
        <w:t>60%) pelos preços de atacado, ou seja, principalmente mudanças no preço do câmbio, commodities ou outros fatores que elevam os preços ao consumidor pode causar variações no índice.  </w:t>
      </w:r>
    </w:p>
    <w:p w14:paraId="14E5F224" w14:textId="3A48544E" w:rsidR="00587D1D" w:rsidRPr="00587D1D" w:rsidRDefault="00587D1D" w:rsidP="00587D1D">
      <w:pPr>
        <w:rPr>
          <w:rFonts w:ascii="Dosis" w:hAnsi="Dosis"/>
          <w:color w:val="01A77F"/>
          <w:sz w:val="28"/>
          <w:szCs w:val="28"/>
        </w:rPr>
      </w:pPr>
      <w:r w:rsidRPr="00587D1D">
        <w:rPr>
          <w:rFonts w:ascii="Dosis" w:hAnsi="Dosis"/>
          <w:color w:val="01A77F"/>
          <w:sz w:val="28"/>
          <w:szCs w:val="28"/>
        </w:rPr>
        <w:t>Tabela: Expectativa da taxa de inflação acumulada pelo IGP-M</w:t>
      </w:r>
    </w:p>
    <w:tbl>
      <w:tblPr>
        <w:tblW w:w="5020" w:type="dxa"/>
        <w:tblInd w:w="1246" w:type="dxa"/>
        <w:tblCellMar>
          <w:left w:w="70" w:type="dxa"/>
          <w:right w:w="70" w:type="dxa"/>
        </w:tblCellMar>
        <w:tblLook w:val="04A0" w:firstRow="1" w:lastRow="0" w:firstColumn="1" w:lastColumn="0" w:noHBand="0" w:noVBand="1"/>
      </w:tblPr>
      <w:tblGrid>
        <w:gridCol w:w="2360"/>
        <w:gridCol w:w="2660"/>
      </w:tblGrid>
      <w:tr w:rsidR="00D07F1F" w:rsidRPr="00D07F1F" w14:paraId="0D67BC2B" w14:textId="77777777" w:rsidTr="00D07F1F">
        <w:trPr>
          <w:trHeight w:val="420"/>
        </w:trPr>
        <w:tc>
          <w:tcPr>
            <w:tcW w:w="2360" w:type="dxa"/>
            <w:tcBorders>
              <w:top w:val="single" w:sz="4" w:space="0" w:color="auto"/>
              <w:left w:val="single" w:sz="4" w:space="0" w:color="auto"/>
              <w:bottom w:val="single" w:sz="4" w:space="0" w:color="auto"/>
              <w:right w:val="single" w:sz="4" w:space="0" w:color="auto"/>
            </w:tcBorders>
            <w:noWrap/>
            <w:vAlign w:val="center"/>
            <w:hideMark/>
          </w:tcPr>
          <w:p w14:paraId="02BC8098" w14:textId="77777777" w:rsidR="00D07F1F" w:rsidRPr="00D07F1F" w:rsidRDefault="00D07F1F" w:rsidP="00D07F1F">
            <w:pPr>
              <w:spacing w:after="0" w:line="240" w:lineRule="auto"/>
              <w:jc w:val="center"/>
              <w:rPr>
                <w:rFonts w:ascii="Dosis" w:eastAsia="Times New Roman" w:hAnsi="Dosis" w:cs="Times New Roman"/>
                <w:color w:val="01A77F"/>
                <w:sz w:val="28"/>
                <w:szCs w:val="28"/>
                <w:lang w:eastAsia="pt-BR"/>
              </w:rPr>
            </w:pPr>
            <w:r w:rsidRPr="00D07F1F">
              <w:rPr>
                <w:rFonts w:ascii="Dosis" w:eastAsia="Times New Roman" w:hAnsi="Dosis" w:cs="Times New Roman"/>
                <w:color w:val="01A77F"/>
                <w:sz w:val="28"/>
                <w:szCs w:val="28"/>
                <w:lang w:eastAsia="pt-BR"/>
              </w:rPr>
              <w:t>Ano</w:t>
            </w:r>
          </w:p>
        </w:tc>
        <w:tc>
          <w:tcPr>
            <w:tcW w:w="2660" w:type="dxa"/>
            <w:tcBorders>
              <w:top w:val="single" w:sz="4" w:space="0" w:color="auto"/>
              <w:left w:val="nil"/>
              <w:bottom w:val="single" w:sz="4" w:space="0" w:color="auto"/>
              <w:right w:val="single" w:sz="4" w:space="0" w:color="auto"/>
            </w:tcBorders>
            <w:noWrap/>
            <w:vAlign w:val="center"/>
            <w:hideMark/>
          </w:tcPr>
          <w:p w14:paraId="149E0663" w14:textId="77777777" w:rsidR="00D07F1F" w:rsidRPr="00D07F1F" w:rsidRDefault="00D07F1F" w:rsidP="00D07F1F">
            <w:pPr>
              <w:spacing w:after="0" w:line="240" w:lineRule="auto"/>
              <w:jc w:val="center"/>
              <w:rPr>
                <w:rFonts w:ascii="Dosis" w:eastAsia="Times New Roman" w:hAnsi="Dosis" w:cs="Times New Roman"/>
                <w:color w:val="01A77F"/>
                <w:sz w:val="28"/>
                <w:szCs w:val="28"/>
                <w:lang w:eastAsia="pt-BR"/>
              </w:rPr>
            </w:pPr>
            <w:r w:rsidRPr="00D07F1F">
              <w:rPr>
                <w:rFonts w:ascii="Dosis" w:eastAsia="Times New Roman" w:hAnsi="Dosis" w:cs="Times New Roman"/>
                <w:color w:val="01A77F"/>
                <w:sz w:val="28"/>
                <w:szCs w:val="28"/>
                <w:lang w:eastAsia="pt-BR"/>
              </w:rPr>
              <w:t>Variação %</w:t>
            </w:r>
          </w:p>
        </w:tc>
      </w:tr>
      <w:tr w:rsidR="00D07F1F" w:rsidRPr="00D07F1F" w14:paraId="2CDFD204" w14:textId="77777777" w:rsidTr="00D07F1F">
        <w:trPr>
          <w:trHeight w:val="408"/>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5FAA6A94" w14:textId="77777777" w:rsidR="00D07F1F" w:rsidRPr="00D07F1F" w:rsidRDefault="00D07F1F" w:rsidP="00D07F1F">
            <w:pPr>
              <w:spacing w:after="0" w:line="240" w:lineRule="auto"/>
              <w:rPr>
                <w:rFonts w:eastAsia="Times New Roman" w:cs="Poppins"/>
                <w:color w:val="000000"/>
                <w:lang w:eastAsia="pt-BR"/>
              </w:rPr>
            </w:pPr>
            <w:r w:rsidRPr="00D07F1F">
              <w:rPr>
                <w:rFonts w:eastAsia="Times New Roman" w:cs="Poppins"/>
                <w:color w:val="000000"/>
                <w:lang w:eastAsia="pt-BR"/>
              </w:rPr>
              <w:t>2025</w:t>
            </w:r>
          </w:p>
        </w:tc>
        <w:tc>
          <w:tcPr>
            <w:tcW w:w="2660" w:type="dxa"/>
            <w:tcBorders>
              <w:top w:val="nil"/>
              <w:left w:val="nil"/>
              <w:bottom w:val="single" w:sz="4" w:space="0" w:color="auto"/>
              <w:right w:val="single" w:sz="4" w:space="0" w:color="auto"/>
            </w:tcBorders>
            <w:shd w:val="clear" w:color="000000" w:fill="FFFFFF"/>
            <w:vAlign w:val="center"/>
            <w:hideMark/>
          </w:tcPr>
          <w:p w14:paraId="27C78902" w14:textId="77777777" w:rsidR="00D07F1F" w:rsidRPr="00D07F1F" w:rsidRDefault="00D07F1F" w:rsidP="00D07F1F">
            <w:pPr>
              <w:spacing w:after="0" w:line="240" w:lineRule="auto"/>
              <w:jc w:val="right"/>
              <w:rPr>
                <w:rFonts w:eastAsia="Times New Roman" w:cs="Poppins"/>
                <w:color w:val="000000"/>
                <w:lang w:eastAsia="pt-BR"/>
              </w:rPr>
            </w:pPr>
            <w:r w:rsidRPr="00D07F1F">
              <w:rPr>
                <w:rFonts w:eastAsia="Times New Roman" w:cs="Poppins"/>
                <w:color w:val="000000"/>
                <w:lang w:eastAsia="pt-BR"/>
              </w:rPr>
              <w:t>-0,32%</w:t>
            </w:r>
          </w:p>
        </w:tc>
      </w:tr>
      <w:tr w:rsidR="00D07F1F" w:rsidRPr="00D07F1F" w14:paraId="3672484A" w14:textId="77777777" w:rsidTr="00D07F1F">
        <w:trPr>
          <w:trHeight w:val="408"/>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2188B773" w14:textId="77777777" w:rsidR="00D07F1F" w:rsidRPr="00D07F1F" w:rsidRDefault="00D07F1F" w:rsidP="00D07F1F">
            <w:pPr>
              <w:spacing w:after="0" w:line="240" w:lineRule="auto"/>
              <w:rPr>
                <w:rFonts w:eastAsia="Times New Roman" w:cs="Poppins"/>
                <w:color w:val="000000"/>
                <w:lang w:eastAsia="pt-BR"/>
              </w:rPr>
            </w:pPr>
            <w:r w:rsidRPr="00D07F1F">
              <w:rPr>
                <w:rFonts w:eastAsia="Times New Roman" w:cs="Poppins"/>
                <w:color w:val="000000"/>
                <w:lang w:eastAsia="pt-BR"/>
              </w:rPr>
              <w:t>2026</w:t>
            </w:r>
          </w:p>
        </w:tc>
        <w:tc>
          <w:tcPr>
            <w:tcW w:w="2660" w:type="dxa"/>
            <w:tcBorders>
              <w:top w:val="nil"/>
              <w:left w:val="nil"/>
              <w:bottom w:val="single" w:sz="4" w:space="0" w:color="auto"/>
              <w:right w:val="single" w:sz="4" w:space="0" w:color="auto"/>
            </w:tcBorders>
            <w:shd w:val="clear" w:color="000000" w:fill="FFFFFF"/>
            <w:vAlign w:val="center"/>
            <w:hideMark/>
          </w:tcPr>
          <w:p w14:paraId="14F28202" w14:textId="77777777" w:rsidR="00D07F1F" w:rsidRPr="00D07F1F" w:rsidRDefault="00D07F1F" w:rsidP="00D07F1F">
            <w:pPr>
              <w:spacing w:after="0" w:line="240" w:lineRule="auto"/>
              <w:jc w:val="right"/>
              <w:rPr>
                <w:rFonts w:eastAsia="Times New Roman" w:cs="Poppins"/>
                <w:color w:val="000000"/>
                <w:lang w:eastAsia="pt-BR"/>
              </w:rPr>
            </w:pPr>
            <w:r w:rsidRPr="00D07F1F">
              <w:rPr>
                <w:rFonts w:eastAsia="Times New Roman" w:cs="Poppins"/>
                <w:color w:val="000000"/>
                <w:lang w:eastAsia="pt-BR"/>
              </w:rPr>
              <w:t>4,02%</w:t>
            </w:r>
          </w:p>
        </w:tc>
      </w:tr>
      <w:tr w:rsidR="00D07F1F" w:rsidRPr="00D07F1F" w14:paraId="78C7E4BC" w14:textId="77777777" w:rsidTr="00D07F1F">
        <w:trPr>
          <w:trHeight w:val="408"/>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594C163F" w14:textId="77777777" w:rsidR="00D07F1F" w:rsidRPr="00D07F1F" w:rsidRDefault="00D07F1F" w:rsidP="00D07F1F">
            <w:pPr>
              <w:spacing w:after="0" w:line="240" w:lineRule="auto"/>
              <w:rPr>
                <w:rFonts w:eastAsia="Times New Roman" w:cs="Poppins"/>
                <w:color w:val="000000"/>
                <w:lang w:eastAsia="pt-BR"/>
              </w:rPr>
            </w:pPr>
            <w:r w:rsidRPr="00D07F1F">
              <w:rPr>
                <w:rFonts w:eastAsia="Times New Roman" w:cs="Poppins"/>
                <w:color w:val="000000"/>
                <w:lang w:eastAsia="pt-BR"/>
              </w:rPr>
              <w:t>2027</w:t>
            </w:r>
          </w:p>
        </w:tc>
        <w:tc>
          <w:tcPr>
            <w:tcW w:w="2660" w:type="dxa"/>
            <w:tcBorders>
              <w:top w:val="nil"/>
              <w:left w:val="nil"/>
              <w:bottom w:val="single" w:sz="4" w:space="0" w:color="auto"/>
              <w:right w:val="single" w:sz="4" w:space="0" w:color="auto"/>
            </w:tcBorders>
            <w:shd w:val="clear" w:color="000000" w:fill="FFFFFF"/>
            <w:vAlign w:val="center"/>
            <w:hideMark/>
          </w:tcPr>
          <w:p w14:paraId="56FE6725" w14:textId="77777777" w:rsidR="00D07F1F" w:rsidRPr="00D07F1F" w:rsidRDefault="00D07F1F" w:rsidP="00D07F1F">
            <w:pPr>
              <w:spacing w:after="0" w:line="240" w:lineRule="auto"/>
              <w:jc w:val="right"/>
              <w:rPr>
                <w:rFonts w:eastAsia="Times New Roman" w:cs="Poppins"/>
                <w:color w:val="000000"/>
                <w:lang w:eastAsia="pt-BR"/>
              </w:rPr>
            </w:pPr>
            <w:r w:rsidRPr="00D07F1F">
              <w:rPr>
                <w:rFonts w:eastAsia="Times New Roman" w:cs="Poppins"/>
                <w:color w:val="000000"/>
                <w:lang w:eastAsia="pt-BR"/>
              </w:rPr>
              <w:t>4,00%</w:t>
            </w:r>
          </w:p>
        </w:tc>
      </w:tr>
    </w:tbl>
    <w:p w14:paraId="144B4B1F" w14:textId="6AC4A047" w:rsidR="00E67982" w:rsidRPr="00D07F1F" w:rsidRDefault="006846E0" w:rsidP="00D07F1F">
      <w:pPr>
        <w:ind w:left="708" w:firstLine="708"/>
        <w:rPr>
          <w:sz w:val="16"/>
          <w:szCs w:val="16"/>
        </w:rPr>
      </w:pPr>
      <w:r>
        <w:rPr>
          <w:sz w:val="16"/>
          <w:szCs w:val="16"/>
        </w:rPr>
        <w:t xml:space="preserve">Fonte: </w:t>
      </w:r>
      <w:r w:rsidR="00D07F1F">
        <w:rPr>
          <w:sz w:val="16"/>
          <w:szCs w:val="16"/>
        </w:rPr>
        <w:t>Bacen</w:t>
      </w:r>
      <w:r>
        <w:rPr>
          <w:sz w:val="16"/>
          <w:szCs w:val="16"/>
        </w:rPr>
        <w:t>. Elaboração: FECA</w:t>
      </w:r>
      <w:r w:rsidR="00D07F1F">
        <w:rPr>
          <w:sz w:val="16"/>
          <w:szCs w:val="16"/>
        </w:rPr>
        <w:t>P</w:t>
      </w:r>
    </w:p>
    <w:p w14:paraId="148E7720" w14:textId="3E59C0EE" w:rsidR="000F3C27" w:rsidRPr="000F3C27" w:rsidRDefault="000F3C27" w:rsidP="000F3C27">
      <w:pPr>
        <w:jc w:val="both"/>
        <w:rPr>
          <w:rFonts w:cs="Arial"/>
          <w:noProof/>
          <w:lang w:eastAsia="pt-BR"/>
        </w:rPr>
      </w:pPr>
      <w:r w:rsidRPr="000F3C27">
        <w:rPr>
          <w:rFonts w:cs="Arial"/>
          <w:noProof/>
          <w:lang w:eastAsia="pt-BR"/>
        </w:rPr>
        <w:t xml:space="preserve">A evolução das expectativas para a taxa de inflação acumulada pelo IGP-M entre 2025 e 2027 revela um comportamento marcado por mudanças importantes ao longo do período, refletindo tanto o cenário econômico doméstico quanto as percepções do mercado sobre o ritmo futuro dos preços. De acordo com o Boletim Focus de </w:t>
      </w:r>
      <w:r w:rsidR="0082061A">
        <w:rPr>
          <w:rFonts w:cs="Arial"/>
          <w:noProof/>
          <w:lang w:eastAsia="pt-BR"/>
        </w:rPr>
        <w:t>14</w:t>
      </w:r>
      <w:r w:rsidRPr="000F3C27">
        <w:rPr>
          <w:rFonts w:cs="Arial"/>
          <w:noProof/>
          <w:lang w:eastAsia="pt-BR"/>
        </w:rPr>
        <w:t xml:space="preserve"> de novembro de 2025, observa-</w:t>
      </w:r>
      <w:r w:rsidRPr="000F3C27">
        <w:rPr>
          <w:rFonts w:cs="Arial"/>
          <w:noProof/>
          <w:lang w:eastAsia="pt-BR"/>
        </w:rPr>
        <w:lastRenderedPageBreak/>
        <w:t>se inicialmente uma perspectiva deflacionária para 2025, seguida por uma recomposição dos preços em 2026 e, por fim, estabilização em 2027. </w:t>
      </w:r>
    </w:p>
    <w:p w14:paraId="387CB53B" w14:textId="441EF9FC" w:rsidR="000F3C27" w:rsidRPr="000F3C27" w:rsidRDefault="000F3C27" w:rsidP="000F3C27">
      <w:pPr>
        <w:jc w:val="both"/>
        <w:rPr>
          <w:rFonts w:cs="Arial"/>
          <w:noProof/>
          <w:lang w:eastAsia="pt-BR"/>
        </w:rPr>
      </w:pPr>
      <w:r w:rsidRPr="000F3C27">
        <w:rPr>
          <w:rFonts w:cs="Arial"/>
          <w:noProof/>
          <w:lang w:eastAsia="pt-BR"/>
        </w:rPr>
        <w:t>No caso de 2025, a projeção do mercado aponta para uma variação acumulada de –0,</w:t>
      </w:r>
      <w:r w:rsidR="000D616F">
        <w:rPr>
          <w:rFonts w:cs="Arial"/>
          <w:noProof/>
          <w:lang w:eastAsia="pt-BR"/>
        </w:rPr>
        <w:t>3</w:t>
      </w:r>
      <w:r w:rsidRPr="000F3C27">
        <w:rPr>
          <w:rFonts w:cs="Arial"/>
          <w:noProof/>
          <w:lang w:eastAsia="pt-BR"/>
        </w:rPr>
        <w:t>2% no IGP-M, caracterizando um cenário deflacionário que reflete um enfraquecimento mais acentuado nos preços atacadistas. Essa dinâmica sugere que os fatores que vinham pressionando os preços nos anos anteriores perderam força, contribuindo para um ambiente de maior contenção inflacionária. Assim, 2025 se configura como um ponto de inflexão em que a inflação medida pelo índice assume valores negativos. </w:t>
      </w:r>
    </w:p>
    <w:p w14:paraId="23417187" w14:textId="58883454" w:rsidR="000F3C27" w:rsidRPr="000F3C27" w:rsidRDefault="000F3C27" w:rsidP="000F3C27">
      <w:pPr>
        <w:jc w:val="both"/>
        <w:rPr>
          <w:rFonts w:cs="Arial"/>
          <w:noProof/>
          <w:lang w:eastAsia="pt-BR"/>
        </w:rPr>
      </w:pPr>
      <w:r w:rsidRPr="000F3C27">
        <w:rPr>
          <w:rFonts w:cs="Arial"/>
          <w:noProof/>
          <w:lang w:eastAsia="pt-BR"/>
        </w:rPr>
        <w:t>Já para 2026, a expectativa passa por uma mudança relevante, uma vez que o mercado projeta uma variação de 4,0</w:t>
      </w:r>
      <w:r w:rsidR="007F1FAD">
        <w:rPr>
          <w:rFonts w:cs="Arial"/>
          <w:noProof/>
          <w:lang w:eastAsia="pt-BR"/>
        </w:rPr>
        <w:t>2</w:t>
      </w:r>
      <w:r w:rsidRPr="000F3C27">
        <w:rPr>
          <w:rFonts w:cs="Arial"/>
          <w:noProof/>
          <w:lang w:eastAsia="pt-BR"/>
        </w:rPr>
        <w:t>%, indicando uma recomposição dos preços após o movimento deflacionário do ano anterior. Essa transição evidencia que o índice retorna ao território positivo e volta a apresentar um comportamento mais alinhado ao observado historicamente, sugerindo recuperação gradual dos preços no atacado e, consequentemente, normalização das dinâmicas de oferta e demanda. </w:t>
      </w:r>
    </w:p>
    <w:p w14:paraId="769688EF" w14:textId="77777777" w:rsidR="005724A1" w:rsidRDefault="000F3C27" w:rsidP="000F3C27">
      <w:pPr>
        <w:jc w:val="both"/>
        <w:rPr>
          <w:rFonts w:cs="Arial"/>
          <w:noProof/>
          <w:lang w:eastAsia="pt-BR"/>
        </w:rPr>
      </w:pPr>
      <w:r w:rsidRPr="000F3C27">
        <w:rPr>
          <w:rFonts w:cs="Arial"/>
          <w:noProof/>
          <w:lang w:eastAsia="pt-BR"/>
        </w:rPr>
        <w:t>Por fim, para 2027, a expectativa registrada é de 4,00%, valor bastante próximo ao de 2026, o que demonstra maior estabilidade nas projeções para o médio prazo. Essa constância reforça a percepção de que o mercado não antecipa choques relevantes que possam alterar de forma significativa o comportamento inflacionário do período. Assim, após a recomposição observada em 2026, o IGP-M tende a manter um ritmo de crescimento de preços</w:t>
      </w:r>
      <w:r w:rsidR="00201418">
        <w:rPr>
          <w:rFonts w:cs="Arial"/>
          <w:noProof/>
          <w:lang w:eastAsia="pt-BR"/>
        </w:rPr>
        <w:t xml:space="preserve"> </w:t>
      </w:r>
      <w:r w:rsidRPr="000F3C27">
        <w:rPr>
          <w:rFonts w:cs="Arial"/>
          <w:noProof/>
          <w:lang w:eastAsia="pt-BR"/>
        </w:rPr>
        <w:t>mais previsível. </w:t>
      </w:r>
    </w:p>
    <w:p w14:paraId="20ACFA66" w14:textId="085D874F" w:rsidR="000F3C27" w:rsidRPr="000F3C27" w:rsidRDefault="000C2DD7" w:rsidP="000F3C27">
      <w:pPr>
        <w:jc w:val="both"/>
        <w:rPr>
          <w:rFonts w:cs="Arial"/>
          <w:noProof/>
          <w:lang w:eastAsia="pt-BR"/>
        </w:rPr>
      </w:pPr>
      <w:r>
        <w:rPr>
          <w:noProof/>
        </w:rPr>
        <w:lastRenderedPageBreak/>
        <w:drawing>
          <wp:inline distT="0" distB="0" distL="0" distR="0" wp14:anchorId="071CA118" wp14:editId="3A874583">
            <wp:extent cx="5400000" cy="3240000"/>
            <wp:effectExtent l="0" t="0" r="0" b="0"/>
            <wp:docPr id="1125276573" name="Gráfico 1">
              <a:extLst xmlns:a="http://schemas.openxmlformats.org/drawingml/2006/main">
                <a:ext uri="{FF2B5EF4-FFF2-40B4-BE49-F238E27FC236}">
                  <a16:creationId xmlns:a16="http://schemas.microsoft.com/office/drawing/2014/main" id="{40CB408F-ACA1-4370-9D6B-25A816F927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0ED0EE" w14:textId="77777777" w:rsidR="000F3C27" w:rsidRPr="00D723B3" w:rsidRDefault="000F3C27" w:rsidP="004F1E36">
      <w:pPr>
        <w:tabs>
          <w:tab w:val="left" w:pos="2229"/>
        </w:tabs>
        <w:jc w:val="both"/>
        <w:rPr>
          <w:noProof/>
        </w:rPr>
      </w:pPr>
      <w:r w:rsidRPr="000F3C27">
        <w:rPr>
          <w:rFonts w:cs="Arial"/>
          <w:noProof/>
          <w:lang w:eastAsia="pt-BR"/>
        </w:rPr>
        <w:t>De maneira geral, a trajetória esperada para o IGP-M entre 2025 e 2027 descreve um movimento que inicia com deflação, passa por recuperação inflacionária e culmina em estabilização. Esse comportamento reforça a ideia de que o mercado projeta um cenário de maior equilíbrio no médio prazo, ainda que marcado por incertezas relacionadas ao ambiente econômico global e às condições de política econômica doméstica</w:t>
      </w:r>
      <w:r w:rsidRPr="000F3C27">
        <w:rPr>
          <w:rFonts w:cstheme="majorBidi"/>
          <w:sz w:val="24"/>
          <w:szCs w:val="24"/>
          <w:lang w:eastAsia="pt-BR"/>
        </w:rPr>
        <w:t>. </w:t>
      </w:r>
    </w:p>
    <w:sectPr w:rsidR="000F3C27" w:rsidRPr="00D723B3" w:rsidSect="00574547">
      <w:headerReference w:type="default" r:id="rId9"/>
      <w:footerReference w:type="default" r:id="rId10"/>
      <w:pgSz w:w="11906" w:h="16838"/>
      <w:pgMar w:top="2410"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C9CA" w14:textId="77777777" w:rsidR="00003899" w:rsidRDefault="00003899" w:rsidP="007B63DF">
      <w:pPr>
        <w:spacing w:after="0" w:line="240" w:lineRule="auto"/>
      </w:pPr>
      <w:r>
        <w:separator/>
      </w:r>
    </w:p>
  </w:endnote>
  <w:endnote w:type="continuationSeparator" w:id="0">
    <w:p w14:paraId="7EA97090" w14:textId="77777777" w:rsidR="00003899" w:rsidRDefault="00003899" w:rsidP="007B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Nirmala UI"/>
    <w:charset w:val="00"/>
    <w:family w:val="auto"/>
    <w:pitch w:val="variable"/>
    <w:sig w:usb0="00008007" w:usb1="00000000" w:usb2="00000000" w:usb3="00000000" w:csb0="00000093" w:csb1="00000000"/>
  </w:font>
  <w:font w:name="Dosis">
    <w:altName w:val="Calibri"/>
    <w:charset w:val="00"/>
    <w:family w:val="auto"/>
    <w:pitch w:val="variable"/>
    <w:sig w:usb0="A00000BF" w:usb1="4000207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BC8DAA1" w14:paraId="5A854603" w14:textId="77777777" w:rsidTr="4BC8DAA1">
      <w:trPr>
        <w:trHeight w:val="300"/>
      </w:trPr>
      <w:tc>
        <w:tcPr>
          <w:tcW w:w="2830" w:type="dxa"/>
        </w:tcPr>
        <w:p w14:paraId="400D9F64" w14:textId="37BF9F5A" w:rsidR="4BC8DAA1" w:rsidRDefault="4BC8DAA1" w:rsidP="4BC8DAA1">
          <w:pPr>
            <w:pStyle w:val="Cabealho"/>
            <w:ind w:left="-115"/>
          </w:pPr>
        </w:p>
      </w:tc>
      <w:tc>
        <w:tcPr>
          <w:tcW w:w="2830" w:type="dxa"/>
        </w:tcPr>
        <w:p w14:paraId="289884B1" w14:textId="670BBF11" w:rsidR="4BC8DAA1" w:rsidRDefault="4BC8DAA1" w:rsidP="4BC8DAA1">
          <w:pPr>
            <w:pStyle w:val="Cabealho"/>
            <w:jc w:val="center"/>
          </w:pPr>
        </w:p>
      </w:tc>
      <w:tc>
        <w:tcPr>
          <w:tcW w:w="2830" w:type="dxa"/>
        </w:tcPr>
        <w:p w14:paraId="3F7F1A37" w14:textId="00EDD3FA" w:rsidR="4BC8DAA1" w:rsidRDefault="4BC8DAA1" w:rsidP="4BC8DAA1">
          <w:pPr>
            <w:pStyle w:val="Cabealho"/>
            <w:ind w:right="-115"/>
            <w:jc w:val="right"/>
          </w:pPr>
        </w:p>
      </w:tc>
    </w:tr>
  </w:tbl>
  <w:p w14:paraId="04B66BE6" w14:textId="52DDB734" w:rsidR="4BC8DAA1" w:rsidRDefault="4BC8DAA1" w:rsidP="4BC8DA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4A1A7" w14:textId="77777777" w:rsidR="00003899" w:rsidRDefault="00003899" w:rsidP="007B63DF">
      <w:pPr>
        <w:spacing w:after="0" w:line="240" w:lineRule="auto"/>
      </w:pPr>
      <w:r>
        <w:separator/>
      </w:r>
    </w:p>
  </w:footnote>
  <w:footnote w:type="continuationSeparator" w:id="0">
    <w:p w14:paraId="2327235A" w14:textId="77777777" w:rsidR="00003899" w:rsidRDefault="00003899" w:rsidP="007B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98ECB" w14:textId="77777777" w:rsidR="007B63DF" w:rsidRPr="007B63DF" w:rsidRDefault="007B63DF" w:rsidP="007B63DF">
    <w:pPr>
      <w:pStyle w:val="Cabealho"/>
    </w:pPr>
    <w:r>
      <w:rPr>
        <w:noProof/>
      </w:rPr>
      <w:drawing>
        <wp:anchor distT="0" distB="0" distL="114300" distR="114300" simplePos="0" relativeHeight="251658240" behindDoc="1" locked="0" layoutInCell="1" allowOverlap="1" wp14:anchorId="57279351" wp14:editId="07777777">
          <wp:simplePos x="0" y="0"/>
          <wp:positionH relativeFrom="page">
            <wp:align>right</wp:align>
          </wp:positionH>
          <wp:positionV relativeFrom="paragraph">
            <wp:posOffset>-444500</wp:posOffset>
          </wp:positionV>
          <wp:extent cx="7553325" cy="10684261"/>
          <wp:effectExtent l="0" t="0" r="0" b="3175"/>
          <wp:wrapNone/>
          <wp:docPr id="1301684010" name="Imagem 130168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CON.jpg"/>
                  <pic:cNvPicPr/>
                </pic:nvPicPr>
                <pic:blipFill>
                  <a:blip r:embed="rId1">
                    <a:extLst>
                      <a:ext uri="{28A0092B-C50C-407E-A947-70E740481C1C}">
                        <a14:useLocalDpi xmlns:a14="http://schemas.microsoft.com/office/drawing/2010/main" val="0"/>
                      </a:ext>
                    </a:extLst>
                  </a:blip>
                  <a:stretch>
                    <a:fillRect/>
                  </a:stretch>
                </pic:blipFill>
                <pic:spPr>
                  <a:xfrm>
                    <a:off x="0" y="0"/>
                    <a:ext cx="7553325" cy="10684261"/>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1bkcYO1uALrUI" int2:id="oXoGsHt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F4B"/>
    <w:multiLevelType w:val="hybridMultilevel"/>
    <w:tmpl w:val="1B9EDF9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7917A17"/>
    <w:multiLevelType w:val="hybridMultilevel"/>
    <w:tmpl w:val="1DFE0ED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9984533">
    <w:abstractNumId w:val="0"/>
  </w:num>
  <w:num w:numId="2" w16cid:durableId="650182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DF"/>
    <w:rsid w:val="00003899"/>
    <w:rsid w:val="00011690"/>
    <w:rsid w:val="00024C7F"/>
    <w:rsid w:val="00031E12"/>
    <w:rsid w:val="00042CB1"/>
    <w:rsid w:val="00056148"/>
    <w:rsid w:val="000567F5"/>
    <w:rsid w:val="000778D1"/>
    <w:rsid w:val="000A44C1"/>
    <w:rsid w:val="000C2DD7"/>
    <w:rsid w:val="000C5080"/>
    <w:rsid w:val="000C5D0F"/>
    <w:rsid w:val="000C6035"/>
    <w:rsid w:val="000D616F"/>
    <w:rsid w:val="000E094C"/>
    <w:rsid w:val="000E179C"/>
    <w:rsid w:val="000F0020"/>
    <w:rsid w:val="000F2BBB"/>
    <w:rsid w:val="000F3C27"/>
    <w:rsid w:val="0011117A"/>
    <w:rsid w:val="00113612"/>
    <w:rsid w:val="00117A06"/>
    <w:rsid w:val="00122F6E"/>
    <w:rsid w:val="001263BC"/>
    <w:rsid w:val="0013745B"/>
    <w:rsid w:val="00144602"/>
    <w:rsid w:val="00145B6E"/>
    <w:rsid w:val="00146FEE"/>
    <w:rsid w:val="0016210E"/>
    <w:rsid w:val="00162A04"/>
    <w:rsid w:val="001803CE"/>
    <w:rsid w:val="001C643C"/>
    <w:rsid w:val="001D34BE"/>
    <w:rsid w:val="00201418"/>
    <w:rsid w:val="0021230D"/>
    <w:rsid w:val="00237E7A"/>
    <w:rsid w:val="0024586E"/>
    <w:rsid w:val="002619D3"/>
    <w:rsid w:val="00281D85"/>
    <w:rsid w:val="00284C45"/>
    <w:rsid w:val="00286F7A"/>
    <w:rsid w:val="002A73B0"/>
    <w:rsid w:val="002B19E2"/>
    <w:rsid w:val="002B4785"/>
    <w:rsid w:val="002C6C2C"/>
    <w:rsid w:val="002D5D62"/>
    <w:rsid w:val="002E4514"/>
    <w:rsid w:val="0030062F"/>
    <w:rsid w:val="003052AC"/>
    <w:rsid w:val="00307B7E"/>
    <w:rsid w:val="003115F3"/>
    <w:rsid w:val="00325A64"/>
    <w:rsid w:val="00325E33"/>
    <w:rsid w:val="00334659"/>
    <w:rsid w:val="0033770A"/>
    <w:rsid w:val="003504BA"/>
    <w:rsid w:val="003676C2"/>
    <w:rsid w:val="00375A3E"/>
    <w:rsid w:val="003904A0"/>
    <w:rsid w:val="00396CB2"/>
    <w:rsid w:val="003A694D"/>
    <w:rsid w:val="003B6702"/>
    <w:rsid w:val="003E05EB"/>
    <w:rsid w:val="003E51CA"/>
    <w:rsid w:val="003F3E72"/>
    <w:rsid w:val="003F4061"/>
    <w:rsid w:val="00401561"/>
    <w:rsid w:val="00401C32"/>
    <w:rsid w:val="00415FC4"/>
    <w:rsid w:val="00440B87"/>
    <w:rsid w:val="00451149"/>
    <w:rsid w:val="00456C8D"/>
    <w:rsid w:val="00463620"/>
    <w:rsid w:val="00476760"/>
    <w:rsid w:val="00486B51"/>
    <w:rsid w:val="00491879"/>
    <w:rsid w:val="00493162"/>
    <w:rsid w:val="004D2EA2"/>
    <w:rsid w:val="004E02E8"/>
    <w:rsid w:val="004E42A6"/>
    <w:rsid w:val="004F1E36"/>
    <w:rsid w:val="00503189"/>
    <w:rsid w:val="00527609"/>
    <w:rsid w:val="005400D8"/>
    <w:rsid w:val="00540580"/>
    <w:rsid w:val="00540732"/>
    <w:rsid w:val="005717F4"/>
    <w:rsid w:val="005724A1"/>
    <w:rsid w:val="00574547"/>
    <w:rsid w:val="00585AD3"/>
    <w:rsid w:val="00587D1D"/>
    <w:rsid w:val="005971F3"/>
    <w:rsid w:val="005A1094"/>
    <w:rsid w:val="005C69EC"/>
    <w:rsid w:val="005F64F1"/>
    <w:rsid w:val="0060499B"/>
    <w:rsid w:val="0060610B"/>
    <w:rsid w:val="00606E4E"/>
    <w:rsid w:val="00612A28"/>
    <w:rsid w:val="00630420"/>
    <w:rsid w:val="006362B4"/>
    <w:rsid w:val="0064287F"/>
    <w:rsid w:val="00651A81"/>
    <w:rsid w:val="00664962"/>
    <w:rsid w:val="00672AED"/>
    <w:rsid w:val="00673AE3"/>
    <w:rsid w:val="00681046"/>
    <w:rsid w:val="006846E0"/>
    <w:rsid w:val="0069409A"/>
    <w:rsid w:val="006B001F"/>
    <w:rsid w:val="00707DA8"/>
    <w:rsid w:val="007341D2"/>
    <w:rsid w:val="007475EE"/>
    <w:rsid w:val="00776865"/>
    <w:rsid w:val="0077715A"/>
    <w:rsid w:val="007918BF"/>
    <w:rsid w:val="0079209E"/>
    <w:rsid w:val="0079698E"/>
    <w:rsid w:val="007976CD"/>
    <w:rsid w:val="007B63DF"/>
    <w:rsid w:val="007C25E4"/>
    <w:rsid w:val="007D5834"/>
    <w:rsid w:val="007E171E"/>
    <w:rsid w:val="007E2C29"/>
    <w:rsid w:val="007F0E38"/>
    <w:rsid w:val="007F1FAD"/>
    <w:rsid w:val="007F4B09"/>
    <w:rsid w:val="007F70AB"/>
    <w:rsid w:val="0082061A"/>
    <w:rsid w:val="00850C25"/>
    <w:rsid w:val="00851B63"/>
    <w:rsid w:val="00852C04"/>
    <w:rsid w:val="0085617D"/>
    <w:rsid w:val="008670E5"/>
    <w:rsid w:val="00886A5B"/>
    <w:rsid w:val="00891E88"/>
    <w:rsid w:val="008C7887"/>
    <w:rsid w:val="008D0D5A"/>
    <w:rsid w:val="008D1BCF"/>
    <w:rsid w:val="008D26A1"/>
    <w:rsid w:val="008D7C68"/>
    <w:rsid w:val="009102C0"/>
    <w:rsid w:val="009170B4"/>
    <w:rsid w:val="00920382"/>
    <w:rsid w:val="00925ABE"/>
    <w:rsid w:val="00926D39"/>
    <w:rsid w:val="009422C5"/>
    <w:rsid w:val="009476E1"/>
    <w:rsid w:val="00967ECE"/>
    <w:rsid w:val="00976E8E"/>
    <w:rsid w:val="009933A6"/>
    <w:rsid w:val="009B44A3"/>
    <w:rsid w:val="009D4C7F"/>
    <w:rsid w:val="009D6FDD"/>
    <w:rsid w:val="009D7B0E"/>
    <w:rsid w:val="009E67E8"/>
    <w:rsid w:val="009F5681"/>
    <w:rsid w:val="009F7FDD"/>
    <w:rsid w:val="00A321F4"/>
    <w:rsid w:val="00A34FE6"/>
    <w:rsid w:val="00A601B0"/>
    <w:rsid w:val="00A674B4"/>
    <w:rsid w:val="00A94175"/>
    <w:rsid w:val="00AE3C4D"/>
    <w:rsid w:val="00B56644"/>
    <w:rsid w:val="00B97797"/>
    <w:rsid w:val="00BA656B"/>
    <w:rsid w:val="00BB1E60"/>
    <w:rsid w:val="00BB497E"/>
    <w:rsid w:val="00BC536E"/>
    <w:rsid w:val="00BD67E8"/>
    <w:rsid w:val="00BF0BCC"/>
    <w:rsid w:val="00C21F1E"/>
    <w:rsid w:val="00C3239B"/>
    <w:rsid w:val="00C3745C"/>
    <w:rsid w:val="00C4262F"/>
    <w:rsid w:val="00C42DCC"/>
    <w:rsid w:val="00C47DBD"/>
    <w:rsid w:val="00C54E85"/>
    <w:rsid w:val="00C61661"/>
    <w:rsid w:val="00C73BAF"/>
    <w:rsid w:val="00C85770"/>
    <w:rsid w:val="00C9655F"/>
    <w:rsid w:val="00CA2F93"/>
    <w:rsid w:val="00CA3E08"/>
    <w:rsid w:val="00CE4DF6"/>
    <w:rsid w:val="00CF37E7"/>
    <w:rsid w:val="00CF4E44"/>
    <w:rsid w:val="00D07F1F"/>
    <w:rsid w:val="00D10A23"/>
    <w:rsid w:val="00D26EA8"/>
    <w:rsid w:val="00D3093E"/>
    <w:rsid w:val="00D312CC"/>
    <w:rsid w:val="00D4030C"/>
    <w:rsid w:val="00D4747F"/>
    <w:rsid w:val="00D47FDD"/>
    <w:rsid w:val="00D513DE"/>
    <w:rsid w:val="00D533DE"/>
    <w:rsid w:val="00D57E4D"/>
    <w:rsid w:val="00D63592"/>
    <w:rsid w:val="00D64EE6"/>
    <w:rsid w:val="00D723B3"/>
    <w:rsid w:val="00D9333F"/>
    <w:rsid w:val="00D934B6"/>
    <w:rsid w:val="00D96DAD"/>
    <w:rsid w:val="00DA7B07"/>
    <w:rsid w:val="00DB647F"/>
    <w:rsid w:val="00DC50DD"/>
    <w:rsid w:val="00DD354A"/>
    <w:rsid w:val="00DD41DF"/>
    <w:rsid w:val="00DD5064"/>
    <w:rsid w:val="00DD6D3E"/>
    <w:rsid w:val="00DE10AB"/>
    <w:rsid w:val="00E039DE"/>
    <w:rsid w:val="00E13F6D"/>
    <w:rsid w:val="00E20B09"/>
    <w:rsid w:val="00E67982"/>
    <w:rsid w:val="00E700F0"/>
    <w:rsid w:val="00E80810"/>
    <w:rsid w:val="00E85F78"/>
    <w:rsid w:val="00E914DD"/>
    <w:rsid w:val="00EA4294"/>
    <w:rsid w:val="00EA4716"/>
    <w:rsid w:val="00EB09C1"/>
    <w:rsid w:val="00EE3E4D"/>
    <w:rsid w:val="00F018D2"/>
    <w:rsid w:val="00F2075A"/>
    <w:rsid w:val="00F27C0F"/>
    <w:rsid w:val="00F4148E"/>
    <w:rsid w:val="00F45AAE"/>
    <w:rsid w:val="00F56F14"/>
    <w:rsid w:val="00F82430"/>
    <w:rsid w:val="00F8442B"/>
    <w:rsid w:val="00F9328F"/>
    <w:rsid w:val="00FA6BF7"/>
    <w:rsid w:val="00FB0C73"/>
    <w:rsid w:val="00FB51F4"/>
    <w:rsid w:val="00FC3E19"/>
    <w:rsid w:val="00FD32A2"/>
    <w:rsid w:val="00FD4AD7"/>
    <w:rsid w:val="0D028765"/>
    <w:rsid w:val="293AD26E"/>
    <w:rsid w:val="308E378C"/>
    <w:rsid w:val="3137A247"/>
    <w:rsid w:val="3181CEBC"/>
    <w:rsid w:val="4BC8DAA1"/>
    <w:rsid w:val="62DD071E"/>
    <w:rsid w:val="67B08E19"/>
    <w:rsid w:val="7D53281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4E60A"/>
  <w15:chartTrackingRefBased/>
  <w15:docId w15:val="{1C7A4035-1FA7-4AAD-93F1-67019599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6E0"/>
    <w:rPr>
      <w:rFonts w:ascii="Poppins" w:hAnsi="Poppins"/>
    </w:rPr>
  </w:style>
  <w:style w:type="paragraph" w:styleId="Ttulo1">
    <w:name w:val="heading 1"/>
    <w:basedOn w:val="Normal"/>
    <w:next w:val="Normal"/>
    <w:link w:val="Ttulo1Char"/>
    <w:uiPriority w:val="9"/>
    <w:qFormat/>
    <w:rsid w:val="00B97797"/>
    <w:pPr>
      <w:keepNext/>
      <w:keepLines/>
      <w:spacing w:before="240" w:after="0"/>
      <w:outlineLvl w:val="0"/>
    </w:pPr>
    <w:rPr>
      <w:rFonts w:ascii="Dosis" w:eastAsiaTheme="majorEastAsia" w:hAnsi="Dosis" w:cstheme="majorBidi"/>
      <w:color w:val="01A77F"/>
      <w:sz w:val="32"/>
      <w:szCs w:val="32"/>
    </w:rPr>
  </w:style>
  <w:style w:type="paragraph" w:styleId="Ttulo2">
    <w:name w:val="heading 2"/>
    <w:basedOn w:val="Normal"/>
    <w:next w:val="Normal"/>
    <w:link w:val="Ttulo2Char"/>
    <w:uiPriority w:val="9"/>
    <w:unhideWhenUsed/>
    <w:qFormat/>
    <w:rsid w:val="00B97797"/>
    <w:pPr>
      <w:keepNext/>
      <w:keepLines/>
      <w:spacing w:before="40" w:after="0"/>
      <w:outlineLvl w:val="1"/>
    </w:pPr>
    <w:rPr>
      <w:rFonts w:ascii="Dosis" w:eastAsiaTheme="majorEastAsia" w:hAnsi="Dosis" w:cstheme="majorBidi"/>
      <w:color w:val="01A77F"/>
      <w:sz w:val="26"/>
      <w:szCs w:val="26"/>
    </w:rPr>
  </w:style>
  <w:style w:type="paragraph" w:styleId="Ttulo3">
    <w:name w:val="heading 3"/>
    <w:basedOn w:val="Normal"/>
    <w:next w:val="Normal"/>
    <w:link w:val="Ttulo3Char"/>
    <w:uiPriority w:val="9"/>
    <w:unhideWhenUsed/>
    <w:qFormat/>
    <w:rsid w:val="00B97797"/>
    <w:pPr>
      <w:keepNext/>
      <w:keepLines/>
      <w:spacing w:before="40" w:after="0"/>
      <w:outlineLvl w:val="2"/>
    </w:pPr>
    <w:rPr>
      <w:rFonts w:ascii="Dosis" w:eastAsiaTheme="majorEastAsia" w:hAnsi="Dosis" w:cstheme="majorBidi"/>
      <w:color w:val="01A7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63D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63DF"/>
  </w:style>
  <w:style w:type="paragraph" w:styleId="Rodap">
    <w:name w:val="footer"/>
    <w:basedOn w:val="Normal"/>
    <w:link w:val="RodapChar"/>
    <w:uiPriority w:val="99"/>
    <w:unhideWhenUsed/>
    <w:rsid w:val="007B63DF"/>
    <w:pPr>
      <w:tabs>
        <w:tab w:val="center" w:pos="4252"/>
        <w:tab w:val="right" w:pos="8504"/>
      </w:tabs>
      <w:spacing w:after="0" w:line="240" w:lineRule="auto"/>
    </w:pPr>
  </w:style>
  <w:style w:type="character" w:customStyle="1" w:styleId="RodapChar">
    <w:name w:val="Rodapé Char"/>
    <w:basedOn w:val="Fontepargpadro"/>
    <w:link w:val="Rodap"/>
    <w:uiPriority w:val="99"/>
    <w:rsid w:val="007B63DF"/>
  </w:style>
  <w:style w:type="table" w:styleId="Tabelacomgrade">
    <w:name w:val="Table Grid"/>
    <w:basedOn w:val="Tabe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B97797"/>
    <w:rPr>
      <w:rFonts w:ascii="Dosis" w:eastAsiaTheme="majorEastAsia" w:hAnsi="Dosis" w:cstheme="majorBidi"/>
      <w:color w:val="01A77F"/>
      <w:sz w:val="32"/>
      <w:szCs w:val="32"/>
    </w:rPr>
  </w:style>
  <w:style w:type="paragraph" w:styleId="Ttulo">
    <w:name w:val="Title"/>
    <w:basedOn w:val="Normal"/>
    <w:next w:val="Normal"/>
    <w:link w:val="TtuloChar"/>
    <w:uiPriority w:val="10"/>
    <w:qFormat/>
    <w:rsid w:val="00DD6D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6D3E"/>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B97797"/>
    <w:rPr>
      <w:rFonts w:ascii="Dosis" w:eastAsiaTheme="majorEastAsia" w:hAnsi="Dosis" w:cstheme="majorBidi"/>
      <w:color w:val="01A77F"/>
      <w:sz w:val="26"/>
      <w:szCs w:val="26"/>
    </w:rPr>
  </w:style>
  <w:style w:type="character" w:customStyle="1" w:styleId="Ttulo3Char">
    <w:name w:val="Título 3 Char"/>
    <w:basedOn w:val="Fontepargpadro"/>
    <w:link w:val="Ttulo3"/>
    <w:uiPriority w:val="9"/>
    <w:rsid w:val="00B97797"/>
    <w:rPr>
      <w:rFonts w:ascii="Dosis" w:eastAsiaTheme="majorEastAsia" w:hAnsi="Dosis" w:cstheme="majorBidi"/>
      <w:color w:val="01A77F"/>
      <w:sz w:val="24"/>
      <w:szCs w:val="24"/>
    </w:rPr>
  </w:style>
  <w:style w:type="character" w:styleId="Refdecomentrio">
    <w:name w:val="annotation reference"/>
    <w:basedOn w:val="Fontepargpadro"/>
    <w:uiPriority w:val="99"/>
    <w:semiHidden/>
    <w:unhideWhenUsed/>
    <w:rsid w:val="00D57E4D"/>
    <w:rPr>
      <w:sz w:val="16"/>
      <w:szCs w:val="16"/>
    </w:rPr>
  </w:style>
  <w:style w:type="paragraph" w:styleId="Textodecomentrio">
    <w:name w:val="annotation text"/>
    <w:basedOn w:val="Normal"/>
    <w:link w:val="TextodecomentrioChar"/>
    <w:uiPriority w:val="99"/>
    <w:semiHidden/>
    <w:unhideWhenUsed/>
    <w:rsid w:val="00D57E4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57E4D"/>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D57E4D"/>
    <w:rPr>
      <w:b/>
      <w:bCs/>
    </w:rPr>
  </w:style>
  <w:style w:type="character" w:customStyle="1" w:styleId="AssuntodocomentrioChar">
    <w:name w:val="Assunto do comentário Char"/>
    <w:basedOn w:val="TextodecomentrioChar"/>
    <w:link w:val="Assuntodocomentrio"/>
    <w:uiPriority w:val="99"/>
    <w:semiHidden/>
    <w:rsid w:val="00D57E4D"/>
    <w:rPr>
      <w:rFonts w:ascii="Arial" w:hAnsi="Arial"/>
      <w:b/>
      <w:bCs/>
      <w:sz w:val="20"/>
      <w:szCs w:val="20"/>
    </w:rPr>
  </w:style>
  <w:style w:type="paragraph" w:styleId="Textodebalo">
    <w:name w:val="Balloon Text"/>
    <w:basedOn w:val="Normal"/>
    <w:link w:val="TextodebaloChar"/>
    <w:uiPriority w:val="99"/>
    <w:semiHidden/>
    <w:unhideWhenUsed/>
    <w:rsid w:val="00D57E4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57E4D"/>
    <w:rPr>
      <w:rFonts w:ascii="Segoe UI" w:hAnsi="Segoe UI" w:cs="Segoe UI"/>
      <w:sz w:val="18"/>
      <w:szCs w:val="18"/>
    </w:rPr>
  </w:style>
  <w:style w:type="paragraph" w:styleId="Reviso">
    <w:name w:val="Revision"/>
    <w:hidden/>
    <w:uiPriority w:val="99"/>
    <w:semiHidden/>
    <w:rsid w:val="003504BA"/>
    <w:pPr>
      <w:spacing w:after="0" w:line="240" w:lineRule="auto"/>
    </w:pPr>
    <w:rPr>
      <w:rFonts w:ascii="Arial" w:hAnsi="Arial"/>
    </w:rPr>
  </w:style>
  <w:style w:type="paragraph" w:styleId="SemEspaamento">
    <w:name w:val="No Spacing"/>
    <w:uiPriority w:val="1"/>
    <w:qFormat/>
    <w:rsid w:val="00D26EA8"/>
    <w:pPr>
      <w:spacing w:after="0" w:line="240" w:lineRule="auto"/>
    </w:pPr>
    <w:rPr>
      <w:rFonts w:ascii="Arial" w:hAnsi="Arial"/>
    </w:rPr>
  </w:style>
  <w:style w:type="character" w:styleId="Hyperlink">
    <w:name w:val="Hyperlink"/>
    <w:basedOn w:val="Fontepargpadro"/>
    <w:uiPriority w:val="99"/>
    <w:unhideWhenUsed/>
    <w:rsid w:val="0069409A"/>
    <w:rPr>
      <w:color w:val="0563C1" w:themeColor="hyperlink"/>
      <w:u w:val="single"/>
    </w:rPr>
  </w:style>
  <w:style w:type="character" w:styleId="MenoPendente">
    <w:name w:val="Unresolved Mention"/>
    <w:basedOn w:val="Fontepargpadro"/>
    <w:uiPriority w:val="99"/>
    <w:semiHidden/>
    <w:unhideWhenUsed/>
    <w:rsid w:val="0069409A"/>
    <w:rPr>
      <w:color w:val="605E5C"/>
      <w:shd w:val="clear" w:color="auto" w:fill="E1DFDD"/>
    </w:rPr>
  </w:style>
  <w:style w:type="paragraph" w:styleId="PargrafodaLista">
    <w:name w:val="List Paragraph"/>
    <w:basedOn w:val="Normal"/>
    <w:uiPriority w:val="34"/>
    <w:qFormat/>
    <w:rsid w:val="00CF4E44"/>
    <w:pPr>
      <w:ind w:left="720"/>
      <w:contextualSpacing/>
    </w:pPr>
  </w:style>
  <w:style w:type="paragraph" w:customStyle="1" w:styleId="font-claude-response-body">
    <w:name w:val="font-claude-response-body"/>
    <w:basedOn w:val="Normal"/>
    <w:rsid w:val="00D63592"/>
    <w:pPr>
      <w:spacing w:before="100" w:beforeAutospacing="1" w:after="100" w:afterAutospacing="1" w:line="240" w:lineRule="auto"/>
    </w:pPr>
    <w:rPr>
      <w:rFonts w:ascii="Times New Roman" w:eastAsiaTheme="minorEastAsia" w:hAnsi="Times New Roman" w:cs="Times New Roman"/>
      <w:sz w:val="24"/>
      <w:szCs w:val="24"/>
      <w:lang w:eastAsia="pt-BR"/>
    </w:rPr>
  </w:style>
  <w:style w:type="character" w:styleId="Forte">
    <w:name w:val="Strong"/>
    <w:basedOn w:val="Fontepargpadro"/>
    <w:uiPriority w:val="22"/>
    <w:qFormat/>
    <w:rsid w:val="00D635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8561">
      <w:bodyDiv w:val="1"/>
      <w:marLeft w:val="0"/>
      <w:marRight w:val="0"/>
      <w:marTop w:val="0"/>
      <w:marBottom w:val="0"/>
      <w:divBdr>
        <w:top w:val="none" w:sz="0" w:space="0" w:color="auto"/>
        <w:left w:val="none" w:sz="0" w:space="0" w:color="auto"/>
        <w:bottom w:val="none" w:sz="0" w:space="0" w:color="auto"/>
        <w:right w:val="none" w:sz="0" w:space="0" w:color="auto"/>
      </w:divBdr>
    </w:div>
    <w:div w:id="462356939">
      <w:bodyDiv w:val="1"/>
      <w:marLeft w:val="0"/>
      <w:marRight w:val="0"/>
      <w:marTop w:val="0"/>
      <w:marBottom w:val="0"/>
      <w:divBdr>
        <w:top w:val="none" w:sz="0" w:space="0" w:color="auto"/>
        <w:left w:val="none" w:sz="0" w:space="0" w:color="auto"/>
        <w:bottom w:val="none" w:sz="0" w:space="0" w:color="auto"/>
        <w:right w:val="none" w:sz="0" w:space="0" w:color="auto"/>
      </w:divBdr>
    </w:div>
    <w:div w:id="820733304">
      <w:bodyDiv w:val="1"/>
      <w:marLeft w:val="0"/>
      <w:marRight w:val="0"/>
      <w:marTop w:val="0"/>
      <w:marBottom w:val="0"/>
      <w:divBdr>
        <w:top w:val="none" w:sz="0" w:space="0" w:color="auto"/>
        <w:left w:val="none" w:sz="0" w:space="0" w:color="auto"/>
        <w:bottom w:val="none" w:sz="0" w:space="0" w:color="auto"/>
        <w:right w:val="none" w:sz="0" w:space="0" w:color="auto"/>
      </w:divBdr>
    </w:div>
    <w:div w:id="1537623099">
      <w:bodyDiv w:val="1"/>
      <w:marLeft w:val="0"/>
      <w:marRight w:val="0"/>
      <w:marTop w:val="0"/>
      <w:marBottom w:val="0"/>
      <w:divBdr>
        <w:top w:val="none" w:sz="0" w:space="0" w:color="auto"/>
        <w:left w:val="none" w:sz="0" w:space="0" w:color="auto"/>
        <w:bottom w:val="none" w:sz="0" w:space="0" w:color="auto"/>
        <w:right w:val="none" w:sz="0" w:space="0" w:color="auto"/>
      </w:divBdr>
    </w:div>
    <w:div w:id="1735274258">
      <w:bodyDiv w:val="1"/>
      <w:marLeft w:val="0"/>
      <w:marRight w:val="0"/>
      <w:marTop w:val="0"/>
      <w:marBottom w:val="0"/>
      <w:divBdr>
        <w:top w:val="none" w:sz="0" w:space="0" w:color="auto"/>
        <w:left w:val="none" w:sz="0" w:space="0" w:color="auto"/>
        <w:bottom w:val="none" w:sz="0" w:space="0" w:color="auto"/>
        <w:right w:val="none" w:sz="0" w:space="0" w:color="auto"/>
      </w:divBdr>
    </w:div>
    <w:div w:id="175724714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https://edufecap-my.sharepoint.com/personal/fabricio_segundo_edu_fecap_br/Documents/Gr&#225;ficos%20-%20%20Extens&#227;o%20Macro%20I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https://edufecap-my.sharepoint.com/personal/fabricio_segundo_edu_fecap_br/Documents/Gr&#225;ficos%20-%20%20Extens&#227;o%20Macro%20IV.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solidFill>
                <a:latin typeface="Dosis" panose="020F0502020204030204" pitchFamily="2" charset="0"/>
                <a:ea typeface="+mn-ea"/>
                <a:cs typeface="+mn-cs"/>
              </a:defRPr>
            </a:pPr>
            <a:r>
              <a:rPr lang="pt-BR" sz="1400" b="1" i="0" u="none" strike="noStrike" baseline="0">
                <a:solidFill>
                  <a:schemeClr val="tx1"/>
                </a:solidFill>
              </a:rPr>
              <a:t>Índice de Produção Industrial – Série Dessazonalizada (IBGE)</a:t>
            </a:r>
            <a:r>
              <a:rPr lang="en-US" b="1">
                <a:solidFill>
                  <a:schemeClr val="tx1"/>
                </a:solidFill>
                <a:latin typeface="Dosis" panose="020F0502020204030204" pitchFamily="2" charset="0"/>
              </a:rPr>
              <a:t> </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solidFill>
              <a:latin typeface="Dosis" panose="020F0502020204030204" pitchFamily="2" charset="0"/>
              <a:ea typeface="+mn-ea"/>
              <a:cs typeface="+mn-cs"/>
            </a:defRPr>
          </a:pPr>
          <a:endParaRPr lang="pt-BR"/>
        </a:p>
      </c:txPr>
    </c:title>
    <c:autoTitleDeleted val="0"/>
    <c:plotArea>
      <c:layout/>
      <c:barChart>
        <c:barDir val="col"/>
        <c:grouping val="stacked"/>
        <c:varyColors val="0"/>
        <c:ser>
          <c:idx val="0"/>
          <c:order val="0"/>
          <c:tx>
            <c:strRef>
              <c:f>Prod.!$D$2</c:f>
              <c:strCache>
                <c:ptCount val="1"/>
                <c:pt idx="0">
                  <c:v>Indústria Geral </c:v>
                </c:pt>
              </c:strCache>
            </c:strRef>
          </c:tx>
          <c:spPr>
            <a:solidFill>
              <a:srgbClr val="01A77F"/>
            </a:solidFill>
            <a:ln>
              <a:noFill/>
            </a:ln>
            <a:effectLst/>
          </c:spPr>
          <c:invertIfNegative val="0"/>
          <c:dPt>
            <c:idx val="0"/>
            <c:invertIfNegative val="0"/>
            <c:bubble3D val="0"/>
            <c:extLst>
              <c:ext xmlns:c16="http://schemas.microsoft.com/office/drawing/2014/chart" uri="{C3380CC4-5D6E-409C-BE32-E72D297353CC}">
                <c16:uniqueId val="{00000000-E559-48B3-A75A-B4976DE60090}"/>
              </c:ext>
            </c:extLst>
          </c:dPt>
          <c:cat>
            <c:numRef>
              <c:f>Prod.!$E$1:$V$1</c:f>
              <c:numCache>
                <c:formatCode>mmm\-yy</c:formatCode>
                <c:ptCount val="18"/>
                <c:pt idx="0">
                  <c:v>45292</c:v>
                </c:pt>
                <c:pt idx="1">
                  <c:v>45323</c:v>
                </c:pt>
                <c:pt idx="2">
                  <c:v>45352</c:v>
                </c:pt>
                <c:pt idx="3">
                  <c:v>45383</c:v>
                </c:pt>
                <c:pt idx="4">
                  <c:v>45413</c:v>
                </c:pt>
                <c:pt idx="5">
                  <c:v>45444</c:v>
                </c:pt>
                <c:pt idx="6">
                  <c:v>45474</c:v>
                </c:pt>
                <c:pt idx="7">
                  <c:v>45505</c:v>
                </c:pt>
                <c:pt idx="8">
                  <c:v>45536</c:v>
                </c:pt>
                <c:pt idx="9">
                  <c:v>45566</c:v>
                </c:pt>
                <c:pt idx="10">
                  <c:v>45597</c:v>
                </c:pt>
                <c:pt idx="11">
                  <c:v>45627</c:v>
                </c:pt>
                <c:pt idx="12">
                  <c:v>45658</c:v>
                </c:pt>
                <c:pt idx="13">
                  <c:v>45689</c:v>
                </c:pt>
                <c:pt idx="14">
                  <c:v>45717</c:v>
                </c:pt>
                <c:pt idx="15">
                  <c:v>45748</c:v>
                </c:pt>
                <c:pt idx="16">
                  <c:v>45778</c:v>
                </c:pt>
                <c:pt idx="17">
                  <c:v>45809</c:v>
                </c:pt>
              </c:numCache>
            </c:numRef>
          </c:cat>
          <c:val>
            <c:numRef>
              <c:f>Prod.!$E$2:$X$2</c:f>
              <c:numCache>
                <c:formatCode>0.00</c:formatCode>
                <c:ptCount val="20"/>
                <c:pt idx="0">
                  <c:v>101.54817</c:v>
                </c:pt>
                <c:pt idx="1">
                  <c:v>101.79449</c:v>
                </c:pt>
                <c:pt idx="2">
                  <c:v>102.28316</c:v>
                </c:pt>
                <c:pt idx="3">
                  <c:v>101.88361999999999</c:v>
                </c:pt>
                <c:pt idx="4">
                  <c:v>100.63697999999999</c:v>
                </c:pt>
                <c:pt idx="5">
                  <c:v>105.11208000000001</c:v>
                </c:pt>
                <c:pt idx="6">
                  <c:v>103.62291999999999</c:v>
                </c:pt>
                <c:pt idx="7">
                  <c:v>103.3237</c:v>
                </c:pt>
                <c:pt idx="8">
                  <c:v>104.39033000000001</c:v>
                </c:pt>
                <c:pt idx="9">
                  <c:v>104.33896</c:v>
                </c:pt>
                <c:pt idx="10">
                  <c:v>103.58506</c:v>
                </c:pt>
                <c:pt idx="11">
                  <c:v>103.17453</c:v>
                </c:pt>
                <c:pt idx="12">
                  <c:v>103.34050999999999</c:v>
                </c:pt>
                <c:pt idx="13">
                  <c:v>103.33569</c:v>
                </c:pt>
                <c:pt idx="14">
                  <c:v>105.18723</c:v>
                </c:pt>
                <c:pt idx="15">
                  <c:v>104.46033</c:v>
                </c:pt>
                <c:pt idx="16">
                  <c:v>103.92474</c:v>
                </c:pt>
                <c:pt idx="17">
                  <c:v>104.00121</c:v>
                </c:pt>
                <c:pt idx="18">
                  <c:v>102.20975</c:v>
                </c:pt>
                <c:pt idx="19">
                  <c:v>104.04161833333335</c:v>
                </c:pt>
              </c:numCache>
            </c:numRef>
          </c:val>
          <c:extLst>
            <c:ext xmlns:c16="http://schemas.microsoft.com/office/drawing/2014/chart" uri="{C3380CC4-5D6E-409C-BE32-E72D297353CC}">
              <c16:uniqueId val="{00000001-E559-48B3-A75A-B4976DE60090}"/>
            </c:ext>
          </c:extLst>
        </c:ser>
        <c:dLbls>
          <c:showLegendKey val="0"/>
          <c:showVal val="0"/>
          <c:showCatName val="0"/>
          <c:showSerName val="0"/>
          <c:showPercent val="0"/>
          <c:showBubbleSize val="0"/>
        </c:dLbls>
        <c:gapWidth val="150"/>
        <c:overlap val="100"/>
        <c:axId val="134872495"/>
        <c:axId val="134889295"/>
      </c:barChart>
      <c:dateAx>
        <c:axId val="1348724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sz="800" b="0" i="0" u="none" strike="noStrike" kern="1200" baseline="0">
                    <a:solidFill>
                      <a:schemeClr val="tx1"/>
                    </a:solidFill>
                    <a:latin typeface="Poppins" panose="00000500000000000000" pitchFamily="2" charset="0"/>
                    <a:cs typeface="Poppins" panose="00000500000000000000" pitchFamily="2" charset="0"/>
                  </a:rPr>
                  <a:t>Fonte: IBGE. Elaboração: FECAP</a:t>
                </a:r>
                <a:endParaRPr lang="pt-BR" sz="1000" b="0" i="0" u="none" strike="noStrike" kern="1200" baseline="0">
                  <a:solidFill>
                    <a:schemeClr val="tx1"/>
                  </a:solidFill>
                  <a:latin typeface="Poppins" panose="00000500000000000000" pitchFamily="2" charset="0"/>
                  <a:cs typeface="Poppins" panose="00000500000000000000" pitchFamily="2" charset="0"/>
                </a:endParaRPr>
              </a:p>
            </c:rich>
          </c:tx>
          <c:layout>
            <c:manualLayout>
              <c:xMode val="edge"/>
              <c:yMode val="edge"/>
              <c:x val="2.6728560860824663E-2"/>
              <c:y val="0.9279659441523687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title>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3600000" spcFirstLastPara="1" vertOverflow="ellipsis" wrap="square" anchor="ctr" anchorCtr="1"/>
          <a:lstStyle/>
          <a:p>
            <a:pPr>
              <a:defRPr sz="900" b="0" i="0" u="none" strike="noStrike" kern="1200" baseline="0">
                <a:solidFill>
                  <a:schemeClr val="tx1"/>
                </a:solidFill>
                <a:latin typeface="Poppins" panose="00000500000000000000" pitchFamily="2" charset="0"/>
                <a:ea typeface="+mn-ea"/>
                <a:cs typeface="Poppins" panose="00000500000000000000" pitchFamily="2" charset="0"/>
              </a:defRPr>
            </a:pPr>
            <a:endParaRPr lang="pt-BR"/>
          </a:p>
        </c:txPr>
        <c:crossAx val="134889295"/>
        <c:crosses val="autoZero"/>
        <c:auto val="1"/>
        <c:lblOffset val="100"/>
        <c:baseTimeUnit val="months"/>
      </c:dateAx>
      <c:valAx>
        <c:axId val="13488929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Poppins" panose="00000500000000000000" pitchFamily="2" charset="0"/>
                <a:ea typeface="+mn-ea"/>
                <a:cs typeface="Poppins" panose="00000500000000000000" pitchFamily="2" charset="0"/>
              </a:defRPr>
            </a:pPr>
            <a:endParaRPr lang="pt-BR"/>
          </a:p>
        </c:txPr>
        <c:crossAx val="134872495"/>
        <c:crosses val="autoZero"/>
        <c:crossBetween val="between"/>
      </c:valAx>
      <c:spPr>
        <a:noFill/>
        <a:ln w="25400">
          <a:noFill/>
        </a:ln>
        <a:effectLst/>
      </c:spPr>
    </c:plotArea>
    <c:legend>
      <c:legendPos val="b"/>
      <c:layout>
        <c:manualLayout>
          <c:xMode val="edge"/>
          <c:yMode val="edge"/>
          <c:x val="0.42699205612315"/>
          <c:y val="0.85095511245625"/>
          <c:w val="0.18722067569081147"/>
          <c:h val="9.808950760519076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1">
                <a:solidFill>
                  <a:srgbClr val="01A77F"/>
                </a:solidFill>
                <a:latin typeface="Dosis"/>
              </a:defRPr>
            </a:pPr>
            <a:r>
              <a:rPr lang="pt-BR" sz="1400" b="1" i="0" u="none" strike="noStrike" baseline="0">
                <a:effectLst/>
              </a:rPr>
              <a:t>Expectativa da Taxa de Inflação Acumulada pelo IGP-M (variação anual, %)</a:t>
            </a:r>
          </a:p>
          <a:p>
            <a:pPr>
              <a:defRPr sz="1400" b="1">
                <a:solidFill>
                  <a:srgbClr val="01A77F"/>
                </a:solidFill>
                <a:latin typeface="Dosis"/>
              </a:defRPr>
            </a:pPr>
            <a:endParaRPr lang="pt-BR" sz="1400" b="1" i="0" u="none" strike="noStrike" baseline="0">
              <a:effectLst/>
            </a:endParaRPr>
          </a:p>
        </c:rich>
      </c:tx>
      <c:layout>
        <c:manualLayout>
          <c:xMode val="edge"/>
          <c:yMode val="edge"/>
          <c:x val="0.13097666666666669"/>
          <c:y val="0"/>
        </c:manualLayout>
      </c:layout>
      <c:overlay val="0"/>
      <c:spPr>
        <a:ln>
          <a:noFill/>
        </a:ln>
      </c:spPr>
    </c:title>
    <c:autoTitleDeleted val="0"/>
    <c:plotArea>
      <c:layout>
        <c:manualLayout>
          <c:layoutTarget val="inner"/>
          <c:xMode val="edge"/>
          <c:yMode val="edge"/>
          <c:x val="4.7601481481481481E-2"/>
          <c:y val="0.23557716049382715"/>
          <c:w val="0.84650759259259256"/>
          <c:h val="0.67034876543209876"/>
        </c:manualLayout>
      </c:layout>
      <c:barChart>
        <c:barDir val="bar"/>
        <c:grouping val="stacked"/>
        <c:varyColors val="0"/>
        <c:ser>
          <c:idx val="0"/>
          <c:order val="0"/>
          <c:tx>
            <c:strRef>
              <c:f>IGPM!$B$1</c:f>
              <c:strCache>
                <c:ptCount val="1"/>
              </c:strCache>
            </c:strRef>
          </c:tx>
          <c:spPr>
            <a:ln w="20000">
              <a:noFill/>
              <a:prstDash val="solid"/>
            </a:ln>
          </c:spPr>
          <c:invertIfNegative val="0"/>
          <c:dPt>
            <c:idx val="0"/>
            <c:invertIfNegative val="0"/>
            <c:bubble3D val="0"/>
            <c:spPr>
              <a:solidFill>
                <a:srgbClr val="056633"/>
              </a:solidFill>
              <a:ln w="20000">
                <a:noFill/>
                <a:prstDash val="solid"/>
              </a:ln>
            </c:spPr>
            <c:extLst>
              <c:ext xmlns:c16="http://schemas.microsoft.com/office/drawing/2014/chart" uri="{C3380CC4-5D6E-409C-BE32-E72D297353CC}">
                <c16:uniqueId val="{00000001-3F12-45D5-9669-DBDF66506D9A}"/>
              </c:ext>
            </c:extLst>
          </c:dPt>
          <c:dPt>
            <c:idx val="1"/>
            <c:invertIfNegative val="0"/>
            <c:bubble3D val="0"/>
            <c:spPr>
              <a:solidFill>
                <a:srgbClr val="4EA72E"/>
              </a:solidFill>
              <a:ln w="20000">
                <a:noFill/>
                <a:prstDash val="solid"/>
              </a:ln>
            </c:spPr>
            <c:extLst>
              <c:ext xmlns:c16="http://schemas.microsoft.com/office/drawing/2014/chart" uri="{C3380CC4-5D6E-409C-BE32-E72D297353CC}">
                <c16:uniqueId val="{00000003-3F12-45D5-9669-DBDF66506D9A}"/>
              </c:ext>
            </c:extLst>
          </c:dPt>
          <c:dPt>
            <c:idx val="2"/>
            <c:invertIfNegative val="0"/>
            <c:bubble3D val="0"/>
            <c:spPr>
              <a:solidFill>
                <a:schemeClr val="tx1"/>
              </a:solidFill>
              <a:ln w="20000">
                <a:noFill/>
                <a:prstDash val="solid"/>
              </a:ln>
            </c:spPr>
            <c:extLst>
              <c:ext xmlns:c16="http://schemas.microsoft.com/office/drawing/2014/chart" uri="{C3380CC4-5D6E-409C-BE32-E72D297353CC}">
                <c16:uniqueId val="{00000005-3F12-45D5-9669-DBDF66506D9A}"/>
              </c:ext>
            </c:extLst>
          </c:dPt>
          <c:dLbls>
            <c:dLbl>
              <c:idx val="0"/>
              <c:layout>
                <c:manualLayout>
                  <c:x val="-6.5851851851851856E-2"/>
                  <c:y val="3.0864197530864198E-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F12-45D5-9669-DBDF66506D9A}"/>
                </c:ext>
              </c:extLst>
            </c:dLbl>
            <c:dLbl>
              <c:idx val="1"/>
              <c:layout>
                <c:manualLayout>
                  <c:x val="0.3480740740740739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F12-45D5-9669-DBDF66506D9A}"/>
                </c:ext>
              </c:extLst>
            </c:dLbl>
            <c:dLbl>
              <c:idx val="2"/>
              <c:layout>
                <c:manualLayout>
                  <c:x val="0.34807407407407409"/>
                  <c:y val="-3.5930654884856425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F12-45D5-9669-DBDF66506D9A}"/>
                </c:ext>
              </c:extLst>
            </c:dLbl>
            <c:spPr>
              <a:noFill/>
              <a:ln>
                <a:noFill/>
              </a:ln>
              <a:effectLst/>
            </c:spPr>
            <c:txPr>
              <a:bodyPr wrap="square" lIns="38100" tIns="19050" rIns="38100" bIns="19050" anchor="ctr">
                <a:spAutoFit/>
              </a:bodyPr>
              <a:lstStyle/>
              <a:p>
                <a:pPr>
                  <a:defRPr sz="900">
                    <a:latin typeface="Poppins" panose="00000500000000000000" pitchFamily="2" charset="0"/>
                    <a:cs typeface="Poppins" panose="00000500000000000000" pitchFamily="2"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IGPM!$H$6:$H$8</c:f>
              <c:strCache>
                <c:ptCount val="3"/>
                <c:pt idx="0">
                  <c:v>2025</c:v>
                </c:pt>
                <c:pt idx="1">
                  <c:v>2026</c:v>
                </c:pt>
                <c:pt idx="2">
                  <c:v>2027</c:v>
                </c:pt>
              </c:strCache>
            </c:strRef>
          </c:cat>
          <c:val>
            <c:numRef>
              <c:f>IGPM!$I$6:$I$8</c:f>
              <c:numCache>
                <c:formatCode>0.00%</c:formatCode>
                <c:ptCount val="3"/>
                <c:pt idx="0">
                  <c:v>-3.2000000000000002E-3</c:v>
                </c:pt>
                <c:pt idx="1">
                  <c:v>4.02E-2</c:v>
                </c:pt>
                <c:pt idx="2">
                  <c:v>0.04</c:v>
                </c:pt>
              </c:numCache>
            </c:numRef>
          </c:val>
          <c:extLst>
            <c:ext xmlns:c16="http://schemas.microsoft.com/office/drawing/2014/chart" uri="{C3380CC4-5D6E-409C-BE32-E72D297353CC}">
              <c16:uniqueId val="{00000006-3F12-45D5-9669-DBDF66506D9A}"/>
            </c:ext>
          </c:extLst>
        </c:ser>
        <c:dLbls>
          <c:showLegendKey val="0"/>
          <c:showVal val="0"/>
          <c:showCatName val="0"/>
          <c:showSerName val="0"/>
          <c:showPercent val="0"/>
          <c:showBubbleSize val="0"/>
        </c:dLbls>
        <c:gapWidth val="110"/>
        <c:overlap val="-50"/>
        <c:axId val="10"/>
        <c:axId val="100"/>
      </c:barChart>
      <c:catAx>
        <c:axId val="10"/>
        <c:scaling>
          <c:orientation val="minMax"/>
        </c:scaling>
        <c:delete val="1"/>
        <c:axPos val="l"/>
        <c:numFmt formatCode="General" sourceLinked="1"/>
        <c:majorTickMark val="out"/>
        <c:minorTickMark val="none"/>
        <c:tickLblPos val="nextTo"/>
        <c:crossAx val="100"/>
        <c:crosses val="autoZero"/>
        <c:auto val="0"/>
        <c:lblAlgn val="ctr"/>
        <c:lblOffset val="50"/>
        <c:noMultiLvlLbl val="0"/>
      </c:catAx>
      <c:valAx>
        <c:axId val="100"/>
        <c:scaling>
          <c:orientation val="minMax"/>
        </c:scaling>
        <c:delete val="0"/>
        <c:axPos val="b"/>
        <c:majorGridlines>
          <c:spPr>
            <a:ln w="0" cap="sq">
              <a:solidFill>
                <a:schemeClr val="bg2">
                  <a:lumMod val="75000"/>
                </a:schemeClr>
              </a:solidFill>
              <a:prstDash val="sysDot"/>
            </a:ln>
          </c:spPr>
        </c:majorGridlines>
        <c:numFmt formatCode="0.00%" sourceLinked="1"/>
        <c:majorTickMark val="out"/>
        <c:minorTickMark val="none"/>
        <c:tickLblPos val="high"/>
        <c:txPr>
          <a:bodyPr/>
          <a:lstStyle/>
          <a:p>
            <a:pPr>
              <a:defRPr sz="900">
                <a:latin typeface="Poppins" panose="00000500000000000000" pitchFamily="2" charset="0"/>
                <a:cs typeface="Poppins" panose="00000500000000000000" pitchFamily="2" charset="0"/>
              </a:defRPr>
            </a:pPr>
            <a:endParaRPr lang="pt-BR"/>
          </a:p>
        </c:txPr>
        <c:crossAx val="10"/>
        <c:crosses val="autoZero"/>
        <c:crossBetween val="between"/>
      </c:valAx>
      <c:spPr>
        <a:effectLst>
          <a:softEdge rad="0"/>
        </a:effectLst>
      </c:spPr>
    </c:plotArea>
    <c:legend>
      <c:legendPos val="b"/>
      <c:layout>
        <c:manualLayout>
          <c:xMode val="edge"/>
          <c:yMode val="edge"/>
          <c:x val="0.3437472222222222"/>
          <c:y val="0.90449537037037042"/>
          <c:w val="0.28428333333333333"/>
          <c:h val="7.590586419753087E-2"/>
        </c:manualLayout>
      </c:layout>
      <c:overlay val="0"/>
      <c:txPr>
        <a:bodyPr/>
        <a:lstStyle/>
        <a:p>
          <a:pPr>
            <a:defRPr sz="900">
              <a:latin typeface="Poppins" panose="00000500000000000000" pitchFamily="2" charset="0"/>
              <a:cs typeface="Poppins" panose="00000500000000000000" pitchFamily="2" charset="0"/>
            </a:defRPr>
          </a:pPr>
          <a:endParaRPr lang="pt-BR"/>
        </a:p>
      </c:txPr>
    </c:legend>
    <c:plotVisOnly val="1"/>
    <c:dispBlanksAs val="gap"/>
    <c:showDLblsOverMax val="0"/>
  </c:chart>
  <c:spPr>
    <a:ln>
      <a:noFill/>
    </a:ln>
  </c:spPr>
  <c:externalData r:id="rId1">
    <c:autoUpdate val="0"/>
  </c:externalData>
  <c:userShapes r:id="rId2"/>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0.09596</cdr:x>
      <cdr:y>0.71778</cdr:y>
    </cdr:from>
    <cdr:to>
      <cdr:x>0.40781</cdr:x>
      <cdr:y>0.8255</cdr:y>
    </cdr:to>
    <cdr:sp macro="" textlink="">
      <cdr:nvSpPr>
        <cdr:cNvPr id="2" name="CaixaDeTexto 1">
          <a:extLst xmlns:a="http://schemas.openxmlformats.org/drawingml/2006/main">
            <a:ext uri="{FF2B5EF4-FFF2-40B4-BE49-F238E27FC236}">
              <a16:creationId xmlns:a16="http://schemas.microsoft.com/office/drawing/2014/main" id="{21715504-0FDA-E724-42FC-786D35355B1E}"/>
            </a:ext>
          </a:extLst>
        </cdr:cNvPr>
        <cdr:cNvSpPr txBox="1"/>
      </cdr:nvSpPr>
      <cdr:spPr>
        <a:xfrm xmlns:a="http://schemas.openxmlformats.org/drawingml/2006/main">
          <a:off x="518160" y="2325600"/>
          <a:ext cx="1684020" cy="34902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kern="1200"/>
        </a:p>
      </cdr:txBody>
    </cdr:sp>
  </cdr:relSizeAnchor>
  <cdr:relSizeAnchor xmlns:cdr="http://schemas.openxmlformats.org/drawingml/2006/chartDrawing">
    <cdr:from>
      <cdr:x>0.02258</cdr:x>
      <cdr:y>0.9205</cdr:y>
    </cdr:from>
    <cdr:to>
      <cdr:x>0.39652</cdr:x>
      <cdr:y>0.98543</cdr:y>
    </cdr:to>
    <cdr:sp macro="" textlink="">
      <cdr:nvSpPr>
        <cdr:cNvPr id="3" name="CaixaDeTexto 2">
          <a:extLst xmlns:a="http://schemas.openxmlformats.org/drawingml/2006/main">
            <a:ext uri="{FF2B5EF4-FFF2-40B4-BE49-F238E27FC236}">
              <a16:creationId xmlns:a16="http://schemas.microsoft.com/office/drawing/2014/main" id="{BCFDA987-F4B9-A343-5AFE-625A1FFF11E6}"/>
            </a:ext>
          </a:extLst>
        </cdr:cNvPr>
        <cdr:cNvSpPr txBox="1"/>
      </cdr:nvSpPr>
      <cdr:spPr>
        <a:xfrm xmlns:a="http://schemas.openxmlformats.org/drawingml/2006/main">
          <a:off x="121920" y="2982419"/>
          <a:ext cx="2019300" cy="21036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pt-BR" sz="800" kern="1200">
              <a:latin typeface="Poppins" panose="00000500000000000000" pitchFamily="2" charset="0"/>
              <a:cs typeface="Poppins" panose="00000500000000000000" pitchFamily="2" charset="0"/>
            </a:rPr>
            <a:t>Fonte:</a:t>
          </a:r>
          <a:r>
            <a:rPr lang="pt-BR" sz="800" kern="1200" baseline="0">
              <a:latin typeface="Poppins" panose="00000500000000000000" pitchFamily="2" charset="0"/>
              <a:cs typeface="Poppins" panose="00000500000000000000" pitchFamily="2" charset="0"/>
            </a:rPr>
            <a:t> Bacen. Elaboração: FECAP</a:t>
          </a:r>
          <a:endParaRPr lang="pt-BR" sz="800" kern="1200">
            <a:latin typeface="Poppins" panose="00000500000000000000" pitchFamily="2" charset="0"/>
            <a:cs typeface="Poppins" panose="00000500000000000000" pitchFamily="2" charset="0"/>
          </a:endParaRP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1953</Words>
  <Characters>10536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Ivo Silva Oliveira</dc:creator>
  <cp:keywords/>
  <dc:description/>
  <cp:lastModifiedBy>Fabricio Segundo 23025536</cp:lastModifiedBy>
  <cp:revision>69</cp:revision>
  <cp:lastPrinted>2025-02-10T19:35:00Z</cp:lastPrinted>
  <dcterms:created xsi:type="dcterms:W3CDTF">2025-11-21T09:24:00Z</dcterms:created>
  <dcterms:modified xsi:type="dcterms:W3CDTF">2025-11-23T23:21:00Z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81f5a8f27dd062a5e2e4dc4839fbfed7e23e59d48861238e85c2d6c1fbdcdb0b</vt:lpwstr>
  </property>
</Properties>
</file>