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highlight w:val="none"/>
        </w:rPr>
      </w:r>
      <w:r>
        <w:rPr>
          <w:rFonts w:ascii="Arial" w:hAnsi="Arial" w:cs="Arial" w:eastAsia="Arial"/>
          <w:color w:val="253A44"/>
          <w:highlight w:val="none"/>
        </w:rP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b/>
          <w:color w:val="FF0000"/>
          <w:sz w:val="28"/>
        </w:rPr>
        <w:t xml:space="preserve">Modulos</w:t>
      </w:r>
      <w:r>
        <w:rPr>
          <w:rFonts w:ascii="Arial" w:hAnsi="Arial" w:cs="Arial" w:eastAsia="Arial"/>
          <w:color w:val="292929"/>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À medida que os problemas vão se tornando maiores e mais complexos, sempre é possível simplificar dividindo a solução em partes menores, chamadas de subprogramas (em Java, métodos). Cada parte menor do problema tem uma implementação mais simples, favorecen</w:t>
      </w:r>
      <w:r>
        <w:rPr>
          <w:rFonts w:ascii="Arial" w:hAnsi="Arial" w:cs="Arial" w:eastAsia="Arial"/>
          <w:color w:val="000000" w:themeColor="text1"/>
          <w:sz w:val="24"/>
          <w:highlight w:val="white"/>
        </w:rPr>
        <w:t xml:space="preserve">do a legibilidade e a manutenibilidade do subprograma.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 momento que é criado um projeto java, pode ser definido o modulo daquele projeto, pode ser definido o nome do modulo como “app.calculo”, ou após ter criado o projeto sem ter definido o módulo, pode também criar um arquivo com o nome </w:t>
      </w:r>
      <w:r>
        <w:rPr>
          <w:rFonts w:ascii="Arial" w:hAnsi="Arial" w:cs="Arial" w:eastAsia="Arial"/>
          <w:color w:val="000000" w:themeColor="text1"/>
          <w:sz w:val="24"/>
          <w:highlight w:val="none"/>
        </w:rPr>
        <w:t xml:space="preserve">“module-info.java” para definir os módulos a serem exportados ou importados,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Normalmente o modulo tem o mesmo nome do projeto separando por ponto(.), e dentro do “</w:t>
      </w:r>
      <w:r>
        <w:rPr>
          <w:rFonts w:ascii="Arial" w:hAnsi="Arial" w:cs="Arial" w:eastAsia="Arial"/>
          <w:color w:val="FF0000"/>
          <w:sz w:val="24"/>
          <w:highlight w:val="none"/>
        </w:rPr>
        <w:t xml:space="preserve">module</w:t>
      </w:r>
      <w:r>
        <w:rPr>
          <w:rFonts w:ascii="Arial" w:hAnsi="Arial" w:cs="Arial" w:eastAsia="Arial"/>
          <w:color w:val="000000" w:themeColor="text1"/>
          <w:sz w:val="24"/>
          <w:highlight w:val="none"/>
        </w:rPr>
        <w:t xml:space="preserve">”, é definido todos os pacotes que serão exportados, como no exemplo acima, será exportado todas as classe, interfaces e enums que estiverem dentro do capote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mas caso tenha outro sub-pacote, não será exportado por padrão os arquivos desse sub-pacote, dentro que colocar outro “</w:t>
      </w:r>
      <w:r>
        <w:rPr>
          <w:rFonts w:ascii="Fira Code" w:hAnsi="Fira Code" w:cs="Fira Code" w:eastAsia="Fira Code"/>
          <w:color w:val="FF0000"/>
          <w:sz w:val="24"/>
          <w:highlight w:val="none"/>
        </w:rPr>
        <w:t xml:space="preserve">exports</w:t>
      </w:r>
      <w:r>
        <w:rPr>
          <w:rFonts w:ascii="Arial" w:hAnsi="Arial" w:cs="Arial" w:eastAsia="Arial"/>
          <w:color w:val="000000" w:themeColor="text1"/>
          <w:sz w:val="24"/>
          <w:highlight w:val="none"/>
        </w:rPr>
        <w:t xml:space="preserve">” para cada pacote especifico. Já para usar as classes do pacote exportado, no outro projeto, onde tem o arquivo “module-info.java”, deve ser importado cada classe, interface ou enum do pacote que ele está,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app.financeiro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rPr>
      </w: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requires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Nesse exemplo, será importado todos os arquivos que estão  dentro do pacote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fazendo assim com que possar ser utilizado corretamente qualquer classe, interface ou enum publicas dentro do outro projeto.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exportar não apenas o pacote, mas também todas as dependências de outros módulos daquele pacote, se usa a palavra “</w:t>
      </w:r>
      <w:r>
        <w:rPr>
          <w:rFonts w:ascii="Arial" w:hAnsi="Arial" w:cs="Arial" w:eastAsia="Arial"/>
          <w:color w:val="FF0000"/>
          <w:sz w:val="24"/>
          <w:highlight w:val="none"/>
        </w:rPr>
        <w:t xml:space="preserve">transitive</w:t>
      </w:r>
      <w:r>
        <w:rPr>
          <w:rFonts w:ascii="Arial" w:hAnsi="Arial" w:cs="Arial" w:eastAsia="Arial"/>
          <w:color w:val="000000" w:themeColor="text1"/>
          <w:sz w:val="24"/>
          <w:highlight w:val="none"/>
        </w:rPr>
        <w:t xml:space="preserve">”, fazendo assim com que além de exportar o pacote, também exporte a dependência do pacote de outro projeto,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que está sendo importado do projeto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 ao importar o projeto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será importado de forma transitiva também 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Podendo também exportar um pacote para um módulo especifico, por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apenas o modulo “</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 do projeto “app-financeiro” consiga utilizar o pacote “interno”.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possível também deixar o módulo “aberto” para todos os outros módulos que dependem dele,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open 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dentro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estará aberto para poder ser alterados até mesmo atributos privados da classe usando “</w:t>
      </w:r>
      <w:r>
        <w:rPr>
          <w:rFonts w:ascii="Arial" w:hAnsi="Arial" w:cs="Arial" w:eastAsia="Arial"/>
          <w:color w:val="0070C0"/>
          <w:sz w:val="24"/>
          <w:highlight w:val="none"/>
        </w:rPr>
        <w:t xml:space="preserve">Field</w:t>
      </w:r>
      <w:r>
        <w:rPr>
          <w:rFonts w:ascii="Arial" w:hAnsi="Arial" w:cs="Arial" w:eastAsia="Arial"/>
          <w:color w:val="000000" w:themeColor="text1"/>
          <w:sz w:val="24"/>
          <w:highlight w:val="none"/>
        </w:rPr>
        <w:t xml:space="preserve">” através de reflexão, mas também é possível deixar aberto apenas um pacote especifico,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todos os módulos que dependem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tem o pacote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aberto para eles, mas também é possível deixar aberto para um ou mais módulos específicos, separados por vírgula: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pacote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estará aberto apenas para o módulo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38</cp:revision>
  <dcterms:created xsi:type="dcterms:W3CDTF">2017-12-12T08:30:00Z</dcterms:created>
  <dcterms:modified xsi:type="dcterms:W3CDTF">2021-12-23T17:14:02Z</dcterms:modified>
</cp:coreProperties>
</file>