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2"/>
          <w:numId w:val="2"/>
        </w:numPr>
        <w:tabs>
          <w:tab w:val="clear" w:pos="709"/>
          <w:tab w:val="left" w:pos="0" w:leader="none"/>
        </w:tabs>
        <w:bidi w:val="0"/>
        <w:spacing w:before="240" w:after="120"/>
        <w:ind w:left="0" w:hanging="0"/>
        <w:jc w:val="left"/>
        <w:rPr>
          <w:lang w:val="es-AR"/>
        </w:rPr>
      </w:pPr>
      <w:bookmarkStart w:id="0" w:name="monster-culture-seven-theses"/>
      <w:r>
        <w:rPr>
          <w:lang w:val="es-AR"/>
        </w:rPr>
        <w:t xml:space="preserve">La cultura del monstruo (siete tesis) </w:t>
      </w:r>
      <w:bookmarkEnd w:id="0"/>
    </w:p>
    <w:p>
      <w:pPr>
        <w:pStyle w:val="Heading3"/>
        <w:numPr>
          <w:ilvl w:val="2"/>
          <w:numId w:val="2"/>
        </w:numPr>
        <w:tabs>
          <w:tab w:val="clear" w:pos="709"/>
          <w:tab w:val="left" w:pos="0" w:leader="none"/>
        </w:tabs>
        <w:bidi w:val="0"/>
        <w:ind w:left="0" w:hanging="0"/>
        <w:jc w:val="left"/>
        <w:rPr>
          <w:lang w:val="es-AR"/>
        </w:rPr>
      </w:pPr>
      <w:bookmarkStart w:id="1" w:name="jeffrey-jerome-cohen"/>
      <w:r>
        <w:rPr>
          <w:lang w:val="es-AR"/>
        </w:rPr>
        <w:t>Jeffrey Jerome Cohen</w:t>
      </w:r>
      <w:bookmarkEnd w:id="1"/>
    </w:p>
    <w:p>
      <w:pPr>
        <w:pStyle w:val="Firstparagraph"/>
        <w:bidi w:val="0"/>
        <w:jc w:val="left"/>
        <w:rPr>
          <w:lang w:val="es-AR"/>
        </w:rPr>
      </w:pPr>
      <w:r>
        <w:rPr>
          <w:lang w:val="es-AR"/>
        </w:rPr>
        <w:t xml:space="preserve">What I will propose here by way of a first foray, as entrance into this book of monstrous content, is a sketch of a new </w:t>
      </w:r>
      <w:r>
        <w:rPr>
          <w:i/>
          <w:iCs/>
          <w:lang w:val="es-AR"/>
        </w:rPr>
        <w:t>modus legendi:</w:t>
      </w:r>
      <w:r>
        <w:rPr>
          <w:lang w:val="es-AR"/>
        </w:rPr>
        <w:t xml:space="preserve"> a method of reading cultures from the monsters they engender. Al hacerlo, transgediré dos de las máximas sagradas de los estudios culturales recientes: la compulsión por la especificidad histórica y la insistencia en que todo conocimiento (y, por ende, todas las cartografías de ese conocimiento) es local. Sobre el primero, solamente diré que, en los estudios culturales actuales, la historia (disfrazada tal vez de "cultura") tiende a ser fetichizada como un </w:t>
      </w:r>
      <w:r>
        <w:rPr>
          <w:i/>
          <w:iCs/>
          <w:lang w:val="es-AR"/>
        </w:rPr>
        <w:t>*telos*</w:t>
      </w:r>
      <w:r>
        <w:rPr>
          <w:lang w:val="es-AR"/>
        </w:rPr>
        <w:t>, como un determinante final del significado; después de de Man, Foucault y Hayden White, se debe tener en cuenta que la historia es solo un texto en una procesión de textos y no un garante de una significación singular. Un movimiento que se aleja de la *longue durée* y se dirige hacia la microeconomía (del capital o del género) se asocia con mayor frecuencia con la crítica foucaultiana; sin embargo, recientemente, algunos críticos han señalado que donde Foucault erró fue principalmente en sus detalles, en sus especificidades minuciosas. No obstante, su metodología (su arqueología de las ideas, sus historias de lo impensado) permanece, con buenas razones, como la ruta de investigación preferida por la mayoría de los críticos culturales hoy en día, ya sea que trabajen en la cibercultura posmoderna o en la Edad Media.</w:t>
      </w:r>
    </w:p>
    <w:p>
      <w:pPr>
        <w:pStyle w:val="TextBody"/>
        <w:bidi w:val="0"/>
        <w:jc w:val="left"/>
        <w:rPr>
          <w:lang w:val="es-AR"/>
        </w:rPr>
      </w:pPr>
      <w:r>
        <w:rPr>
          <w:lang w:val="es-AR"/>
        </w:rPr>
        <w:t>Y, por eso, me gustaría hacer unos gestos grandilocuentes. Vivimos en una época que ha abandonado, con razón, a la Teoría Unificada, una época en la que reconocemos que la historia (al igual que la “individualidad”, la “subjetividad”, el “género” y la “cultura”) está compuesta por una multitud de fragmentos, y no por totalidades epistemológicas homogéneas. Aquí se recopilarán y unificarán algunos fragmentos temporalmente para formar una red vagamente integrada o, mejor aún, un híbrido no asimilado, un cuerpo monstruoso. En lugar de argumentar la "teoría de la teratología", ofrezco, como introducción a los ensayos que siguen, un conjunto de postulados descomponibles en busca de momentos culturales específicos. Propongo siete tesis para comprender las culturas a través de los monstruos que engendran.</w:t>
      </w:r>
    </w:p>
    <w:p>
      <w:pPr>
        <w:pStyle w:val="Heading4"/>
        <w:numPr>
          <w:ilvl w:val="3"/>
          <w:numId w:val="2"/>
        </w:numPr>
        <w:tabs>
          <w:tab w:val="clear" w:pos="709"/>
          <w:tab w:val="left" w:pos="0" w:leader="none"/>
        </w:tabs>
        <w:bidi w:val="0"/>
        <w:ind w:left="0" w:hanging="0"/>
        <w:jc w:val="left"/>
        <w:rPr>
          <w:lang w:val="es-AR"/>
        </w:rPr>
      </w:pPr>
      <w:bookmarkStart w:id="2" w:name="thesis-i-the-monsters-body-is-a-cultural"/>
      <w:r>
        <w:rPr>
          <w:lang w:val="es-AR"/>
        </w:rPr>
        <w:t>Tesis I: El cuerpo del mostruo es un cuerpo cultural</w:t>
      </w:r>
      <w:bookmarkEnd w:id="2"/>
    </w:p>
    <w:p>
      <w:pPr>
        <w:pStyle w:val="Firstparagraph"/>
        <w:bidi w:val="0"/>
        <w:jc w:val="left"/>
        <w:rPr>
          <w:lang w:val="es-AR"/>
        </w:rPr>
      </w:pPr>
      <w:r>
        <w:rPr>
          <w:lang w:val="es-AR"/>
        </w:rPr>
        <w:t>Vampiros, entierro, muerte: sepultar el cadáver donde el camino se bifurca, para que, al resurgir de la tumba, no sepa qué sendero seguir.</w:t>
      </w:r>
    </w:p>
    <w:p>
      <w:pPr>
        <w:pStyle w:val="TextBody"/>
        <w:bidi w:val="0"/>
        <w:jc w:val="left"/>
        <w:rPr>
          <w:lang w:val="es-AR"/>
        </w:rPr>
      </w:pPr>
      <w:r>
        <w:rPr>
          <w:lang w:val="es-AR"/>
        </w:rPr>
        <w:t>Clava una estaca en su corazón: quedará anclado al suelo en la bifurcación, rondará ese lugar que conduce a muchos otros lugares, ese punto de indecisión. Decapitar el cadáver, para que, acéfalo, no pueda reconocerse como sujeto, sino únicamente como cuerpo puro.</w:t>
      </w:r>
    </w:p>
    <w:p>
      <w:pPr>
        <w:pStyle w:val="TextBody"/>
        <w:bidi w:val="0"/>
        <w:jc w:val="left"/>
        <w:rPr>
          <w:lang w:val="es-AR"/>
        </w:rPr>
      </w:pPr>
      <w:r>
        <w:rPr>
          <w:lang w:val="es-AR"/>
        </w:rPr>
        <w:t xml:space="preserve">El monstruo nace únicamente en este cruce metafórico, como encarnación de un momento cultural específico: de un tiempo, un sentimiento y un lugar. </w:t>
      </w:r>
      <w:r>
        <w:rPr>
          <w:rStyle w:val="FootnoteAnchor"/>
          <w:lang w:val="es-AR"/>
        </w:rPr>
        <w:footnoteReference w:id="2"/>
      </w:r>
      <w:r>
        <w:rPr>
          <w:lang w:val="es-AR"/>
        </w:rPr>
        <w:t xml:space="preserve">El cuerpo del monstruo incorpora literalmente el miedo, el deseo, la ansiedad y la fantasía (ataráxico o incendiaria), dándoles vida y una independencia inquietante. El cuerpo monstruoso es pura cultura. Una construcción y una proyección, el monstruo existe solo para ser leído: el </w:t>
      </w:r>
      <w:r>
        <w:rPr>
          <w:i/>
          <w:iCs/>
          <w:lang w:val="es-AR"/>
        </w:rPr>
        <w:t>monstrum</w:t>
      </w:r>
      <w:r>
        <w:rPr>
          <w:lang w:val="es-AR"/>
        </w:rPr>
        <w:t xml:space="preserve"> es etimológicamente “aquello que revela”, “aquello que advierte”, un glifo que busca un hierofante. Como una letra en la página, el monstruo significa algo más allá de sí mismo: es siempre un desplazamiento, habita siempre el intersticio entre el tiempo de agitación que lo creó y el momento en que es recibido, para nacer de nuevo. Estos espacios epistemológicos entre los huesos del monstruo son el conocido abismo de la </w:t>
      </w:r>
      <w:r>
        <w:rPr>
          <w:i/>
          <w:iCs/>
          <w:lang w:val="es-AR"/>
        </w:rPr>
        <w:t>*différance*:</w:t>
      </w:r>
      <w:r>
        <w:rPr>
          <w:lang w:val="es-AR"/>
        </w:rPr>
        <w:t xml:space="preserve"> de Derrida: un principio de incertidumbre genética, la esencia de la vitalidad del monstruo, la razón por la que siempre se alza de la mesa de disección cuando sus secretos están a punto de ser revelados y desaparece en la noche.</w:t>
      </w:r>
    </w:p>
    <w:p>
      <w:pPr>
        <w:pStyle w:val="Heading4"/>
        <w:numPr>
          <w:ilvl w:val="3"/>
          <w:numId w:val="2"/>
        </w:numPr>
        <w:tabs>
          <w:tab w:val="clear" w:pos="709"/>
          <w:tab w:val="left" w:pos="0" w:leader="none"/>
        </w:tabs>
        <w:bidi w:val="0"/>
        <w:ind w:left="0" w:hanging="0"/>
        <w:jc w:val="left"/>
        <w:rPr>
          <w:lang w:val="es-AR"/>
        </w:rPr>
      </w:pPr>
      <w:bookmarkStart w:id="3" w:name="thesis-ii-the-monster-always-escapes"/>
      <w:r>
        <w:rPr>
          <w:lang w:val="es-AR"/>
        </w:rPr>
        <w:t>Tesis II: El monstruo siempre escapa</w:t>
      </w:r>
      <w:bookmarkEnd w:id="3"/>
    </w:p>
    <w:p>
      <w:pPr>
        <w:pStyle w:val="Firstparagraph"/>
        <w:bidi w:val="0"/>
        <w:jc w:val="left"/>
        <w:rPr>
          <w:lang w:val="es-AR"/>
        </w:rPr>
      </w:pPr>
      <w:r>
        <w:rPr>
          <w:lang w:val="es-AR"/>
        </w:rPr>
        <w:t xml:space="preserve">Vemos el daño que causa el monstruo, los restos materiales (las huellas del yeti sobre la nieve tibetana o los huesos del gigante varado en un acantilado rocoso), pero el monstruo en sí mismo se vuelve inmaterial y se desvanece para reaparecer en algún lugar otro (porque, ¿quién es el yeti si no es el hombre salvaje medieval? ¿Quién es el hombre salvaje si no es el gigante bíblico y clásico?). No importa cuántas veces el Rey Arturo matara al ogro del Monte Saint-Michel, el monstruo reaparecía en otra crónica heroica, lo que legó a la Edad Media una abundancia de </w:t>
      </w:r>
      <w:r>
        <w:rPr>
          <w:i/>
          <w:iCs/>
          <w:lang w:val="es-AR"/>
        </w:rPr>
        <w:t>morte d’Arthurs.</w:t>
      </w:r>
      <w:r>
        <w:rPr>
          <w:lang w:val="es-AR"/>
        </w:rPr>
        <w:t xml:space="preserve"> Sin importar cuántas veces la asediada teniente Ripley, el personaje de Sigourney Weaver, aniquile por completo al Alien ambiguo que la persigue, la descendencia monstruosa regresa al acecho nuevamente en una secuela sin precedentes. Ningún monstruo saborea la muerte solo una vez. La ansiedad que se condensa como vapor verde y que toma forma de vampiro puede dispersarse temporalmente, pero el resucitado, por definición, regresa. Así, el cuerpo del monstruo es tanto corpóreo como incorpóreo; la amenaza es su propensión a transformarse. </w:t>
      </w:r>
    </w:p>
    <w:p>
      <w:pPr>
        <w:pStyle w:val="TextBody"/>
        <w:bidi w:val="0"/>
        <w:jc w:val="left"/>
        <w:rPr>
          <w:lang w:val="es-AR"/>
        </w:rPr>
      </w:pPr>
      <w:r>
        <w:rPr>
          <w:lang w:val="es-AR"/>
        </w:rPr>
        <w:t>Cada vez que se abre la tumba y que el sonámbulo inquieto avanza ("Vuelvo de la muerte, / Vuelvo para contarles a todos"), el mensaje proclamado se transforma con el mismo aire que le otorga nueva vida a su emisor. Los monstruos deben examinarse dentro de la trama compleja de relaciones (sociales, culturales e histórico-literarias) que los generan. Al hablar del nuevo tipo de vampiro creado por Bram Stoker, se podría explorar la sexualidad transgresora e irresistible del conde extranjero, cuya seducción sutil atraía a Jonathan Harker, tal como Henry Irving, el mentor de Stoker, lo cautivaba.</w:t>
      </w:r>
      <w:r>
        <w:rPr>
          <w:rStyle w:val="FootnoteAnchor"/>
          <w:lang w:val="es-AR"/>
        </w:rPr>
        <w:footnoteReference w:id="3"/>
      </w:r>
      <w:r>
        <w:rPr>
          <w:lang w:val="es-AR"/>
        </w:rPr>
        <w:t xml:space="preserve"> Se podría analizar también la apropiación autodestructiva de Murmau del mismo demonio en </w:t>
      </w:r>
      <w:r>
        <w:rPr>
          <w:i/>
          <w:iCs/>
          <w:lang w:val="es-AR"/>
        </w:rPr>
        <w:t>Nosferatu,</w:t>
      </w:r>
      <w:r>
        <w:rPr>
          <w:lang w:val="es-AR"/>
        </w:rPr>
        <w:t xml:space="preserve"> en donde, ante el fascismo naciente, emerge el trasfondo del deseo en forma de plaga y corrupción del cuerpo. Anne Rice le dio al mito una reescritura moderna en la que la homosexualidad y el vampirismo se han fusionado y apoteosizado; que haya creado un fenómeno de la cultura pop en el proceso no es menor, especialmente en una época en que el género como constructo ha sido problematizado en casi todos los registros sociales. </w:t>
      </w:r>
    </w:p>
    <w:p>
      <w:pPr>
        <w:pStyle w:val="TextBody"/>
        <w:bidi w:val="0"/>
        <w:jc w:val="left"/>
        <w:rPr>
          <w:lang w:val="es-AR"/>
        </w:rPr>
      </w:pPr>
      <w:r>
        <w:rPr>
          <w:lang w:val="es-AR"/>
        </w:rPr>
        <w:t xml:space="preserve">En el reciente éxito de taquilla de Francis Coppola, </w:t>
      </w:r>
      <w:r>
        <w:rPr>
          <w:i/>
          <w:iCs/>
          <w:lang w:val="es-AR"/>
        </w:rPr>
        <w:t>Drácula, de Bram Stoker,</w:t>
      </w:r>
      <w:r>
        <w:rPr>
          <w:lang w:val="es-AR"/>
        </w:rPr>
        <w:t xml:space="preserve"> el subtexto homosexual presente, al menos desde la aparición de la lamia lesbiana de Sheridan Le Fanu (</w:t>
      </w:r>
      <w:r>
        <w:rPr>
          <w:i/>
          <w:iCs/>
          <w:lang w:val="es-AR"/>
        </w:rPr>
        <w:t>Carmilla,</w:t>
      </w:r>
      <w:r>
        <w:rPr>
          <w:lang w:val="es-AR"/>
        </w:rPr>
        <w:t xml:space="preserve"> 1872), ha resurgido, como los glóbulos rojos que sirven de </w:t>
      </w:r>
      <w:r>
        <w:rPr>
          <w:i/>
          <w:iCs/>
          <w:lang w:val="es-AR"/>
        </w:rPr>
        <w:t>leitmotiv</w:t>
      </w:r>
      <w:r>
        <w:rPr>
          <w:lang w:val="es-AR"/>
        </w:rPr>
        <w:t xml:space="preserve"> de la trama, principalmente como una concientización sobre el SIDA que transforma la enfermedad del vampirismo en una forma sadista (y muy medieval) de redención mediante los tormentos del cuerpo en agonía. </w:t>
      </w:r>
    </w:p>
    <w:p>
      <w:pPr>
        <w:pStyle w:val="TextBody"/>
        <w:bidi w:val="0"/>
        <w:jc w:val="left"/>
        <w:rPr>
          <w:lang w:val="es-AR"/>
        </w:rPr>
      </w:pPr>
      <w:r>
        <w:rPr>
          <w:lang w:val="es-AR"/>
        </w:rPr>
        <w:t xml:space="preserve">No es mera coincidencia que Coppola estuviera creando un documental sobre el SIDA al mismo tiempo en el que se encontraba trabajando en la película </w:t>
      </w:r>
      <w:r>
        <w:rPr>
          <w:i/>
          <w:iCs/>
          <w:lang w:val="es-AR"/>
        </w:rPr>
        <w:t>Drácula.</w:t>
      </w:r>
    </w:p>
    <w:p>
      <w:pPr>
        <w:pStyle w:val="TextBody"/>
        <w:bidi w:val="0"/>
        <w:jc w:val="left"/>
        <w:rPr>
          <w:lang w:val="es-AR"/>
        </w:rPr>
      </w:pPr>
      <w:r>
        <w:rPr>
          <w:lang w:val="es-AR"/>
        </w:rPr>
        <w:t xml:space="preserve">En cada una de estas historias de vampiros, los no muertos regresan con atuendos ligeramente distintos, y en cada instancia se leen a la luz de los movimientos sociales contemporáneos o de un hecho específico y determinante: </w:t>
      </w:r>
      <w:r>
        <w:rPr>
          <w:i/>
          <w:iCs/>
          <w:lang w:val="es-AR"/>
        </w:rPr>
        <w:t>la décadence</w:t>
      </w:r>
      <w:r>
        <w:rPr>
          <w:lang w:val="es-AR"/>
        </w:rPr>
        <w:t xml:space="preserve"> y sus nuevas posibilidades, la homofobia y sus imperativos de odio, la aceptación de las nuevas subjetividades no fijadas por el género binario, un activismo social de fin de siécle de estilo paternalista. El discurso que extrae un fenómeno transcultural y transtemporal denominado “el vampiro” es de utilidad relativamente limitada; aunque las figuras vampíricas aparezcan en casi todo el mundo, desde el antiguo Egipto hasta el Hollywood moderno, cada reaparición y su análisis están vinculados a un doble acto de construcción y reconstitución.</w:t>
      </w:r>
      <w:r>
        <w:rPr>
          <w:rStyle w:val="FootnoteAnchor"/>
          <w:lang w:val="es-AR"/>
        </w:rPr>
        <w:footnoteReference w:id="4"/>
      </w:r>
      <w:r>
        <w:rPr>
          <w:lang w:val="es-AR"/>
        </w:rPr>
        <w:t xml:space="preserve"> Así, “La teoría del monstruo” debe verse relacionada con cadenas de momentos culturales, conectados por una lógica que siempre amenaza con transformarse; impulsada por el cambio y el escape y mediante la imposibilidad de alcanzar lo que Susan Stewart denomina la deseada “caída o muerte, la detención” de su enorme sujeto,</w:t>
      </w:r>
      <w:r>
        <w:rPr>
          <w:rStyle w:val="FootnoteAnchor"/>
          <w:lang w:val="es-AR"/>
        </w:rPr>
        <w:footnoteReference w:id="5"/>
      </w:r>
      <w:r>
        <w:rPr>
          <w:lang w:val="es-AR"/>
        </w:rPr>
        <w:t xml:space="preserve"> la interpretación monstruosa es tanto un proceso como una epifanía, es un trabajo que debe conformarse con fragmentos (huellas, huesos, talismanes, dientes, sombras, indicios oscuros—significantes del pasaje monstruoso que representan al propio cuerpo monstruoso).</w:t>
      </w:r>
    </w:p>
    <w:p>
      <w:pPr>
        <w:pStyle w:val="Heading4"/>
        <w:numPr>
          <w:ilvl w:val="3"/>
          <w:numId w:val="2"/>
        </w:numPr>
        <w:tabs>
          <w:tab w:val="clear" w:pos="709"/>
          <w:tab w:val="left" w:pos="0" w:leader="none"/>
        </w:tabs>
        <w:bidi w:val="0"/>
        <w:ind w:left="0" w:hanging="0"/>
        <w:jc w:val="left"/>
        <w:rPr>
          <w:lang w:val="es-AR"/>
        </w:rPr>
      </w:pPr>
      <w:bookmarkStart w:id="4" w:name="thesis-iii-the-monster-is-the-harbinger-"/>
      <w:r>
        <w:rPr>
          <w:lang w:val="es-AR"/>
        </w:rPr>
        <w:t>Tesis III: el monstruo presagia la crisis de categorías</w:t>
      </w:r>
      <w:bookmarkEnd w:id="4"/>
    </w:p>
    <w:p>
      <w:pPr>
        <w:pStyle w:val="Firstparagraph"/>
        <w:bidi w:val="0"/>
        <w:jc w:val="left"/>
        <w:rPr>
          <w:lang w:val="es-AR"/>
        </w:rPr>
      </w:pPr>
      <w:r>
        <w:rPr>
          <w:lang w:val="es-AR"/>
        </w:rPr>
        <w:t xml:space="preserve">El monstruo siempre escapa ya que rechaza una categorización fácil. Sobre la criatura terrorífica a la que Ridley Scott dio vida en </w:t>
      </w:r>
      <w:r>
        <w:rPr>
          <w:i/>
          <w:iCs/>
          <w:lang w:val="es-AR"/>
        </w:rPr>
        <w:t>Alien,</w:t>
      </w:r>
      <w:r>
        <w:rPr>
          <w:lang w:val="es-AR"/>
        </w:rPr>
        <w:t xml:space="preserve"> Harvey Greenberg escribe:</w:t>
      </w:r>
    </w:p>
    <w:p>
      <w:pPr>
        <w:pStyle w:val="Quotations"/>
        <w:bidi w:val="0"/>
        <w:ind w:left="720" w:right="0" w:hanging="0"/>
        <w:jc w:val="left"/>
        <w:rPr>
          <w:lang w:val="es-AR"/>
        </w:rPr>
      </w:pPr>
      <w:r>
        <w:rPr>
          <w:lang w:val="es-AR"/>
        </w:rPr>
        <w:t xml:space="preserve">Es una pesadilla linneana que desafía todas las leyes naturales de la evolución: por momentos es bivalvo, crustáceo, reptiliano y humanoide. Es capaz de yacer aletargado dentro de su huevo indefinidamente Cambia de piel como una serpiente, tiene caparazón como un artrópodo Deposita sus crías en otras especies como una avispa. ...Responde de acuerdo a los principios lamarckianos </w:t>
      </w:r>
      <w:r>
        <w:rPr>
          <w:i/>
          <w:iCs/>
          <w:lang w:val="es-AR"/>
        </w:rPr>
        <w:t>y</w:t>
      </w:r>
      <w:r>
        <w:rPr>
          <w:lang w:val="es-AR"/>
        </w:rPr>
        <w:t xml:space="preserve"> darwinianos </w:t>
      </w:r>
      <w:r>
        <w:rPr>
          <w:rStyle w:val="FootnoteAnchor"/>
          <w:lang w:val="es-AR"/>
        </w:rPr>
        <w:footnoteReference w:id="6"/>
      </w:r>
    </w:p>
    <w:p>
      <w:pPr>
        <w:pStyle w:val="Firstparagraph"/>
        <w:bidi w:val="0"/>
        <w:jc w:val="left"/>
        <w:rPr>
          <w:lang w:val="es-AR"/>
        </w:rPr>
      </w:pPr>
      <w:r>
        <w:rPr>
          <w:lang w:val="es-AR"/>
        </w:rPr>
        <w:t>El rechazo a participar del "orden de las cosas" clasificatorio puede aplicarse a todos los monstruos: son híbridos perturbadores cuyos cuerpos de apariencia incoherente resisten los intentos por incluirlos en cualquier tipo de estructrura sistemática. De este modo, el monstruo resulta peligroso, una forma suspendida entre formas que amenaza con hacer trizas las distinciones.</w:t>
      </w:r>
    </w:p>
    <w:p>
      <w:pPr>
        <w:pStyle w:val="TextBody"/>
        <w:bidi w:val="0"/>
        <w:jc w:val="left"/>
        <w:rPr>
          <w:lang w:val="es-AR"/>
        </w:rPr>
      </w:pPr>
      <w:r>
        <w:rPr>
          <w:lang w:val="es-AR"/>
        </w:rPr>
        <w:t>Debido a esta liminalidad ontológica, el monstruo aparece con más notoriedad en tiempos de crisis, como una especie de tercer elemento que problematiza el choque entre los extremos: surge como "aquello que cuestiona el pensamiento binario e introduce una crisis.</w:t>
      </w:r>
      <w:r>
        <w:rPr>
          <w:rStyle w:val="FootnoteAnchor"/>
          <w:lang w:val="es-AR"/>
        </w:rPr>
        <w:footnoteReference w:id="7"/>
      </w:r>
      <w:r>
        <w:rPr>
          <w:lang w:val="es-AR"/>
        </w:rPr>
        <w:t xml:space="preserve"> Por la sangre de los monstruos ha corrido el poder para evadir y socavar desde los tiempos clásicos, cuando, a pesar de los intentos de Aristóteles (y luego de Plinio, Agustín e Isidoro) por introducir dentro de un sistema epistemológico coherente a las diferentes razas de monstruos</w:t>
      </w:r>
      <w:r>
        <w:rPr>
          <w:rStyle w:val="FootnoteAnchor"/>
          <w:lang w:val="es-AR"/>
        </w:rPr>
        <w:footnoteReference w:id="8"/>
      </w:r>
      <w:r>
        <w:rPr>
          <w:lang w:val="es-AR"/>
        </w:rPr>
        <w:t>, ellos siempre escaparon para retornar a sus moradas en los márgenes del mundo (un *locus* no geográfico, sino meramente conceptual).</w:t>
      </w:r>
      <w:r>
        <w:rPr>
          <w:rStyle w:val="FootnoteAnchor"/>
          <w:lang w:val="es-AR"/>
        </w:rPr>
        <w:footnoteReference w:id="9"/>
      </w:r>
      <w:r>
        <w:rPr>
          <w:lang w:val="es-AR"/>
        </w:rPr>
        <w:t xml:space="preserve"> Los "libros de fantasía” clásicos socavan radicalmente el sistema taxonómico aristotélico dado que, al rechazar una fácil compartimentación de su contenido monstruoso, exigen repensar de manera radical los límites y la normalidad. Las leyes de la naturaleza, demasiado precisas tal como expone la ciencia, se ven alegremente vulneradas por la compilación extraña del cuerpo de un monstruo. Al ser una categoría diversa, el monstruo resiste cualquier clasificación fundada en jerarquías o en la mera oposición binaria y demanda, en cambio, un "sistema" que permita la polifonía, las respuestas contradictorias (diferencia en el parecido, repulsión en la atracción) y la resistencia a la integración, permitiendo lo que Hogle ha denominado con un juego de palabras genial, “un juego más profundo de diferencias, un polimorfismo no binario en la 'base' de la naturaleza humana.”</w:t>
      </w:r>
      <w:r>
        <w:rPr>
          <w:rStyle w:val="FootnoteAnchor"/>
          <w:lang w:val="es-AR"/>
        </w:rPr>
        <w:footnoteReference w:id="10"/>
      </w:r>
    </w:p>
    <w:p>
      <w:pPr>
        <w:pStyle w:val="TextBody"/>
        <w:bidi w:val="0"/>
        <w:jc w:val="left"/>
        <w:rPr>
          <w:lang w:val="es-AR"/>
        </w:rPr>
      </w:pPr>
      <w:r>
        <w:rPr>
          <w:lang w:val="es-AR"/>
        </w:rPr>
        <w:t xml:space="preserve">El horizonte que habitan los monstruos bien podría ser imaginado como el borde visible del mismísimo circulo hermenéutico: los monstruos ofrecen una escapatoria al camino hermético, una invitación a explorar nuevos espirales, métodos nuevos e interconectados de percibir el mundo. </w:t>
      </w:r>
      <w:r>
        <w:rPr>
          <w:rStyle w:val="FootnoteAnchor"/>
          <w:lang w:val="es-AR"/>
        </w:rPr>
        <w:footnoteReference w:id="11"/>
      </w:r>
      <w:r>
        <w:rPr>
          <w:lang w:val="es-AR"/>
        </w:rPr>
        <w:t xml:space="preserve"> Ante la cara de un monstruo, la investigación científica y su ordenada racionalidad se derrumban. El género de lo monstruoso es demasiado extensivo como para ser encapsulado en cualquier sistema conceptual; la existencia misma del monstruo es un reproche a la demarcación y al cerramiento; al igual que los gigantes en </w:t>
      </w:r>
      <w:r>
        <w:rPr>
          <w:i/>
          <w:iCs/>
          <w:lang w:val="es-AR"/>
        </w:rPr>
        <w:t>Los viajes de Mandeville,</w:t>
      </w:r>
      <w:r>
        <w:rPr>
          <w:lang w:val="es-AR"/>
        </w:rPr>
        <w:t xml:space="preserve"> la existencia del monstruo amenaza con devorar “por completo, crudo y vivo” a cualquier pensador que insista en lo contrario. El monstruo es, de este modo, la prueba viviente del célebre fenómeno que Derrida ha acuñado como "suplemento" *(ce dangereux supplément)*:</w:t>
      </w:r>
      <w:r>
        <w:rPr>
          <w:rStyle w:val="FootnoteAnchor"/>
          <w:lang w:val="es-AR"/>
        </w:rPr>
        <w:footnoteReference w:id="12"/>
      </w:r>
      <w:r>
        <w:rPr>
          <w:lang w:val="es-AR"/>
        </w:rPr>
        <w:t xml:space="preserve"> se desvía de la lógica silogística de "uno o lo otro" con un tipo de razonamiento más cercano a "y/o", introduciendo lo que Barbara Johnson ha denominado "una revolución en la lógica misma del sentido."</w:t>
      </w:r>
      <w:r>
        <w:rPr>
          <w:rStyle w:val="FootnoteAnchor"/>
          <w:lang w:val="es-AR"/>
        </w:rPr>
        <w:footnoteReference w:id="13"/>
      </w:r>
    </w:p>
    <w:p>
      <w:pPr>
        <w:pStyle w:val="TextBody"/>
        <w:bidi w:val="0"/>
        <w:jc w:val="left"/>
        <w:rPr>
          <w:lang w:val="es-AR"/>
        </w:rPr>
      </w:pPr>
      <w:r>
        <w:rPr>
          <w:lang w:val="es-AR"/>
        </w:rPr>
        <w:t>Ostentando un rechazo total a los métodos tradicionales de organizar el conocimiento y la experiencia humanos, la geografía del monstruo representa una expansión peligrosa y, por consiguiente, un espacio cultural siempre en disputa.</w:t>
      </w:r>
    </w:p>
    <w:p>
      <w:pPr>
        <w:pStyle w:val="Heading4"/>
        <w:numPr>
          <w:ilvl w:val="3"/>
          <w:numId w:val="2"/>
        </w:numPr>
        <w:tabs>
          <w:tab w:val="clear" w:pos="709"/>
          <w:tab w:val="left" w:pos="0" w:leader="none"/>
        </w:tabs>
        <w:bidi w:val="0"/>
        <w:ind w:left="0" w:hanging="0"/>
        <w:jc w:val="left"/>
        <w:rPr>
          <w:lang w:val="es-AR"/>
        </w:rPr>
      </w:pPr>
      <w:bookmarkStart w:id="5" w:name="thesis-iv-the-monster-dwells-at-the-gate"/>
      <w:r>
        <w:rPr>
          <w:lang w:val="es-AR"/>
        </w:rPr>
        <w:t>Tesis 4: El monstruo habita en las puertas de la diferencia</w:t>
      </w:r>
      <w:bookmarkEnd w:id="5"/>
    </w:p>
    <w:p>
      <w:pPr>
        <w:pStyle w:val="Firstparagraph"/>
        <w:bidi w:val="0"/>
        <w:jc w:val="left"/>
        <w:rPr>
          <w:lang w:val="es-AR"/>
        </w:rPr>
      </w:pPr>
      <w:r>
        <w:rPr>
          <w:lang w:val="es-AR"/>
        </w:rPr>
        <w:t>El monstruo es la diferencia hecha carne, que viene a habitar entre nosotros. Como un "Otro" dialéctico o un suplemento que rompe las dicotomías, el monstruo encarna lo Externo, lo que está Más Allá: todos esos lugares que, retóricamente, se presentan como lejanos y distintos, pero que en realidad se originan en el Interior. Cualquier tipo de alteridad puede ser inscrita (o construida a través) del cuerpo monstruoso, pero en la mayoría de los casos, la diferencia en lo monstruoso tiende a ser cultural, política, racial, económica o sexual.</w:t>
      </w:r>
    </w:p>
    <w:p>
      <w:pPr>
        <w:pStyle w:val="TextBody"/>
        <w:bidi w:val="0"/>
        <w:jc w:val="left"/>
        <w:rPr>
          <w:lang w:val="es-AR"/>
        </w:rPr>
      </w:pPr>
      <w:r>
        <w:rPr>
          <w:lang w:val="es-AR"/>
        </w:rPr>
        <w:t>La exageración de la diferencia cultural hasta convertirla en una aberración monstruosa es algo bastante conocido. El ejemplo más famoso está en la Biblia, donde los habitantes originarios de Canaán son descritos como gigantes amenazantes para justificar la colonización hebrea de la Tierra Prometida (Números 13).</w:t>
      </w:r>
    </w:p>
    <w:p>
      <w:pPr>
        <w:pStyle w:val="TextBody"/>
        <w:bidi w:val="0"/>
        <w:jc w:val="left"/>
        <w:rPr>
          <w:lang w:val="es-AR"/>
        </w:rPr>
      </w:pPr>
      <w:r>
        <w:rPr>
          <w:lang w:val="es-AR"/>
        </w:rPr>
        <w:t>Representar a una cultura anterior como monstruosa legitima su desplazamiento o exterminio al convertir esa acción en heroica. En la Francia medieval, las chansons de geste celebraban las cruzadas transformando a los musulmanes en caricaturas demoníacas cuya amenazante falta de humanidad era evidente a través de sus características bestiales. Al clasificar culturalmente a los “sarracenos” como “monstruos”, los propagandistas hacían retóricamente admisible la anexión de Oriente por parte de Occidente. Este intento de representación formaba parte de un amplio repertorio de significados estratégicos en los que "monstra" se asociaba también con lo femenino o lo hipermasculino.</w:t>
      </w:r>
    </w:p>
    <w:p>
      <w:pPr>
        <w:pStyle w:val="TextBody"/>
        <w:bidi w:val="0"/>
        <w:jc w:val="left"/>
        <w:rPr>
          <w:lang w:val="es-AR"/>
        </w:rPr>
      </w:pPr>
      <w:r>
        <w:rPr>
          <w:lang w:val="es-AR"/>
        </w:rPr>
        <w:t>Un reciente artículo periodístico sobre Yugoslavia recuerda lo persistentes que pueden ser estas mitologías divisorias, incluso cuando se encuentran completamente desvinculadas de la realidad histórica:</w:t>
      </w:r>
    </w:p>
    <w:p>
      <w:pPr>
        <w:pStyle w:val="Quotations"/>
        <w:bidi w:val="0"/>
        <w:ind w:left="720" w:right="0" w:hanging="0"/>
        <w:jc w:val="left"/>
        <w:rPr>
          <w:lang w:val="es-AR"/>
        </w:rPr>
      </w:pPr>
      <w:r>
        <w:rPr>
          <w:lang w:val="es-AR"/>
        </w:rPr>
        <w:t>Un miliciano serbobosnio, que viajaba hacia Sarajevo, le dice a un periodista con total seriedad que los musulmanes están alimentando a los animales del zoológico con niños serbios. La historia es absurda. No quedan animales vivos en el zoológico de Sarajevo. Sin embargo, el miliciano lo cree firmemente, y es capaz de enumerar todas las ofensas que los musulmanes pudieron —o no— haber cometido durante sus quinientos años de dominio.</w:t>
      </w:r>
      <w:r>
        <w:rPr>
          <w:rStyle w:val="FootnoteAnchor"/>
          <w:lang w:val="es-AR"/>
        </w:rPr>
        <w:footnoteReference w:id="14"/>
      </w:r>
    </w:p>
    <w:p>
      <w:pPr>
        <w:pStyle w:val="Firstparagraph"/>
        <w:bidi w:val="0"/>
        <w:jc w:val="left"/>
        <w:rPr>
          <w:lang w:val="es-AR"/>
        </w:rPr>
      </w:pPr>
      <w:r>
        <w:rPr>
          <w:lang w:val="es-AR"/>
        </w:rPr>
        <w:t>En Estados Unidos, los nativos americanos fueron presentados como salvajes irredimibles para justificar el avance del poderoso mecanismo político del Destino Manifiesto hacia el Oeste. Dispersos por toda Europa debido a la Diáspora y negándose firmemente a la asimilación en la sociedad cristiana, los judíos han sido un blanco recurrente de la tergiversación xenófoba: una cultura ajena que vivía, trabajaba e incluso a veces prosperaba dentro de vastas comunidades dedicadas a volverse homogéneas y monolíticas. En la Edad Media, se acusaba a los judíos de crímenes que iban desde provocar la peste hasta usar sangre de niños cristianos para preparar sus comidas de Pascua. La Alemania nazi simplemente llevó estas antiguas tradiciones de odio a su conclusión, inventando una Solución Final que solo se diferenciaba de las persecuciones anteriores por su eficiencia tecnológica.</w:t>
      </w:r>
    </w:p>
    <w:p>
      <w:pPr>
        <w:pStyle w:val="TextBody"/>
        <w:bidi w:val="0"/>
        <w:jc w:val="left"/>
        <w:rPr>
          <w:lang w:val="es-AR"/>
        </w:rPr>
      </w:pPr>
      <w:r>
        <w:rPr>
          <w:lang w:val="es-AR"/>
        </w:rPr>
        <w:t xml:space="preserve">La diferencia política o ideológica también puede generar representaciones monstruosas a menor escala, igual que la alteridad cultural en un nivel más amplio. Cuando un político cae en desgracia, los historiadores que el nuevo régimen designa lo convierten en un experimento científico: la “historia monstruosa” está llena de repentinas metamorfosis al estilo de Ovidio, desde Vlad Tepes hasta Ronald Reagan. El más ilustre de estos demonios generados por la propaganda es el rey inglés Ricardo III, a quien Thomas More describió de manera célebre como “de pequeña estatura, de miembros mal formados, con la espalda encorvada, el hombro izquierdo mucho más alto que el derecho, de rostro de facciones duras. … vino al mundo con los pies por delante, … y también sin dientes”. </w:t>
      </w:r>
      <w:r>
        <w:rPr>
          <w:rStyle w:val="FootnoteAnchor"/>
          <w:lang w:val="es-AR"/>
        </w:rPr>
        <w:footnoteReference w:id="15"/>
      </w:r>
      <w:r>
        <w:rPr>
          <w:lang w:val="es-AR"/>
        </w:rPr>
        <w:t>Según More, Ricardo fue un monstruo desde el nacimiento; "su cuerpo deformado era un texto legible"</w:t>
      </w:r>
      <w:r>
        <w:rPr>
          <w:rStyle w:val="FootnoteAnchor"/>
          <w:lang w:val="es-AR"/>
        </w:rPr>
        <w:footnoteReference w:id="16"/>
      </w:r>
      <w:r>
        <w:rPr>
          <w:lang w:val="es-AR"/>
        </w:rPr>
        <w:t xml:space="preserve"> en el que se inscribía su moralidad desviada (indistinguible de una orientación política incorrecta). </w:t>
      </w:r>
    </w:p>
    <w:p>
      <w:pPr>
        <w:pStyle w:val="TextBody"/>
        <w:bidi w:val="0"/>
        <w:jc w:val="left"/>
        <w:rPr>
          <w:lang w:val="es-AR"/>
        </w:rPr>
      </w:pPr>
      <w:r>
        <w:rPr>
          <w:lang w:val="es-AR"/>
        </w:rPr>
        <w:t>El canturreo casi obsesivo sobre Ricardo, desde Polydor Vergil en el Renacimiento hasta la Asociación Amigos de Ricardo III en nuestra época, expone la dinámica de la “teoría del monstruo” en plena acción: la cultura da a luz a los monstruos ante nuestros ojos, pintando sobre la normalidad proporcionada del Ricardo histórico, levantando su hombro para deformar simultáneamente a la persona, la respuesta cultural y la posibilidad de objetividad.</w:t>
      </w:r>
      <w:r>
        <w:rPr>
          <w:rStyle w:val="FootnoteAnchor"/>
          <w:lang w:val="es-AR"/>
        </w:rPr>
        <w:footnoteReference w:id="17"/>
      </w:r>
      <w:r>
        <w:rPr>
          <w:lang w:val="es-AR"/>
        </w:rPr>
        <w:t xml:space="preserve"> La historia misma se vuelve un monstruo: desfigurado, autodeconstructivo, siempre en peligro de exponer las suturas que unen sus elementos dispares en un solo cuerpo innatural. Al mismo tiempo que Ricardo se mueve entre el monstruo y el hombre, aparece la sugestión alarmante de que este cuerpo incoherente, desnaturalizado y siempre en riesgo de disgregación puede claramente ser el nuestro.</w:t>
      </w:r>
    </w:p>
    <w:p>
      <w:pPr>
        <w:pStyle w:val="TextBody"/>
        <w:bidi w:val="0"/>
        <w:jc w:val="left"/>
        <w:rPr>
          <w:lang w:val="es-AR"/>
        </w:rPr>
      </w:pPr>
      <w:r>
        <w:rPr>
          <w:lang w:val="es-AR"/>
        </w:rPr>
        <w:t>El difícil proyecto de construir y sostener las identidades de género provoca una serie de respuestas preocupantes en toda la cultura, lo que genera un nuevo impulso para la teratogénesis. La mujer que traspasa los límites de su rol de género corre el riesgo de convertirse en una Escila, una de las Hermanas Fatídicas, Lilith ("die erste Eva" [“la primera Eva”], "la mère obscuré" [“la madre oscura”]),</w:t>
      </w:r>
      <w:r>
        <w:rPr>
          <w:rStyle w:val="FootnoteAnchor"/>
          <w:lang w:val="es-AR"/>
        </w:rPr>
        <w:footnoteReference w:id="18"/>
      </w:r>
      <w:r>
        <w:rPr>
          <w:lang w:val="es-AR"/>
        </w:rPr>
        <w:t xml:space="preserve"> Bertha Mason o una gorgona.</w:t>
      </w:r>
      <w:r>
        <w:rPr>
          <w:rStyle w:val="FootnoteAnchor"/>
          <w:lang w:val="es-AR"/>
        </w:rPr>
        <w:footnoteReference w:id="19"/>
      </w:r>
      <w:r>
        <w:rPr>
          <w:lang w:val="es-AR"/>
        </w:rPr>
        <w:t xml:space="preserve"> La identidad sexual “desviada” es, del mismo modo, susceptible a una monstruización. El gran enciclopedista medieval Vincent de Beauvais describe en su </w:t>
      </w:r>
      <w:r>
        <w:rPr>
          <w:i/>
          <w:iCs/>
          <w:lang w:val="es-AR"/>
        </w:rPr>
        <w:t>*Speculum naturale*</w:t>
      </w:r>
      <w:r>
        <w:rPr>
          <w:lang w:val="es-AR"/>
        </w:rPr>
        <w:t xml:space="preserve"> la visita de un cinocéfalo hermafrodita a la corte francesa (31.126). </w:t>
      </w:r>
      <w:r>
        <w:rPr>
          <w:rStyle w:val="FootnoteAnchor"/>
          <w:lang w:val="es-AR"/>
        </w:rPr>
        <w:footnoteReference w:id="20"/>
      </w:r>
      <w:r>
        <w:rPr>
          <w:lang w:val="es-AR"/>
        </w:rPr>
        <w:t>Se decía que su órgano reproductor masculino era desproporcionadamente grande, pero el monstruo podía usar indistintamente uno u otro sexo a su elección. Bruno Roy escribe acerca de este híbrido fantástico: “¿Qué advertencia traería al rey? Venía a dar testimonio de las normas sexuales. … Él personificaba el castigo que recibían quienes violaban los tabúes sexuales.</w:t>
      </w:r>
      <w:r>
        <w:rPr>
          <w:rStyle w:val="FootnoteAnchor"/>
          <w:lang w:val="es-AR"/>
        </w:rPr>
        <w:footnoteReference w:id="21"/>
      </w:r>
      <w:r>
        <w:rPr>
          <w:lang w:val="es-AR"/>
        </w:rPr>
        <w:t xml:space="preserve"> Esta criatura extraña, un compuesto de las categorías supuestamente separadas “masculino” y “femenino”, llega ante el rey Luis para validar la heterosexualidad por encima de la homosexualidad, con sus supuestas inversiones y transformaciones (*Equa fit equus*, declaraba un escritor en Latín: “El caballo se vuelve yegua”). </w:t>
      </w:r>
      <w:r>
        <w:rPr>
          <w:rStyle w:val="FootnoteAnchor"/>
          <w:lang w:val="es-AR"/>
        </w:rPr>
        <w:footnoteReference w:id="22"/>
      </w:r>
      <w:r>
        <w:rPr>
          <w:lang w:val="es-AR"/>
        </w:rPr>
        <w:t xml:space="preserve"> Una viva reprobación de la ambigüedad de género y de la anormalidad sexual, como la definía el momento cultural de Vincent, es el extraño monstruo con cabeza de perro: la heterosexualidad como norma encarnada.</w:t>
      </w:r>
    </w:p>
    <w:p>
      <w:pPr>
        <w:pStyle w:val="TextBody"/>
        <w:bidi w:val="0"/>
        <w:jc w:val="left"/>
        <w:rPr>
          <w:lang w:val="es-AR"/>
        </w:rPr>
      </w:pPr>
      <w:r>
        <w:rPr>
          <w:lang w:val="es-AR"/>
        </w:rPr>
        <w:t>Desde el período clásico hasta el s. XX, la raza ha sido un catalizador casi tan poderoso para la creación de monstruos como lo han sido la cultura, el género y la sexualidad. África se convirtió tempranamente en el “otro significativo” de Occidente, el signo de su diferencia ontológica expresado simplemente en el color de la piel. De acuerdo con el mito griego de Faetón, los habitantes de la misteriosa y confusa Etiopía eran negros porque el sol los había quemado al pasar demasiado cerca. El naturalista romano Plinio suponía que la piel no blanca era síntoma de una diferencia completa en el temperamento y atribuía la oscuridad al clima de África: el calor intenso, decía, había quemado la piel de los africanos y malformado sus cuerpos (</w:t>
      </w:r>
      <w:r>
        <w:rPr>
          <w:i/>
          <w:iCs/>
          <w:lang w:val="es-AR"/>
        </w:rPr>
        <w:t>Natural History,</w:t>
      </w:r>
      <w:r>
        <w:rPr>
          <w:lang w:val="es-AR"/>
        </w:rPr>
        <w:t xml:space="preserve"> 2.80).</w:t>
      </w:r>
    </w:p>
    <w:p>
      <w:pPr>
        <w:pStyle w:val="TextBody"/>
        <w:bidi w:val="0"/>
        <w:jc w:val="left"/>
        <w:rPr>
          <w:lang w:val="es-AR"/>
        </w:rPr>
      </w:pPr>
      <w:r>
        <w:rPr>
          <w:lang w:val="es-AR"/>
        </w:rPr>
        <w:t xml:space="preserve">Estas diferencias fueron moralizadas rápidamente a través de una retórica dominante de la desviación. Paulino de Nola, un terrateniente adinerado que se volvió predicador de la iglesia, explicaba que los etíopes se habían quemado más por sus pecados y vicios que por el sol; el comentarista anónimo de la influyente </w:t>
      </w:r>
      <w:r>
        <w:rPr>
          <w:i/>
          <w:iCs/>
          <w:lang w:val="es-AR"/>
        </w:rPr>
        <w:t>Égloga</w:t>
      </w:r>
      <w:r>
        <w:rPr>
          <w:lang w:val="es-AR"/>
        </w:rPr>
        <w:t xml:space="preserve"> de Theodulus (siglo X) afirmaba en pocas palabras el significado del término </w:t>
      </w:r>
      <w:r>
        <w:rPr>
          <w:i/>
          <w:iCs/>
          <w:lang w:val="es-AR"/>
        </w:rPr>
        <w:t>Ethyopium:</w:t>
      </w:r>
      <w:r>
        <w:rPr>
          <w:lang w:val="es-AR"/>
        </w:rPr>
        <w:t xml:space="preserve"> “Etíopes, esto es, pecadores. De hecho, los pecadores bien pueden ser comparados con los etíopes, que son hombres negros que presentan una apariencia aterradora para quienes los contemplan.”</w:t>
      </w:r>
      <w:r>
        <w:rPr>
          <w:rStyle w:val="FootnoteAnchor"/>
          <w:lang w:val="es-AR"/>
        </w:rPr>
        <w:footnoteReference w:id="23"/>
      </w:r>
      <w:r>
        <w:rPr>
          <w:lang w:val="es-AR"/>
        </w:rPr>
        <w:t xml:space="preserve"> La piel oscura se asociaba con los fuegos del infierno, y significaba así una procedencia demoníaca en la mitología cristiana. El apetito sexual perverso y exagerado de los monstruos, en general, se asoció rápidamente con los etíopes; esta conexión se vio fortalecida únicamente por una reacción xenofóbica cuando personas de piel oscura fueron traídas por la fuerza a Europa en los albores del Renacimiento. Las narraciones sobre el mestizaje circularon para justificar políticas oficiales de exclusión; la reina Isabel era famosa por su inquietud ante los “moros negros” y su supuesto miedo al "aumento de la población de su nación.</w:t>
      </w:r>
      <w:r>
        <w:rPr>
          <w:rStyle w:val="FootnoteAnchor"/>
          <w:lang w:val="es-AR"/>
        </w:rPr>
        <w:footnoteReference w:id="24"/>
      </w:r>
    </w:p>
    <w:p>
      <w:pPr>
        <w:pStyle w:val="TextBody"/>
        <w:bidi w:val="0"/>
        <w:jc w:val="left"/>
        <w:rPr>
          <w:lang w:val="es-AR"/>
        </w:rPr>
      </w:pPr>
      <w:r>
        <w:rPr>
          <w:lang w:val="es-AR"/>
        </w:rPr>
        <w:t xml:space="preserve">A través de todos estos monstruos se difumina la frontera entre los cuerpos personales y el cuerpo de lo nacional. Para complicar aún más la confusión de categorías, a menudo un tipo de alteridad es escrito como otro, de modo que la diferencia en nacionalidad (por ejemplo) se transforma en diferencia sexual. Giraldus Cambrensis ilustra precisamente cómo se denigra lo extranjero en </w:t>
      </w:r>
      <w:r>
        <w:rPr>
          <w:i/>
          <w:iCs/>
          <w:lang w:val="es-AR"/>
        </w:rPr>
        <w:t>Topografía de Irlanda;</w:t>
      </w:r>
      <w:r>
        <w:rPr>
          <w:lang w:val="es-AR"/>
        </w:rPr>
        <w:t xml:space="preserve"> al escribir sobre los irlandeses (en apariencia, solo para brindar información sobre ellos a una corte inglesa curiosa, pero en realidad como primer paso para invadir y colonizar la isla), el autor observa:</w:t>
      </w:r>
    </w:p>
    <w:p>
      <w:pPr>
        <w:pStyle w:val="Quotations"/>
        <w:bidi w:val="0"/>
        <w:ind w:left="720" w:right="0" w:hanging="0"/>
        <w:jc w:val="left"/>
        <w:rPr>
          <w:lang w:val="es-AR"/>
        </w:rPr>
      </w:pPr>
      <w:r>
        <w:rPr>
          <w:lang w:val="es-AR"/>
        </w:rPr>
        <w:t>Verdad es que son esta gente una raza de lo más inmunda, una raza sumida en el vicio, una raza más ignorante que las otras gentes de los primeros preceptos de la fé. … Estas personas, que tienen costumbres tan diferentes y, a su vez, tan opuestas a los demás, hacen señas ya sea con las manos o la cabeza, gesticulan para indicar que debes retirarte y asienten hacia atrás cuantas veces deseen librarse de ti. Asimismo, en esta nación, los hombres orinan sentados y las mujeres de pie. … Las mujeres, por demás, al igual que los varones, cabalgan a horcajadas, con una pierna a cada lado de la montura.</w:t>
      </w:r>
      <w:r>
        <w:rPr>
          <w:rStyle w:val="FootnoteAnchor"/>
          <w:lang w:val="es-AR"/>
        </w:rPr>
        <w:footnoteReference w:id="25"/>
      </w:r>
    </w:p>
    <w:p>
      <w:pPr>
        <w:pStyle w:val="Firstparagraph"/>
        <w:bidi w:val="0"/>
        <w:jc w:val="left"/>
        <w:rPr>
          <w:lang w:val="es-AR"/>
        </w:rPr>
      </w:pPr>
      <w:r>
        <w:rPr>
          <w:lang w:val="es-AR"/>
        </w:rPr>
        <w:t>Un tipo de inversión se convierte en otro a medida que Giraldus descifra el *abc* de la cultura irlandesa (y la lee en reversa, en contraste con la norma de masculinidad inglesa). Giraldus crea una visión que se condice con el género monstruoso (aberrante, demostrativa): la violación de los códigos culturales en cuanto a los comportamientos de género acordados introduce una ruptura que debe ser triturada con (en este caso) los morteros cohesivos, correctivos de la normalidad inglesa. Inmediatamente después de la promulgación de este texto, se desencadenó una guerra sanguinaria para someter a los irlandeses, que continuó vigente a lo largo de la Plena Edad Media y que, en cierto modo, llega hasta nuestros días.</w:t>
      </w:r>
    </w:p>
    <w:p>
      <w:pPr>
        <w:pStyle w:val="TextBody"/>
        <w:bidi w:val="0"/>
        <w:jc w:val="left"/>
        <w:rPr>
          <w:lang w:val="es-AR"/>
        </w:rPr>
      </w:pPr>
      <w:r>
        <w:rPr>
          <w:lang w:val="es-AR"/>
        </w:rPr>
        <w:t>Mediante un proceso discursivo similar, el Oriente se feminiza (Said) y el alma de África se oscurece (Gates).</w:t>
      </w:r>
      <w:r>
        <w:rPr>
          <w:rStyle w:val="FootnoteAnchor"/>
          <w:lang w:val="es-AR"/>
        </w:rPr>
        <w:footnoteReference w:id="26"/>
      </w:r>
      <w:r>
        <w:rPr>
          <w:lang w:val="es-AR"/>
        </w:rPr>
        <w:t>Un tipo de diferencia se convierte en otro a medida que las categorías normativas de género, sexualidad, identidad nacional y origen étnico se deslizan una sobre otra como los círculos de un diagrama de Venn superpuestos y expulsan del centro, por abyecto, a aquel que se convierte en el monstruo. Este acto de expulsión violenta instaura una dialéctica hegeliana del amo y el esclavo que se legitima a sí misma y naturaliza el sometimiento de un cuerpo cultural por otro escribiendo al cuerpo despersonalizao y desagentivizado como diferente y monstruoso en todo sentido. Se garantiza la polisemia para codificar una amenaza aún mayor; la multiplicidad de significados, paradójicamente, itera el mismo tipo de representaciones restrictivas y funcionales a estrategias políticas que realiza la significación reducida. Sin embargo, la multiplicación entraña un peligro: dado que la diferencia es como la hidra, brotan dos cabezas donde una ha sido cortada, las posibilidades de escape, resistencia, disrupción se erigen con más fuerza.</w:t>
      </w:r>
    </w:p>
    <w:p>
      <w:pPr>
        <w:pStyle w:val="TextBody"/>
        <w:bidi w:val="0"/>
        <w:jc w:val="left"/>
        <w:rPr>
          <w:lang w:val="es-AR"/>
        </w:rPr>
      </w:pPr>
      <w:r>
        <w:rPr>
          <w:lang w:val="es-AR"/>
        </w:rPr>
        <w:t>René Girard ha escrito largamente acerca de la violencia real que ejercen estas representaciones denigrantes, vinculando la representación monstrualizadora con el fenómeno del chivo expiatorio. Los monstruos no se crean *ex nihilo*, sino a través de procesos de fragmentación y recombinación; por medio de estos procesos se extraen elementos de “varias figuras” (incluyendo, de hecho, especialmente, a grupos sociales marginados) y luego dichos elementos se ensamblan como el monstruo, “que puede entonces reclamar una identidad independiente”.</w:t>
      </w:r>
      <w:r>
        <w:rPr>
          <w:rStyle w:val="FootnoteAnchor"/>
          <w:lang w:val="es-AR"/>
        </w:rPr>
        <w:footnoteReference w:id="27"/>
      </w:r>
      <w:r>
        <w:rPr>
          <w:lang w:val="es-AR"/>
        </w:rPr>
        <w:t xml:space="preserve"> El monstruo político cultural, la personificación de la diferencia radical, paradójicamente amenaza con </w:t>
      </w:r>
      <w:r>
        <w:rPr>
          <w:i/>
          <w:iCs/>
          <w:lang w:val="es-AR"/>
        </w:rPr>
        <w:t>borrar</w:t>
      </w:r>
      <w:r>
        <w:rPr>
          <w:lang w:val="es-AR"/>
        </w:rPr>
        <w:t xml:space="preserve"> las diferencias en el mundo de sus creadores, para demostrar </w:t>
      </w:r>
    </w:p>
    <w:p>
      <w:pPr>
        <w:pStyle w:val="Quotations"/>
        <w:bidi w:val="0"/>
        <w:ind w:left="720" w:right="0" w:hanging="0"/>
        <w:jc w:val="left"/>
        <w:rPr>
          <w:lang w:val="es-AR"/>
        </w:rPr>
      </w:pPr>
      <w:r>
        <w:rPr>
          <w:lang w:val="es-AR"/>
        </w:rPr>
        <w:t xml:space="preserve">el potencial del sistema para diferir de su propia diferencia, en otras palabras, para no ser diferente en absoluto y dejar de existir como sistema. .. . La diferencia que existe por fuera del sistema es aterradora ya que revela la verdad del sistema, su relatividad, su fragilidad y su mortalidad. … A pesar de lo que se afirma a nuestro alrededor, los persecutores nunca están obsesionados con la diferencia, sino más bien con su impronunciable opuesto, la falta de diferencia. </w:t>
      </w:r>
      <w:r>
        <w:rPr>
          <w:rStyle w:val="FootnoteAnchor"/>
          <w:lang w:val="es-AR"/>
        </w:rPr>
        <w:footnoteReference w:id="28"/>
      </w:r>
    </w:p>
    <w:p>
      <w:pPr>
        <w:pStyle w:val="Firstparagraph"/>
        <w:bidi w:val="0"/>
        <w:jc w:val="left"/>
        <w:rPr>
          <w:lang w:val="es-AR"/>
        </w:rPr>
      </w:pPr>
      <w:r>
        <w:rPr>
          <w:lang w:val="es-AR"/>
        </w:rPr>
        <w:t>Al revelar que la diferencia es arbitraria y potencialmente fluída, mutable en lugar de esencial, el monstruo amenaza con destruir a los individuos de una sociedad, y al mismo tiempo, con socavar el aparato cultural mediante el cual se constituye y permite la individualidad. Dado que es un cuerpo sobre el que se ha escrito la diferencia una y otra vez, el monstruo (como la criatura de Frankenstein, esa combinación de partes somáticas extrañas cosidas entre sí, provenientes de una comunidad de cadáveres) busca a su creador para exigirle su *raison d’être* y para dar testimonio de que podría haber sido construido de Otra Manera. Godzilla aplastó Tokio; Girard lo libera aquí para fragmentar la delicada matriz de sistemas relacionales que une a cada cuerpo privado con el mundo público.</w:t>
      </w:r>
    </w:p>
    <w:p>
      <w:pPr>
        <w:pStyle w:val="Heading4"/>
        <w:numPr>
          <w:ilvl w:val="3"/>
          <w:numId w:val="2"/>
        </w:numPr>
        <w:tabs>
          <w:tab w:val="clear" w:pos="709"/>
          <w:tab w:val="left" w:pos="0" w:leader="none"/>
        </w:tabs>
        <w:bidi w:val="0"/>
        <w:ind w:left="0" w:hanging="0"/>
        <w:jc w:val="left"/>
        <w:rPr>
          <w:lang w:val="es-AR"/>
        </w:rPr>
      </w:pPr>
      <w:bookmarkStart w:id="6" w:name="thesis-v-the-monster-polices-the-borders"/>
      <w:r>
        <w:rPr>
          <w:lang w:val="es-AR"/>
        </w:rPr>
        <w:t>Tesis 5: El monstruo patrulla las fronteras de lo posible</w:t>
      </w:r>
      <w:bookmarkEnd w:id="6"/>
    </w:p>
    <w:p>
      <w:pPr>
        <w:pStyle w:val="Firstparagraph"/>
        <w:bidi w:val="0"/>
        <w:jc w:val="left"/>
        <w:rPr>
          <w:lang w:val="es-AR"/>
        </w:rPr>
      </w:pPr>
      <w:r>
        <w:rPr>
          <w:lang w:val="es-AR"/>
        </w:rPr>
        <w:t>El monstruo se resiste a la captura de las redes epistemológicas de los eruditos, pero es algo más que un aliado bajtiniano de lo popular. Desde su posición en los límites del conocimiento, el monstruo actúa como advertencia contra la exploración de sus dominios inciertos. Los gigantes de la Patagonia, los dragones de Oriente y los dinosaurios de Jurassic Park proclaman juntos que la curiosidad suele ser castigada en lugar de recompensada, que es mejor permanecer a salvo dentro de la esfera doméstica que aventurarse fuera, lejos de la mirada vigilante del Estado. El monstruo impide la movilidad (intelectual, geográfica o sexual) y delimita los espacios sociales por donde los cuerpos privados pueden desplazarse. Salir de esta geografía oficial es arriesgarse al ataque de alguna patrulla fronteriza monstruosa o (peor aún) volverse monstruoso uno mismo.</w:t>
      </w:r>
    </w:p>
    <w:p>
      <w:pPr>
        <w:pStyle w:val="TextBody"/>
        <w:bidi w:val="0"/>
        <w:jc w:val="left"/>
        <w:rPr>
          <w:lang w:val="es-AR"/>
        </w:rPr>
      </w:pPr>
      <w:r>
        <w:rPr>
          <w:lang w:val="es-AR"/>
        </w:rPr>
        <w:t>Licaón, el primer hombre lobo en la literatura occidental, experimenta su metamorfosis lupina como la culminación de una fábula sobre la hospitalidad.</w:t>
      </w:r>
      <w:r>
        <w:rPr>
          <w:rStyle w:val="FootnoteAnchor"/>
          <w:lang w:val="es-AR"/>
        </w:rPr>
        <w:footnoteReference w:id="29"/>
      </w:r>
      <w:r>
        <w:rPr>
          <w:lang w:val="es-AR"/>
        </w:rPr>
        <w:t xml:space="preserve"> Ovidio relata cómo los gigantes primigenios intentaron sumergir al mundo en la anarquía arrebatando el Olimpo a los dioses, solo para ser destrozados por los rayos divinos. De su sangre dispersa surgió una raza de hombres que siguió las conductas malignas de sus padres.</w:t>
      </w:r>
      <w:r>
        <w:rPr>
          <w:rStyle w:val="FootnoteAnchor"/>
          <w:lang w:val="es-AR"/>
        </w:rPr>
        <w:footnoteReference w:id="30"/>
      </w:r>
      <w:r>
        <w:rPr>
          <w:lang w:val="es-AR"/>
        </w:rPr>
        <w:t>Dentro de esta progenie malvada se encontraba Licaón, rey de Arcadia. Cuando Júpiter llegó como invitado a su casa, Licaón intentó matar al gobernante de los dioses mientras dormía, y al día siguiente le sirvió trozos del cuerpo de un sirviente como comida. Furioso, Júpiter castigó esta violación de la relación anfitrión-huésped transformando a Licaón en una figura monstruosa que reflejaba el estado sin ley ni dios al que sus acciones arrastrarían a la humanidad:</w:t>
      </w:r>
    </w:p>
    <w:p>
      <w:pPr>
        <w:pStyle w:val="Quotations"/>
        <w:bidi w:val="0"/>
        <w:ind w:left="720" w:right="0" w:hanging="0"/>
        <w:jc w:val="left"/>
        <w:rPr>
          <w:lang w:val="es-AR"/>
        </w:rPr>
      </w:pPr>
      <w:r>
        <w:rPr>
          <w:lang w:val="es-AR"/>
        </w:rPr>
        <w:t>El huye aterrorizado y, alcanzando el silencio del campo, lanza aullidos y en vano intenta hablar. Su cara concentra de él mismo la rabia y hace uso de su acostumbrado deseo de matanza contra los animales y todavía ahora se alegra con la sangre. En pelaje se transforman sus vestidos, en patas sus brazos: Se convierte en lobo y mantiene rastros de su antigua figura.</w:t>
      </w:r>
      <w:r>
        <w:rPr>
          <w:rStyle w:val="FootnoteAnchor"/>
          <w:lang w:val="es-AR"/>
        </w:rPr>
        <w:footnoteReference w:id="31"/>
      </w:r>
    </w:p>
    <w:p>
      <w:pPr>
        <w:pStyle w:val="Firstparagraph"/>
        <w:bidi w:val="0"/>
        <w:jc w:val="left"/>
        <w:rPr>
          <w:lang w:val="es-AR"/>
        </w:rPr>
      </w:pPr>
      <w:r>
        <w:rPr>
          <w:lang w:val="es-AR"/>
        </w:rPr>
        <w:t>La horrible y fascinante pérdida de la humanidad de Licaón solo reifica su estado moral previo; el cuerpo del rey se vuelve completamente transparente, instantánea e insistentemente legible. El poder de la prohibición narrativa alcanza su punto culminante en la prolongada descripción del Licón monstruosamente compuesto, en ese punto medio donde es tanto hombre como bestia, dos naturalezas en un tumulto indefenso de afirmación. La fábula concluye cuando Licaón ya no puede hablar, solo significar.</w:t>
      </w:r>
    </w:p>
    <w:p>
      <w:pPr>
        <w:pStyle w:val="TextBody"/>
        <w:bidi w:val="0"/>
        <w:jc w:val="left"/>
        <w:rPr>
          <w:lang w:val="es-AR"/>
        </w:rPr>
      </w:pPr>
      <w:r>
        <w:rPr>
          <w:lang w:val="es-AR"/>
        </w:rPr>
        <w:t xml:space="preserve">Mientras que los monstruos nacidos de la conveniencia política y el nacionalismo autojustificatorio funcionan como invitaciones vivientes a la acción, usualmente bélicas (invasiones, usurpaciones o colonizaciones), el monstruo de la prohibición vigila los límites de lo posible: mediante su cuerpo grotesco, prohíbe ciertos comportamientos y acciones, mientras que legitima otros. Es posible que, por ejemplo, los mercaderes medievales difundieran intencionalmente mapas que mostraran serpientes marinas, como el Leviatán, en los confines de sus rutas comerciales, para desalentar la exploración ulterior y establecer monopolios. </w:t>
      </w:r>
      <w:r>
        <w:rPr>
          <w:rStyle w:val="FootnoteAnchor"/>
          <w:lang w:val="es-AR"/>
        </w:rPr>
        <w:footnoteReference w:id="32"/>
      </w:r>
      <w:r>
        <w:rPr>
          <w:lang w:val="es-AR"/>
        </w:rPr>
        <w:t xml:space="preserve"> En este sentido, cada monstruo representa una doble narrativa, dos historias vivientes: una describe cómo llegó a ser monstruo, mientras que otra es su testimonio, el cual detalla qué función cultural cumple. El monstruo de la prohibición existe para delimitar los lazos que unen al sistema de relaciones al que llamamos cultura, y señalar, de manera horripilante, los límites que no pueden—</w:t>
      </w:r>
      <w:r>
        <w:rPr>
          <w:i/>
          <w:iCs/>
          <w:lang w:val="es-AR"/>
        </w:rPr>
        <w:t>no deben</w:t>
      </w:r>
      <w:r>
        <w:rPr>
          <w:lang w:val="es-AR"/>
        </w:rPr>
        <w:t>— cruzarse.</w:t>
      </w:r>
    </w:p>
    <w:p>
      <w:pPr>
        <w:pStyle w:val="TextBody"/>
        <w:bidi w:val="0"/>
        <w:jc w:val="left"/>
        <w:rPr>
          <w:lang w:val="es-AR"/>
        </w:rPr>
      </w:pPr>
      <w:r>
        <w:rPr>
          <w:lang w:val="es-AR"/>
        </w:rPr>
        <w:t>En principio, estos límites están establecidos para controlar el tráfico de mujeres, o, más en general, para establecer vínculos estrictamente homosociales entre hombres, vínculos que mantienen funcional a una sociedad patriarcal. Como una suerte de guardián del rebaño, este monstruo delimita el espacio social por el que los cuerpos culturales se pueden dirigir, y, en tiempos clásicos (por ejemplo), validaban un sistema rígido y jerárquico de liderazgo naturalizado y control, donde cada hombre ocupaba un lugar funcional.</w:t>
      </w:r>
      <w:r>
        <w:rPr>
          <w:rStyle w:val="FootnoteAnchor"/>
          <w:lang w:val="es-AR"/>
        </w:rPr>
        <w:footnoteReference w:id="33"/>
      </w:r>
      <w:r>
        <w:rPr>
          <w:lang w:val="es-AR"/>
        </w:rPr>
        <w:t xml:space="preserve"> El prototipo en la cultura occidental para este tipo de monstruo "geográfico" es el Polifemo de Homero. Como representación xenofóbica por excelencia del extranjero (el bárbaro—lo ininteligible dentro de un sistema cultural-lingüístico dado),</w:t>
      </w:r>
      <w:r>
        <w:rPr>
          <w:rStyle w:val="FootnoteAnchor"/>
          <w:lang w:val="es-AR"/>
        </w:rPr>
        <w:footnoteReference w:id="34"/>
      </w:r>
      <w:r>
        <w:rPr>
          <w:lang w:val="es-AR"/>
        </w:rPr>
        <w:t xml:space="preserve"> los cíclopes son representados como salvajes que no tienen “una ley que los bendiga” ni la técnica para producir la civilización (al estilo griego). Su arcaísmo se transmite a través de su falta de jerarquía y de una política de precedentes. Esta disociación de la comunidad lleva a un individualismo áspero que, en términos homéricos, solo puede ser horroroso. Como viven sin un sistema de tradiciones y costumbres, los cíclopes representan un peligro para los griegos que llegan, quienes son hombres cuyas identidades dependen de una función compartimentalizada dentro de un sistema desindividualizado de subordinación y control. Las víctimas de Polifemo son devoradas, tragadas, borradas de la mirada pública: el canibalismo se vuelve una incorporación dentro de un cuerpo cultural equivocado.</w:t>
      </w:r>
    </w:p>
    <w:p>
      <w:pPr>
        <w:pStyle w:val="TextBody"/>
        <w:bidi w:val="0"/>
        <w:jc w:val="left"/>
        <w:rPr>
          <w:lang w:val="es-AR"/>
        </w:rPr>
      </w:pPr>
      <w:r>
        <w:rPr>
          <w:lang w:val="es-AR"/>
        </w:rPr>
        <w:t>El monstruo es un aliado poderoso de lo que Foucault llama “la sociedad del panóptico”, en la que “esos comportamientos polimorfos [son] realmente extraídos del cuerpo de los hombres y de sus placeres”[^N. de T.]. [^N. de T.1:] Traducción tomada de Ulises Guiñazú, Historia de la sexualidad, Michel Foucault, p. 30. Disponible en Google Drive: https://drive.google.com/file/d/11E3Oc2Q635kc9I8nozyKpevuHYU80kdw/view?usp=sharing . . [para ser] solidificados en ellos, mediante múltiples dispositivos de poder”[^N. de T. 2]</w:t>
      </w:r>
      <w:r>
        <w:rPr>
          <w:rStyle w:val="FootnoteAnchor"/>
          <w:lang w:val="es-AR"/>
        </w:rPr>
        <w:footnoteReference w:id="35"/>
      </w:r>
      <w:r>
        <w:rPr>
          <w:lang w:val="es-AR"/>
        </w:rPr>
        <w:t xml:space="preserve"> Susan Stewart ha señalado que “la sexualidad del monstruo tiene una vida independiente”[^N. de T. 3];</w:t>
      </w:r>
      <w:r>
        <w:rPr>
          <w:rStyle w:val="FootnoteAnchor"/>
          <w:lang w:val="es-AR"/>
        </w:rPr>
        <w:footnoteReference w:id="36"/>
      </w:r>
      <w:r>
        <w:rPr>
          <w:lang w:val="es-AR"/>
        </w:rPr>
        <w:t xml:space="preserve"> Foucault nos ayuda a entender por qué. [^N. de T.2:] Traducción tomada de Ulises Guiñazú, Historia de la sexualidad, Michel Foucault, p. 30. Disponible en Google Drive: https://drive.google.com/file/d/11E3Oc2Q635kc9I8nozyKpevuHYU80kdw/view?usp=sharing [^N. de T.3:] Traducción tomada de Adriana Astutti, El ansia, Susan Stewart, p. 166. Disponible en Google Drive: https://drive.google.com/file/d/1XR_aCTt7QGOcPjn-SR0D9UT1j3QOUSSe/view?usp=sharing El monstruo encarna aquellos actos sexuales que no deben practicarse, o que solo podrían llevarse a cabo mediante el cuerpo del monstruo. </w:t>
      </w:r>
      <w:r>
        <w:rPr>
          <w:i/>
          <w:iCs/>
          <w:lang w:val="es-AR"/>
        </w:rPr>
        <w:t>She</w:t>
      </w:r>
      <w:r>
        <w:rPr>
          <w:lang w:val="es-AR"/>
        </w:rPr>
        <w:t xml:space="preserve"> y </w:t>
      </w:r>
      <w:r>
        <w:rPr>
          <w:i/>
          <w:iCs/>
          <w:lang w:val="es-AR"/>
        </w:rPr>
        <w:t>*Them!*</w:t>
      </w:r>
      <w:r>
        <w:rPr>
          <w:lang w:val="es-AR"/>
        </w:rPr>
        <w:t>: el monstruo hace cumplir los códigos culturales que regulan el deseo sexual.</w:t>
      </w:r>
    </w:p>
    <w:p>
      <w:pPr>
        <w:pStyle w:val="TextBody"/>
        <w:bidi w:val="0"/>
        <w:jc w:val="left"/>
        <w:rPr>
          <w:lang w:val="es-AR"/>
        </w:rPr>
      </w:pPr>
      <w:r>
        <w:rPr>
          <w:lang w:val="es-AR"/>
        </w:rPr>
        <w:t>Cualquiera que conozca las películas de ciencia ficción clase B que causaron furor en los años cincuenta reconocerá en la oración anterior dos magníficos exponentes del género: una sobre una virago radioactiva del espacio exterior que mata a todos los hombres que toca, y la otra, una parábola social en la que hormigas gigantes (en realidad, comunistas) excavan túneles debajo de Los Ángeles (es decir, Hollywood) y amenazan la paz mundial (es decir, el conservadurismo estadounidense). Relaciono aquí estos dos títulos, en apariencia inconexos, para poner de relieve las ansiedades que dieron lugar a la monstruización de sus protagonistas en primer lugar y para graficar un temor aún más profundo: que ambos se unirán en algún tipo de mestizaje impío.</w:t>
      </w:r>
    </w:p>
    <w:p>
      <w:pPr>
        <w:pStyle w:val="TextBody"/>
        <w:bidi w:val="0"/>
        <w:jc w:val="left"/>
        <w:rPr>
          <w:lang w:val="es-AR"/>
        </w:rPr>
      </w:pPr>
      <w:r>
        <w:rPr>
          <w:lang w:val="es-AR"/>
        </w:rPr>
        <w:t xml:space="preserve">Según hemos visto, el monstruo surge de la brecha en la cual la diferencia se percibe como lo que divide a una voz que registra y al sujeto que captura esa voz; el criterio de tal división es arbitrario y puede abarcar desde la anatomía o el color de la piel hasta las creencias religiosas, las costumbres y la ideología política. La destrucción del monstruo es en realidad deconstrucción: amenaza con revelar que la diferencia se origina en el proceso, más que en lo concreto (y que “lo concreto” es sujeto de cambio y reconstrucción constantes). Dado que los cronistas de la historia de Occidente son en su mayoría hombres europeos, las mujeres </w:t>
      </w:r>
      <w:r>
        <w:rPr>
          <w:i/>
          <w:iCs/>
          <w:lang w:val="es-AR"/>
        </w:rPr>
        <w:t>(She)</w:t>
      </w:r>
      <w:r>
        <w:rPr>
          <w:lang w:val="es-AR"/>
        </w:rPr>
        <w:t xml:space="preserve"> y las personas de otras razas </w:t>
      </w:r>
      <w:r>
        <w:rPr>
          <w:i/>
          <w:iCs/>
          <w:lang w:val="es-AR"/>
        </w:rPr>
        <w:t>(Them!)</w:t>
      </w:r>
      <w:r>
        <w:rPr>
          <w:lang w:val="es-AR"/>
        </w:rPr>
        <w:t xml:space="preserve"> han sido transformados en monstruos de manera reiterada, ya sea para validar ciertos lineamientos específicos de masculinidad y supremacismo blanco, o simplemente para expulsarlos del ámbito de pensamiento. </w:t>
      </w:r>
      <w:r>
        <w:rPr>
          <w:rStyle w:val="FootnoteAnchor"/>
          <w:lang w:val="es-AR"/>
        </w:rPr>
        <w:footnoteReference w:id="37"/>
      </w:r>
      <w:r>
        <w:rPr>
          <w:lang w:val="es-AR"/>
        </w:rPr>
        <w:t xml:space="preserve"> En la sociedad patriarcal, el otro femenino o cultural resultan en sí mismos bastante monstruosos, pero cuando amenazan con mezclarse entre sí, atacan a toda la economía del deseo.</w:t>
      </w:r>
    </w:p>
    <w:p>
      <w:pPr>
        <w:pStyle w:val="TextBody"/>
        <w:bidi w:val="0"/>
        <w:jc w:val="left"/>
        <w:rPr>
          <w:lang w:val="es-AR"/>
        </w:rPr>
      </w:pPr>
      <w:r>
        <w:rPr>
          <w:lang w:val="es-AR"/>
        </w:rPr>
        <w:t>Como vehículo de prohibición, el monstruo a menudo surge para reforzar las leyes de exogamia, tanto el tabú del incesto (que establece una forma de tráfico de mujeres al obligarlas a casarse fuera de sus familias) como los decretos en contra de la unión sexual interracial (que limita los parámetros de dicho tráfico, al definir arbitrariamente los límites de la cultura, usualmente en servicio de alguna noción de “pureza” de grupo).</w:t>
      </w:r>
      <w:r>
        <w:rPr>
          <w:rStyle w:val="FootnoteAnchor"/>
          <w:lang w:val="es-AR"/>
        </w:rPr>
        <w:footnoteReference w:id="38"/>
      </w:r>
      <w:r>
        <w:rPr>
          <w:lang w:val="es-AR"/>
        </w:rPr>
        <w:t>Las narrativas sobre el incesto son comunes a todas las tradiciones y han sido documentadas ampliamente, sobre todo debido a que Lévi Strauss definió al tabú como la base fundacional de la sociedad patriarcal. El mestizaje, esa intersección entre la misoginia (la aversión hacia la mujer) y el racismo (sin importar cuán inocente sea), ha recibido bastante menos atención crítica. Diré algunas palabras al respecto a continuación.</w:t>
      </w:r>
    </w:p>
    <w:p>
      <w:pPr>
        <w:pStyle w:val="TextBody"/>
        <w:bidi w:val="0"/>
        <w:jc w:val="left"/>
        <w:rPr>
          <w:lang w:val="es-AR"/>
        </w:rPr>
      </w:pPr>
      <w:r>
        <w:rPr>
          <w:lang w:val="es-AR"/>
        </w:rPr>
        <w:t xml:space="preserve">Por mucho tiempo, la Biblia ha sido la fuente principal de decretos divinos en contra de la mezcla interracial. Uno de esos pronunciamientos es una orden directa de Dios que llega por boca del profeta Josué (Josué 23:12 ss); otro es un episodio críptico del Génesis, muy debatido durante el periodo medieval, que alude a "hijos de Dios" que fecundan a las "hijas de los hombres" para que conciban una raza de gigantes malvados (Génesis 6:4). Los monstruos son aquí, como en todos los otros ejemplos, representaciones expeditivas de otras culturas, a las cuales generalizan y demonizan para imponer una noción estricta de igualdad grupal. Las historias como el citado episodio del Génesis producen un profundo temor a la contaminación, la impureza y la pérdida de identidad, y reaparecen incesantemente. El Caliban de Shakespeare, por ejemplo, es producto de este tipo de mestizaje ilícito: el “cachorro pecoso” de Sycorax, la bruja argelina y el diablo. Charlotte Bronté invirtió el paradigma habitual en </w:t>
      </w:r>
      <w:r>
        <w:rPr>
          <w:i/>
          <w:iCs/>
          <w:lang w:val="es-AR"/>
        </w:rPr>
        <w:t>Jane Eyre</w:t>
      </w:r>
      <w:r>
        <w:rPr>
          <w:lang w:val="es-AR"/>
        </w:rPr>
        <w:t xml:space="preserve"> (el blanco Rochester y la jamaiquina lunática Bertha Mason), pero las películas de terror en apariencia inocentes como </w:t>
      </w:r>
      <w:r>
        <w:rPr>
          <w:i/>
          <w:iCs/>
          <w:lang w:val="es-AR"/>
        </w:rPr>
        <w:t>King Kong</w:t>
      </w:r>
      <w:r>
        <w:rPr>
          <w:lang w:val="es-AR"/>
        </w:rPr>
        <w:t>, muestran la aversión que genera el mestizaje en su forma más brutal. Incluso es posible encontrar que en una película tan reciente y de inmenso éxito como Alien [^N. de T.], aparece en el detrás de escena la conciencia de este miedo: de los dientes de la grotesca criatura que acecha a la heroína (quien solo viste ropa interior en la escena final) gotea una baba brillante de gel lubricante; los tendones de la mandíbula están construidos con preservativos triturados; y el hombre que está dentro del traje de goma es Bolaji Badejo, un miembro de la tribu Masai de dos metros de altura que estaba estudiando en Inglaterra justo en el momento en que se rodó la película. [^N. de T.:]&lt;Recuérdese que esta película es del año 1979&gt;</w:t>
      </w:r>
      <w:r>
        <w:rPr>
          <w:rStyle w:val="FootnoteAnchor"/>
          <w:lang w:val="es-AR"/>
        </w:rPr>
        <w:footnoteReference w:id="39"/>
      </w:r>
    </w:p>
    <w:p>
      <w:pPr>
        <w:pStyle w:val="TextBody"/>
        <w:bidi w:val="0"/>
        <w:jc w:val="left"/>
        <w:rPr>
          <w:lang w:val="es-AR"/>
        </w:rPr>
      </w:pPr>
      <w:r>
        <w:rPr>
          <w:lang w:val="es-AR"/>
        </w:rPr>
        <w:t>Las narrativas de Occidente realizan la danza más extraña alrededor de esa hoguera en la que condenaron a arder el mestizaje y sus practicantes. Entre las llamas, vemos a las viejas de Salem colgadas, acusadas de tener relaciones sexuales con el diablo negro; sospechamos que murieron porque cruzaron una frontera diferente: una que prohíbe que las mujeres administren propiedades y vivan vidas solitarias, sin que las controlen. Las llamas devoran a los judíos de la Inglaterra del siglo XIII, quienes, se decía, robaban niños de sus familias y preparaban seder de pascua con su sangre; dado que se los consideraba una amenaza para la supervivencia de la raza y la cultura inglesas, fueron expulsados del país y confiscaron sus propiedades. Una narrativa alternativa vuelve a implicar una economía monstruosa: los judíos eran los prestamistas, y el Estado junto con su comercio estaban profundamente endeudados con ellos, pero esta segunda historia queda sumergida en una fábula aterradora de pureza cultural y amenaza a la continuidad cristiana. A medida que la frontera estadounidense se expandía bajo el estandarte del Destino Manifiesto en el siglo XIX, circulaban historias sobre cómo los "indios" usualmente secuestraban a mujeres blancas para tenerlas como esposas; el viejo oeste era un lugar peligroso que se buscaba domar para convertirlo en granjas, y a sus amenazantes habitantes nativos se los consideraba aptos solo para ser despojados de sus tierras. Poco importa que el protagonista de "Hijo nativo" de Richard Wright no violara ni descuartizara a la hija de su empleador; la policía, una sociedad blanca enfurecida, y de hecho, la propia historia occidental proporciona esa narrativa. En la novela, como en la vida, la amenaza surge cuando un no blanco abandona la reserva que le dejaron; Wright imagina qué ocurre cuando el horizonte de las expectativas narrativas está firmemente establecido, y su conclusión (evidenciada en Salem del siglo XVII, la Inglaterra medieval y la América del siglo XIX) es que las circunstancias reales de la historia tienden a desvanecerse cuando se puede proporcionar una narrativa de mestizaje.</w:t>
      </w:r>
    </w:p>
    <w:p>
      <w:pPr>
        <w:pStyle w:val="TextBody"/>
        <w:bidi w:val="0"/>
        <w:jc w:val="left"/>
        <w:rPr>
          <w:lang w:val="es-AR"/>
        </w:rPr>
      </w:pPr>
      <w:r>
        <w:rPr>
          <w:lang w:val="es-AR"/>
        </w:rPr>
        <w:t xml:space="preserve">El monstruo es transgresor, demasiado sexual, perversamente erótico, un infractor de la ley; y por ello, el monstruo y todo lo que encarna debe ser exiliado o destruido. </w:t>
      </w:r>
    </w:p>
    <w:p>
      <w:pPr>
        <w:pStyle w:val="TextBody"/>
        <w:bidi w:val="0"/>
        <w:jc w:val="left"/>
        <w:rPr>
          <w:lang w:val="es-AR"/>
        </w:rPr>
      </w:pPr>
      <w:r>
        <w:rPr>
          <w:lang w:val="es-AR"/>
        </w:rPr>
        <w:t>Sin embargo, lo reprimido parece que siempre regresa como el propio Freud.</w:t>
      </w:r>
    </w:p>
    <w:p>
      <w:pPr>
        <w:pStyle w:val="Heading4"/>
        <w:numPr>
          <w:ilvl w:val="3"/>
          <w:numId w:val="2"/>
        </w:numPr>
        <w:tabs>
          <w:tab w:val="clear" w:pos="709"/>
          <w:tab w:val="left" w:pos="0" w:leader="none"/>
        </w:tabs>
        <w:bidi w:val="0"/>
        <w:ind w:left="0" w:hanging="0"/>
        <w:jc w:val="left"/>
        <w:rPr>
          <w:lang w:val="es-AR"/>
        </w:rPr>
      </w:pPr>
      <w:bookmarkStart w:id="7" w:name="thesis-vi-fear-of-the-monster-is-really-"/>
      <w:r>
        <w:rPr>
          <w:lang w:val="es-AR"/>
        </w:rPr>
        <w:t>Tesis VI: El miedo al monstruo es, en realidad, una especie de deseo</w:t>
      </w:r>
      <w:bookmarkEnd w:id="7"/>
    </w:p>
    <w:p>
      <w:pPr>
        <w:pStyle w:val="Firstparagraph"/>
        <w:bidi w:val="0"/>
        <w:jc w:val="left"/>
        <w:rPr>
          <w:lang w:val="es-AR"/>
        </w:rPr>
      </w:pPr>
      <w:r>
        <w:rPr>
          <w:lang w:val="es-AR"/>
        </w:rPr>
        <w:t xml:space="preserve">El monstruo está continuamente ligado a prácticas prohibidas, para normalizar y hacer que se cumplan. El monstruo también atrae. Las mismas criaturas que nos aterrorizan e imponen prohibiciones pueden evocar poderosas fantasías de escape; la vinculación de la monstruosidad con lo prohibido hace que el monstruo sea aún más atractivo como una salida temporal de las limitaciones. Esta repulsión y atracción simultáneas en el núcleo de la composición del monstruo explican en gran medida su continua popularidad cultural, el hecho de que el monstruo rara vez pueda ser contenido en una dialéctica simple y binaria (tesis, antítesis... sin síntesis). Desconfiamos y aborrecemos al monstruo al mismo tiempo que envidiamos su libertad, y quizás su sublime desesperación. </w:t>
      </w:r>
    </w:p>
    <w:p>
      <w:pPr>
        <w:pStyle w:val="TextBody"/>
        <w:bidi w:val="0"/>
        <w:jc w:val="left"/>
        <w:rPr>
          <w:lang w:val="es-AR"/>
        </w:rPr>
      </w:pPr>
      <w:r>
        <w:rPr>
          <w:lang w:val="es-AR"/>
        </w:rPr>
        <w:t xml:space="preserve">A través del cuerpo del monstruo, las fantasías de agresión, dominación e inversión encuentran una expresión segura en un espacio claramente delimitado y permanentemente liminal. El deleite escapista se convierte en horror solo cuando el monstruo amenaza con traspasar esos límites, con destruir o deconstruir las delgadas paredes de la jerarquía y la cultura. Cuando está contenido por una marginación geográfica, genérica o epistémica, el monstruo puede funcionar como un alter ego, como una proyección seductora de un ("Otro") yo. El monstruo despierta al placer del cuerpo, a las alegrías simples y fugaces de estar asustado o de asustar, a la experiencia de la mortalidad y la corporalidad. Vemos el espectáculo monstruoso de una película de terror porque sabemos que el cine es un lugar temporario, que luego de la punzante sensualidad de las imágenes en celuloide, se regresa al mundo de la comodidad y la luz. </w:t>
      </w:r>
      <w:r>
        <w:rPr>
          <w:rStyle w:val="FootnoteAnchor"/>
          <w:lang w:val="es-AR"/>
        </w:rPr>
        <w:footnoteReference w:id="40"/>
      </w:r>
      <w:r>
        <w:rPr>
          <w:lang w:val="es-AR"/>
        </w:rPr>
        <w:t>La historia que tenemos frente a nosotros puede ser horrible (y poco importa si se lee en la sección de noticias del New York Times o en la última novela de Stephen King), pero nos resulta soportable porque estamos a salvo, con la certeza de que su final está cerca y nuestra liberación es inminente. Sabemos que la historia terminará porque el número de páginas que tenemos en la mano derecha es cada vez menor. Las narrativas que se reciben auditivamente funcionan de manera similar; más allá de lo inquietante que sea la descripción del gigante, o cuántos niños no bautizados o caballeros indefensos devore, el rey Arturo finalmente lo destruirá. La audiencia conoce cómo funciona el género.</w:t>
      </w:r>
    </w:p>
    <w:p>
      <w:pPr>
        <w:pStyle w:val="TextBody"/>
        <w:bidi w:val="0"/>
        <w:jc w:val="left"/>
        <w:rPr>
          <w:lang w:val="es-AR"/>
        </w:rPr>
      </w:pPr>
      <w:r>
        <w:rPr>
          <w:lang w:val="es-AR"/>
        </w:rPr>
        <w:t>Los tiempos de carnaval marginan temporalmente lo monstruoso, pero al mismo tiempo le conceden un ámbito seguro de expresión y juego: en Halloween, todos son demonios por una noche. Ese mismo impulso hacia la fantasía ataráxica se manifiesta en buena parte de la *marginalia* manuscrita, profusamente insólita: desde garabatos abstractos en los bordes de una página organizada hasta animales disparatados y criaturas vagamente humanoides, de anatomía extraña, que pueblan un texto bíblico. Del mismo modo, las gárgolas y los grotescos elaboradamente esculpidos, que se alzan en los tirantes o sobre el techo de la catedral, registran las fantasías de una mano aburrida o reprimida, desatada de repente para poblar los márgenes. Los mapas y relatos de viaje heredados de la Antigüedad heredaron geografías enteras de la imaginación y las poblaron de criaturas exóticas y fantásticas; Ultima Thule, Etiopía y las Antípodas fueron los equivalentes medievales del espacio exterior y de la realidad virtual: geografías imaginarias (enteramente transmitidas en palabras), accesibles desde cualquier lugar, nunca destinadas a ser descubiertas, pero siempre a ser exploradas. Jacques Le Goff escribió que el océano Índico (un “horizonte mental” que, en la Edad Media, se imaginaba completamente rodeado de tierra) era un espacio cultural</w:t>
      </w:r>
    </w:p>
    <w:p>
      <w:pPr>
        <w:pStyle w:val="Quotations"/>
        <w:bidi w:val="0"/>
        <w:ind w:left="720" w:right="0" w:hanging="0"/>
        <w:jc w:val="left"/>
        <w:rPr>
          <w:lang w:val="es-AR"/>
        </w:rPr>
      </w:pPr>
      <w:r>
        <w:rPr>
          <w:lang w:val="es-AR"/>
        </w:rPr>
        <w:t>donde los tabúes [eran] destruidos o reemplazados por otros, donde la extrañeza segrega[ba] la impresión de liberación, de libertad. Frente a la moral estricta impuesta por la Iglesia, se [desplegaba] la seducción turbadora de un mundo de aberración alimenticia donde se practica[ba] coprofagia y canibalismo; inocencia corporal gracias a la cual el hombre, liberado del pudor de la ropa, se [reencontraba] con el nudismo; libertad sexual por la que el hombre, libre de la indigente monogamia y de las barreras familiares, se entrega[ba] a la poligamia, al incesto, al erotismo. (*Por otra Edad Media*, 106).</w:t>
      </w:r>
      <w:r>
        <w:rPr>
          <w:rStyle w:val="FootnoteAnchor"/>
          <w:lang w:val="es-AR"/>
        </w:rPr>
        <w:footnoteReference w:id="41"/>
      </w:r>
    </w:p>
    <w:p>
      <w:pPr>
        <w:pStyle w:val="Firstparagraph"/>
        <w:bidi w:val="0"/>
        <w:jc w:val="left"/>
        <w:rPr>
          <w:lang w:val="es-AR"/>
        </w:rPr>
      </w:pPr>
      <w:r>
        <w:rPr>
          <w:lang w:val="es-AR"/>
        </w:rPr>
        <w:t>Las moradas de los monstruos (África, Escandinavia, América, Venus, el cuadrante Delta —cualquier tierra lo bastante distante como para ser exotizada—) son más que regiones oscuras de peligro incierto: son también ámbitos de fantasía dichosa, horizontes de liberación. Sus monstruos funcionan como cuerpos secundarios a través de los cuales pueden explorarse las posibilidades de otros géneros, de otras prácticas sexuales y de otras costumbres sociales. Los hermafroditas, las amazonas y los caníbales lascivos llaman desde los confines del mundo, los planetas más distantes de la galaxia.</w:t>
      </w:r>
    </w:p>
    <w:p>
      <w:pPr>
        <w:pStyle w:val="TextBody"/>
        <w:bidi w:val="0"/>
        <w:jc w:val="left"/>
        <w:rPr>
          <w:lang w:val="es-AR"/>
        </w:rPr>
      </w:pPr>
      <w:r>
        <w:rPr>
          <w:lang w:val="es-AR"/>
        </w:rPr>
        <w:t>La apropiación del monstruo como símbolo de lo deseable se logra a menudo mediante la neutralización de aspectos potencialmente amenazantes con una generosa dosis de comedia: el gigante tronante se convierte en el gigante torpe.</w:t>
      </w:r>
      <w:r>
        <w:rPr>
          <w:rStyle w:val="FootnoteAnchor"/>
          <w:lang w:val="es-AR"/>
        </w:rPr>
        <w:footnoteReference w:id="42"/>
      </w:r>
      <w:r>
        <w:rPr>
          <w:lang w:val="es-AR"/>
        </w:rPr>
        <w:t xml:space="preserve">Sin embargo, los monstruos pueden seguir funcionando como vehículos de fantasías causales, aun sin que se inviertan sus cargas simbólicas. Lo que Bakhtin denomina “cultura oficial” puede transferir todo lo considerado indeseable a la figura del monstruo, escenificando así su propio drama de cumplimiento de deseos; el monstruo convertido en chivo expiatorio es quizás destruido ritualmente en el transcurso de alguna narrativa oficial, lo que purga a la comunidad mediante la eliminación de sus pecados. La erradicación del monstruo funciona como exorcismo y, al ser relatada y difundida, como catecismo. </w:t>
      </w:r>
      <w:r>
        <w:rPr>
          <w:i/>
          <w:iCs/>
          <w:lang w:val="es-AR"/>
        </w:rPr>
        <w:t>La búsqueda del santo Grial</w:t>
      </w:r>
      <w:r>
        <w:rPr>
          <w:lang w:val="es-AR"/>
        </w:rPr>
        <w:t>, que fue compuesta en ámbito monástico, funciona como un antídoto autorizado por la Iglesia frente a la moralidad más laxa de los romances seculares; cuando el señor Boorse se topa con un castillo donde “señoras de alta alcurnia y rango” lo tientan a la indulgencia sexual, estas damas son, por supuesto, demonios encubiertos bajo una apariencia lasciva.</w:t>
      </w:r>
    </w:p>
    <w:p>
      <w:pPr>
        <w:pStyle w:val="TextBody"/>
        <w:bidi w:val="0"/>
        <w:jc w:val="left"/>
        <w:rPr>
          <w:lang w:val="es-AR"/>
        </w:rPr>
      </w:pPr>
      <w:r>
        <w:rPr>
          <w:lang w:val="es-AR"/>
        </w:rPr>
        <w:t>Cuando Boorse se niega a acostarse con uno de estos demonios transcorpóreos (descrito como “una doncella tan hermosa y tan bella que parece tener en sí toda la belleza terrena” (*La búsqueda del santo Grial*, 137), su firme afirmación de control los destierra a todos aullando de regreso al infierno.</w:t>
      </w:r>
      <w:r>
        <w:rPr>
          <w:rStyle w:val="FootnoteAnchor"/>
          <w:lang w:val="es-AR"/>
        </w:rPr>
        <w:footnoteReference w:id="43"/>
      </w:r>
      <w:r>
        <w:rPr>
          <w:lang w:val="es-AR"/>
        </w:rPr>
        <w:t xml:space="preserve">El episodio exaltaba el celibato, un valor tan central en el sistema de creencias de los autores (y tan difícil de imponer), al mismo tiempo que inculcaba una lección moral para el público secular al que se destinaba la obra: los caballeros y las damas cortesanas aficionados a los romances. </w:t>
      </w:r>
    </w:p>
    <w:p>
      <w:pPr>
        <w:pStyle w:val="TextBody"/>
        <w:bidi w:val="0"/>
        <w:jc w:val="left"/>
        <w:rPr>
          <w:lang w:val="es-AR"/>
        </w:rPr>
      </w:pPr>
      <w:r>
        <w:rPr>
          <w:lang w:val="es-AR"/>
        </w:rPr>
        <w:t xml:space="preserve">Sin embargo, rara vez los monstruos son tan simples en su uso y elaboración como los demonios que asechan a Boorse. En ocasiones, la alegoría simplifica al monstruo hasta diluirlo, como el demonio vivaz del poema anglosajón hagiográfico </w:t>
      </w:r>
      <w:r>
        <w:rPr>
          <w:i/>
          <w:iCs/>
          <w:lang w:val="es-AR"/>
        </w:rPr>
        <w:t>Juliana</w:t>
      </w:r>
      <w:r>
        <w:rPr>
          <w:lang w:val="es-AR"/>
        </w:rPr>
        <w:t xml:space="preserve"> que se convierte en un personaje unidimensional y quejoso en </w:t>
      </w:r>
      <w:r>
        <w:rPr>
          <w:i/>
          <w:iCs/>
          <w:lang w:val="es-AR"/>
        </w:rPr>
        <w:t>Elene de Cynewulf.</w:t>
      </w:r>
      <w:r>
        <w:rPr>
          <w:lang w:val="es-AR"/>
        </w:rPr>
        <w:t xml:space="preserve">De todos modos, es más frecuente que el monstruo conserve una complejidad inquietante. La densidad simbólica con la que Spenser, Milton e incluso </w:t>
      </w:r>
      <w:r>
        <w:rPr>
          <w:i/>
          <w:iCs/>
          <w:lang w:val="es-AR"/>
        </w:rPr>
        <w:t>Beowulf</w:t>
      </w:r>
      <w:r>
        <w:rPr>
          <w:lang w:val="es-AR"/>
        </w:rPr>
        <w:t xml:space="preserve"> realizan una descripción espesa de los monstruos resulta desafiante y nos recuerda cuán permeable puede ser el cuerpo del monstruo, cuán difícil de disecar.</w:t>
      </w:r>
    </w:p>
    <w:p>
      <w:pPr>
        <w:pStyle w:val="TextBody"/>
        <w:bidi w:val="0"/>
        <w:jc w:val="left"/>
        <w:rPr>
          <w:lang w:val="es-AR"/>
        </w:rPr>
      </w:pPr>
      <w:r>
        <w:rPr>
          <w:lang w:val="es-AR"/>
        </w:rPr>
        <w:t>La fluidez corporal, la ansiedad y el deseo que generan al mismo tiempo, aseguran que el monstruo siempre atraerá peligrosamente. Incluso se le permite cierta intriga al cinocéfalo bien dotado de Vincente de Beauvais, ya que antes del rechazo inevitable, el espacio textual que ocupa produce fascinación y le garantiza un encanto innegable. El monstruo acecha en algún punto de ese espacio ambiguo, primario, entre el miedo y la atracción, cerca del corazón de lo que Kristeva denomina “abyección:</w:t>
      </w:r>
    </w:p>
    <w:p>
      <w:pPr>
        <w:pStyle w:val="Quotations"/>
        <w:bidi w:val="0"/>
        <w:ind w:left="720" w:right="0" w:hanging="0"/>
        <w:jc w:val="left"/>
        <w:rPr>
          <w:lang w:val="es-AR"/>
        </w:rPr>
      </w:pPr>
      <w:r>
        <w:rPr>
          <w:lang w:val="es-AR"/>
        </w:rPr>
        <w:t>Desde la abyección surge una de esas rebeliones violentas y oscuras del ser contra una amenaza que parece emanar de un afuera o de un adentro exorbitantes, de lo que ha sido expulsado más allá del ámbito de lo posible y de lo tolerable, de lo pensable. Allí está, muy cerca, pero inasimilable. Solicita, inquieta, fascina al deseo que, sin embargo, no se deja seducir.</w:t>
      </w:r>
    </w:p>
    <w:p>
      <w:pPr>
        <w:pStyle w:val="Quotations"/>
        <w:bidi w:val="0"/>
        <w:ind w:left="720" w:right="0" w:hanging="0"/>
        <w:jc w:val="left"/>
        <w:rPr>
          <w:lang w:val="es-AR"/>
        </w:rPr>
      </w:pPr>
      <w:r>
        <w:rPr>
          <w:lang w:val="es-AR"/>
        </w:rPr>
        <w:t>Asustado, se aparta. Repugnado, rechaza. ... Pero, a la vez y del mismo modo, ese arrebato, ese espasmo, ese salto se ve atraído hacia otra parte tan tentadora como condenada. Sin descanso, como un búmeran ineludible, un vórtice de atracción y de repulsión coloca a aquel que está siendo acechado literalmente a su lado.</w:t>
      </w:r>
      <w:r>
        <w:rPr>
          <w:rStyle w:val="FootnoteAnchor"/>
          <w:lang w:val="es-AR"/>
        </w:rPr>
        <w:footnoteReference w:id="44"/>
      </w:r>
    </w:p>
    <w:p>
      <w:pPr>
        <w:pStyle w:val="Firstparagraph"/>
        <w:bidi w:val="0"/>
        <w:jc w:val="left"/>
        <w:rPr>
          <w:lang w:val="es-AR"/>
        </w:rPr>
      </w:pPr>
      <w:r>
        <w:rPr>
          <w:lang w:val="es-AR"/>
        </w:rPr>
        <w:t>Y quien aparece tan de repente y tan nervioso a nuestro lado es el monstruo.</w:t>
      </w:r>
    </w:p>
    <w:p>
      <w:pPr>
        <w:pStyle w:val="TextBody"/>
        <w:bidi w:val="0"/>
        <w:jc w:val="left"/>
        <w:rPr>
          <w:lang w:val="es-AR"/>
        </w:rPr>
      </w:pPr>
      <w:r>
        <w:rPr>
          <w:lang w:val="es-AR"/>
        </w:rPr>
        <w:t>El monstruo es el fragmento abyecto que permite la formación de todo tipo de identidades: personal, nacional, cultural, económica, sexual, psicológica, universal, particular (incluso si esa identidad “particular” es una reafirmación del poder/estatus/conocimiento de la abyección misma); como tal, revela su parcialidad, su contigüidad. Producto de una gran cantidad de morfogénesis, que van desde lo somático hasta lo étnico y se alinean para impregnar de sentido al Nosotros y al Ellos que existen detrás de toda perspectiva cultural, el monstruo de la abyección reside en la geografía marginal del Exterior, más allá de los límites de lo Pensable, un espacio que es doblemente peligroso: “exorbitante” y “bastante cercano” a la vez. Judith Butler denomina a este *locus* conceptual “un dominio de la inviabilidad y la ininteligibilidad que delimita el dominio de los efectos inteligibles”, pero señala que, incluso cuando discursivamente es cerrado, ofrece una base para la crítica, un margen desde el cual releer los paradigmas dominantes.</w:t>
      </w:r>
      <w:r>
        <w:rPr>
          <w:rStyle w:val="FootnoteAnchor"/>
          <w:lang w:val="es-AR"/>
        </w:rPr>
        <w:footnoteReference w:id="45"/>
      </w:r>
      <w:r>
        <w:rPr>
          <w:lang w:val="es-AR"/>
        </w:rPr>
        <w:t xml:space="preserve"> Como Grendel cuando ruge desde el lago o Drácula cuando sale de su tumba, como el “búmerang, vórtice de atracción” de Kristeva o el retorno siniestro de lo reprimido en Freud y Lacan, el monstruo siempre está regresando, siempre al borde de la irrupción.</w:t>
      </w:r>
    </w:p>
    <w:p>
      <w:pPr>
        <w:pStyle w:val="TextBody"/>
        <w:bidi w:val="0"/>
        <w:jc w:val="left"/>
        <w:rPr>
          <w:lang w:val="es-AR"/>
        </w:rPr>
      </w:pPr>
      <w:r>
        <w:rPr>
          <w:lang w:val="es-AR"/>
        </w:rPr>
        <w:t>Tal vez sea momento de plantear la pregunta que siempre surge cuando se habla seriamente sobre monstruos (siendo la inevitabilidad de la pregunta el síntoma de una ansiedad profunda sobre lo que es pensable y lo que debería serlo, una ansiedad que el proceso de la teoría del monstruo está destinada a suscitar): ¿Existen realmente los monstruos?</w:t>
      </w:r>
    </w:p>
    <w:p>
      <w:pPr>
        <w:pStyle w:val="TextBody"/>
        <w:bidi w:val="0"/>
        <w:jc w:val="left"/>
        <w:rPr>
          <w:lang w:val="es-AR"/>
        </w:rPr>
      </w:pPr>
      <w:r>
        <w:rPr>
          <w:lang w:val="es-AR"/>
        </w:rPr>
        <w:t>Seguramente, ya que de lo contrario, ¿cómo podríamos existir nosotros?</w:t>
      </w:r>
    </w:p>
    <w:p>
      <w:pPr>
        <w:pStyle w:val="Heading4"/>
        <w:numPr>
          <w:ilvl w:val="3"/>
          <w:numId w:val="2"/>
        </w:numPr>
        <w:tabs>
          <w:tab w:val="clear" w:pos="709"/>
          <w:tab w:val="left" w:pos="0" w:leader="none"/>
        </w:tabs>
        <w:bidi w:val="0"/>
        <w:ind w:left="0" w:hanging="0"/>
        <w:jc w:val="left"/>
        <w:rPr>
          <w:lang w:val="es-AR"/>
        </w:rPr>
      </w:pPr>
      <w:bookmarkStart w:id="8" w:name="thesis-vii-the-monster-stands-at-the-thr"/>
      <w:r>
        <w:rPr>
          <w:lang w:val="es-AR"/>
        </w:rPr>
        <w:t xml:space="preserve">Tesis VII: El monstruo se erige en el umbral…de la transformación </w:t>
      </w:r>
      <w:bookmarkEnd w:id="8"/>
    </w:p>
    <w:p>
      <w:pPr>
        <w:pStyle w:val="Firstparagraph"/>
        <w:bidi w:val="0"/>
        <w:jc w:val="left"/>
        <w:rPr>
          <w:lang w:val="es-AR"/>
        </w:rPr>
      </w:pPr>
      <w:r>
        <w:rPr>
          <w:lang w:val="es-AR"/>
        </w:rPr>
        <w:t>“</w:t>
      </w:r>
      <w:r>
        <w:rPr>
          <w:lang w:val="es-AR"/>
        </w:rPr>
        <w:t>This thing of darkness I acknowledge mine.”</w:t>
      </w:r>
    </w:p>
    <w:p>
      <w:pPr>
        <w:pStyle w:val="TextBody"/>
        <w:bidi w:val="0"/>
        <w:jc w:val="left"/>
        <w:rPr>
          <w:lang w:val="es-AR"/>
        </w:rPr>
      </w:pPr>
      <w:r>
        <w:rPr>
          <w:lang w:val="es-AR"/>
        </w:rPr>
        <w:t>Monsters are our children. Aunque sean relegados a los márgenes más lejanos de la geografía y el discurso, escondidos en los confines del mundo y en los recovecos prohibidos de nuestra mente, siempre regresan. Cuando lo hacen, además de traer con ellos un conocimiento más completo de nuestro lugar en la historia y de la historia de cómo llegamos a conocer nuestro lugar, traen también autoconocimiento, conocimiento humano y un discurso de lo más sagrado, ya que se erige desde el Afuera. Dichos monstruos nos interpelan sobre nuestra forma de percibir el mundo y sobre cómo hemos representado de forma errónea aquello que hemos intentado situar en un lugar determinado. Nos piden que reevaluemos nuestros supuestos culturales sobre raza, género, sexualidad, nuestra percepción de la diferencia, nuestra tolerancia en cuanto a la expresión de dicha diferencia. Nos preguntan por qué los hemos creado.</w:t>
      </w:r>
    </w:p>
    <w:p>
      <w:pPr>
        <w:pStyle w:val="TextBody"/>
        <w:bidi w:val="0"/>
        <w:jc w:val="left"/>
        <w:rPr>
          <w:lang w:val="es-AR"/>
        </w:rPr>
      </w:pPr>
      <w:r>
        <w:rPr>
          <w:lang w:val="es-AR"/>
        </w:rPr>
        <w:t>N. de T.: La traducción al español es nuestra.Notas [1 N. de T.:] MUD (Multi-User Dungeon): juego de rol multijugador en línea basado en texto, precursor de los entornos virtuales. MOO (Multi-User Object-Oriented) es un tipo de MUD orientado a objetos, generalmente con fines educativos o de experimentación social. Los usuarios pueden interactuar con objetos y programar dentro del entorno virtual. [2 N. de T.:] MUSH (Multi-User Shared Hallucination) es un tipo de MUD enfocado en la interacción social y narrativa entre usuarios, lo que permite la creación colaborativa de historias y escenarios virtuales.</w:t>
      </w:r>
    </w:p>
    <w:p>
      <w:pPr>
        <w:pStyle w:val="TextBody"/>
        <w:bidi w:val="0"/>
        <w:spacing w:before="86" w:after="86"/>
        <w:jc w:val="left"/>
        <w:rPr>
          <w:lang w:val="es-AR"/>
        </w:rPr>
      </w:pPr>
      <w:r>
        <w:rPr>
          <w:lang w:val="es-AR"/>
        </w:rPr>
        <w:t xml:space="preserve">[^]: Donna Haraway, siguiendo a Trinh Minh-ha, denomina "el otro in/no-apropiado" a los seres humanos revestidos en pieles monstruosas: "Ser ‘in/no-apropiado’ no significa ‘no estar en relación con’, es decir, estar en una reserva especial, con el estatus de lo auténtico, lo intacto, en la condición alocrónica y alotrópica de la inocencia. Por el contrario, ser 'el otro in/no-apropiado' significa estar en una relacionalidad crítica deconstructiva, en una (racio)nalidad difractante en lugar de reflectante, como medio para establecer una conexión fuerte que excede la dominación." *The Promises of Monsters,* en </w:t>
      </w:r>
      <w:r>
        <w:rPr>
          <w:i/>
          <w:iCs/>
          <w:lang w:val="es-AR"/>
        </w:rPr>
        <w:t>Simians, Cyborgs, and Women: The Reinvention of Nature</w:t>
      </w:r>
      <w:r>
        <w:rPr>
          <w:lang w:val="es-AR"/>
        </w:rPr>
        <w:t xml:space="preserve"> (Nueva York: Routledge, 1991), 299. [N. de T.: La traducción es nuestra]</w:t>
      </w:r>
    </w:p>
    <w:sectPr>
      <w:footerReference w:type="default" r:id="rId2"/>
      <w:footnotePr>
        <w:numFmt w:val="decimal"/>
      </w:footnotePr>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StarSymbol">
    <w:altName w:val="Arial Unicode MS"/>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18</w:t>
    </w:r>
    <w:r>
      <w:rPr/>
      <w:fldChar w:fldCharType="end"/>
    </w:r>
    <w:r>
      <w:rPr/>
      <w:t xml:space="preserve">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
        <w:suppressLineNumbers/>
        <w:bidi w:val="0"/>
        <w:ind w:left="283" w:right="0" w:hanging="283"/>
        <w:jc w:val="left"/>
        <w:rPr/>
      </w:pPr>
      <w:r>
        <w:rPr>
          <w:rStyle w:val="FootnoteCharacters"/>
        </w:rPr>
        <w:footnoteRef/>
      </w:r>
      <w:r>
        <w:rPr/>
        <w:tab/>
        <w:t xml:space="preserve">Literalmente, aquí, </w:t>
      </w:r>
      <w:r>
        <w:rPr>
          <w:i/>
          <w:iCs/>
        </w:rPr>
        <w:t>Zeitgeist:</w:t>
      </w:r>
      <w:r>
        <w:rPr/>
        <w:t xml:space="preserve"> el Fantasma del Tiempo, el espíritu incorpóreo que, de manera inquietante, incorpora un “lugar” que es una serie de lugares, la encrucijada que constituye un punto en un </w:t>
      </w:r>
      <w:r>
        <w:rPr>
          <w:i/>
          <w:iCs/>
        </w:rPr>
        <w:t>movimienot</w:t>
      </w:r>
      <w:r>
        <w:rPr/>
        <w:t xml:space="preserve"> hacia otra parta incierta. Enterrar al Zeitgeist en la encrucijada: despierta confuso, no va a ninguna parte, atraviesa todos los lugares; todos los caminos conducen de nuevo al monstruo.</w:t>
      </w:r>
    </w:p>
  </w:footnote>
  <w:footnote w:id="3">
    <w:p>
      <w:pPr>
        <w:pStyle w:val="Footnote"/>
        <w:suppressLineNumbers/>
        <w:bidi w:val="0"/>
        <w:ind w:left="283" w:right="0" w:hanging="283"/>
        <w:jc w:val="left"/>
        <w:rPr/>
      </w:pPr>
      <w:r>
        <w:rPr>
          <w:rStyle w:val="FootnoteCharacters"/>
        </w:rPr>
        <w:footnoteRef/>
      </w:r>
      <w:r>
        <w:rPr/>
        <w:tab/>
        <w:t xml:space="preserve">Comprendo esto como una maniobra interpretativa de carácter biográfico que Barthes sin duda habría calificado de "muerte viva del autor". </w:t>
      </w:r>
    </w:p>
  </w:footnote>
  <w:footnote w:id="4">
    <w:p>
      <w:pPr>
        <w:pStyle w:val="Footnote"/>
        <w:suppressLineNumbers/>
        <w:bidi w:val="0"/>
        <w:ind w:left="283" w:right="0" w:hanging="283"/>
        <w:jc w:val="left"/>
        <w:rPr/>
      </w:pPr>
      <w:r>
        <w:rPr>
          <w:rStyle w:val="FootnoteCharacters"/>
        </w:rPr>
        <w:footnoteRef/>
      </w:r>
      <w:r>
        <w:rPr/>
        <w:tab/>
        <w:t xml:space="preserve">Por lo tanto, se observa la superioridad de “Vampires, Breast-feeding, and Anxiety”, de Joan Copjec, Octubre 58 (otoño de 1991): 25-43, frente a </w:t>
      </w:r>
      <w:r>
        <w:rPr>
          <w:i/>
          <w:iCs/>
        </w:rPr>
        <w:t>Vampires, Burial, and Death: Folklore and Reality</w:t>
      </w:r>
      <w:r>
        <w:rPr/>
        <w:t xml:space="preserve"> de Paul Barber (New Haven, Conn.: Yale University Press, 1988).</w:t>
      </w:r>
    </w:p>
  </w:footnote>
  <w:footnote w:id="5">
    <w:p>
      <w:pPr>
        <w:pStyle w:val="Footnote"/>
        <w:suppressLineNumbers/>
        <w:bidi w:val="0"/>
        <w:ind w:left="283" w:right="0" w:hanging="283"/>
        <w:jc w:val="left"/>
        <w:rPr/>
      </w:pPr>
      <w:r>
        <w:rPr>
          <w:rStyle w:val="FootnoteCharacters"/>
        </w:rPr>
        <w:footnoteRef/>
      </w:r>
      <w:r>
        <w:rPr/>
        <w:tab/>
        <w:t xml:space="preserve">"El gigante se representa a través del movimiento, a través de su existencia en el tiempo. Incluso en la atribución del paisaje inmóvil al gigante, son las actividades del gigante, sus acciones legendarias, las que han dejado la huella observable. En contraste con el universo inmóvil y perfecto de lo diminuto, lo gigantesco representa el orden y el desorden de las fuerzas históricas." Susan Stewart, </w:t>
      </w:r>
      <w:r>
        <w:rPr>
          <w:i/>
          <w:iCs/>
        </w:rPr>
        <w:t>El ansia: Narrativas de la miniatura, lo gigantesco, el souvenir y la colección</w:t>
      </w:r>
      <w:r>
        <w:rPr/>
        <w:t xml:space="preserve"> (Baltimore: Johns Hopkins University Press, 1984), 86. </w:t>
      </w:r>
    </w:p>
  </w:footnote>
  <w:footnote w:id="6">
    <w:p>
      <w:pPr>
        <w:pStyle w:val="Footnote"/>
        <w:suppressLineNumbers/>
        <w:bidi w:val="0"/>
        <w:ind w:left="283" w:right="0" w:hanging="283"/>
        <w:jc w:val="left"/>
        <w:rPr/>
      </w:pPr>
      <w:r>
        <w:rPr>
          <w:rStyle w:val="FootnoteCharacters"/>
        </w:rPr>
        <w:footnoteRef/>
      </w:r>
      <w:r>
        <w:rPr/>
        <w:tab/>
        <w:t xml:space="preserve">Harvey R. Greenberg, “Reimagining the Gargoyle: Psychoanalytic Notes on </w:t>
      </w:r>
      <w:r>
        <w:rPr>
          <w:i/>
          <w:iCs/>
        </w:rPr>
        <w:t>Alien</w:t>
      </w:r>
      <w:r>
        <w:rPr/>
        <w:t xml:space="preserve">”, en </w:t>
      </w:r>
      <w:r>
        <w:rPr>
          <w:i/>
          <w:iCs/>
        </w:rPr>
        <w:t>Close Encounters: Film, Feminism, and Science Fiction,</w:t>
      </w:r>
      <w:r>
        <w:rPr/>
        <w:t xml:space="preserve"> editado por Constance Penley, Elisabeth Lyon, Lynn Spigel y Janet Bergstrom (Minneapolis: University of Minnesota Press, 1991), 90-91. [N. de T.: La traducción es nuestra]</w:t>
      </w:r>
    </w:p>
  </w:footnote>
  <w:footnote w:id="7">
    <w:p>
      <w:pPr>
        <w:pStyle w:val="Footnote"/>
        <w:suppressLineNumbers/>
        <w:bidi w:val="0"/>
        <w:ind w:left="283" w:right="0" w:hanging="283"/>
        <w:jc w:val="left"/>
        <w:rPr/>
      </w:pPr>
      <w:r>
        <w:rPr>
          <w:rStyle w:val="FootnoteCharacters"/>
        </w:rPr>
        <w:footnoteRef/>
      </w:r>
      <w:r>
        <w:rPr/>
        <w:tab/>
        <w:t xml:space="preserve">Marjorie Garber, </w:t>
      </w:r>
      <w:r>
        <w:rPr>
          <w:i/>
          <w:iCs/>
        </w:rPr>
        <w:t>Vested Interests: Cross-Dressing and Cultural Anxiety</w:t>
      </w:r>
      <w:r>
        <w:rPr/>
        <w:t xml:space="preserve"> (Nueva York: Routledge, 1992), 11. [N. de T.:La traducción es nuestra] Garber escribe extensamente sobre la "crisis de categorías", a la cual define como "un fracaso de la distinción definicional, una frontera que se vuelve permeable, que permite cruzar de una categoría (aparentemente distinta) a otra: negro/blanco, judío/cristiano, noble/burgués, amo/sirviente, amo/esclavo.... [Todo lo que cruza la frontera, como las travestis] siempre funcionará a modo de mecanismo de sobredeterminación: un mecanismo de desplazamiento desde un límite difuso a otro. El denominado gen "marcado" podría funcionar como analogía, dado que, cuando aparece en una cadena genética, indica la presencia de una afección que de otro modo permanecería oculta. No es el gen en sí mismo, sino su presencia, lo que señala el foco problemático e indica la probabilidad de una crisis en algún lugar, en otro lugar" (pp. 16-17) Cabe señalar, sin embargo, que mientras Garber insiste en que el travestismo debe interpretarse con las travestis y no </w:t>
      </w:r>
      <w:r>
        <w:rPr>
          <w:i/>
          <w:iCs/>
        </w:rPr>
        <w:t>a través</w:t>
      </w:r>
      <w:r>
        <w:rPr/>
        <w:t xml:space="preserve"> de ellas, solo se puede interpretar a los monstruos </w:t>
      </w:r>
      <w:r>
        <w:rPr>
          <w:i/>
          <w:iCs/>
        </w:rPr>
        <w:t>a través</w:t>
      </w:r>
      <w:r>
        <w:rPr/>
        <w:t xml:space="preserve">, ya que son una construcción cultural por completo, en sí mismos no son nada. </w:t>
      </w:r>
    </w:p>
  </w:footnote>
  <w:footnote w:id="8">
    <w:p>
      <w:pPr>
        <w:pStyle w:val="Footnote"/>
        <w:suppressLineNumbers/>
        <w:bidi w:val="0"/>
        <w:ind w:left="283" w:right="0" w:hanging="283"/>
        <w:jc w:val="left"/>
        <w:rPr/>
      </w:pPr>
      <w:r>
        <w:rPr>
          <w:rStyle w:val="FootnoteCharacters"/>
        </w:rPr>
        <w:footnoteRef/>
      </w:r>
      <w:r>
        <w:rPr/>
        <w:tab/>
        <w:t xml:space="preserve">Estos son los antiguos monstruos, registrados por primera vez por los escritores griegos Ctesias y Megástenes, e incluyen creaciones tan descabelladas como los pigmeos, los sciapodes (hombres con un solo pie grande con el que pueden saltar a gran velocidad o que pueden levantar sobre sus cuerpos recostados a modo de sombrilla de playa), los blemios ("hombres cuyas cabezas / Crecen bajo sus hombros", en palabras de Otello) y cinocéfalos, feroces hombres con cabeza de perro que, además, son antropófagos. John Block Friedman ha denominado razas plineanas a estas criaturas, en honor al enciclopedista clásico que las introdujo en la Edad Media y en la Edad Moderna. </w:t>
      </w:r>
      <w:r>
        <w:rPr>
          <w:i/>
          <w:iCs/>
        </w:rPr>
        <w:t>The Monstrous Races in Medieval Art and Thought</w:t>
      </w:r>
      <w:r>
        <w:rPr/>
        <w:t xml:space="preserve"> (Cambridge: Harvard University Press, 1981). [N. de T.:La traducción es nuestra]</w:t>
      </w:r>
    </w:p>
  </w:footnote>
  <w:footnote w:id="9">
    <w:p>
      <w:pPr>
        <w:pStyle w:val="Footnote"/>
        <w:suppressLineNumbers/>
        <w:bidi w:val="0"/>
        <w:ind w:left="283" w:right="0" w:hanging="283"/>
        <w:jc w:val="left"/>
        <w:rPr/>
      </w:pPr>
      <w:r>
        <w:rPr>
          <w:rStyle w:val="FootnoteCharacters"/>
        </w:rPr>
        <w:footnoteRef/>
      </w:r>
      <w:r>
        <w:rPr/>
        <w:tab/>
        <w:t xml:space="preserve">El debate sobre la implicación de lo monstruoso en la creación de la heurística se basa en parte en mi monografía *The Limits of Knowing: Monsters and the Regulation of Medieval Popular Culture* </w:t>
      </w:r>
      <w:r>
        <w:rPr>
          <w:i/>
          <w:iCs/>
        </w:rPr>
        <w:t>Medieval Folklore</w:t>
      </w:r>
      <w:r>
        <w:rPr/>
        <w:t xml:space="preserve"> 3 (otoño de 1994): 1-37</w:t>
      </w:r>
    </w:p>
  </w:footnote>
  <w:footnote w:id="10">
    <w:p>
      <w:pPr>
        <w:pStyle w:val="Footnote"/>
        <w:suppressLineNumbers/>
        <w:bidi w:val="0"/>
        <w:ind w:left="283" w:right="0" w:hanging="283"/>
        <w:jc w:val="left"/>
        <w:rPr/>
      </w:pPr>
      <w:r>
        <w:rPr>
          <w:rStyle w:val="FootnoteCharacters"/>
        </w:rPr>
        <w:footnoteRef/>
      </w:r>
      <w:r>
        <w:rPr/>
        <w:tab/>
        <w:t xml:space="preserve">Jerrold E. Hogle, “The Struggle for a Dichotomy: Abjection in Jekyll and His Interpreters,” en </w:t>
      </w:r>
      <w:r>
        <w:rPr>
          <w:i/>
          <w:iCs/>
        </w:rPr>
        <w:t>Dr. Jekyll and Mr. Hyde after One Hundred Years,</w:t>
      </w:r>
      <w:r>
        <w:rPr/>
        <w:t xml:space="preserve"> editores William Veeder y Gordon Hirsch (Chicago: University of Chicago Press, 1988), 161. [N. de T.:La traducción es nuestra]</w:t>
      </w:r>
    </w:p>
  </w:footnote>
  <w:footnote w:id="11">
    <w:p>
      <w:pPr>
        <w:pStyle w:val="Footnote"/>
        <w:suppressLineNumbers/>
        <w:bidi w:val="0"/>
        <w:ind w:left="283" w:right="0" w:hanging="283"/>
        <w:jc w:val="left"/>
        <w:rPr/>
      </w:pPr>
      <w:r>
        <w:rPr>
          <w:rStyle w:val="FootnoteCharacters"/>
        </w:rPr>
        <w:footnoteRef/>
      </w:r>
      <w:r>
        <w:rPr/>
        <w:tab/>
        <w:t xml:space="preserve">"El círculo hermenéutico no permite el acceso a una realidad ininterrumpida ni el escape de la misma; pero no [debemos] seguir dando vueltas por el mismo camino". Barbara Herrnstein Smith, “Belief and Resistance: A Symmetrical Account,” </w:t>
      </w:r>
      <w:r>
        <w:rPr>
          <w:i/>
          <w:iCs/>
        </w:rPr>
        <w:t>Critical Inquiry</w:t>
      </w:r>
      <w:r>
        <w:rPr/>
        <w:t xml:space="preserve"> 18 (Autumn 1991): 137-38. [N. de T.:La traducción es nuestra]</w:t>
      </w:r>
    </w:p>
  </w:footnote>
  <w:footnote w:id="12">
    <w:p>
      <w:pPr>
        <w:pStyle w:val="Footnote"/>
        <w:suppressLineNumbers/>
        <w:bidi w:val="0"/>
        <w:ind w:left="283" w:right="0" w:hanging="283"/>
        <w:jc w:val="left"/>
        <w:rPr/>
      </w:pPr>
      <w:r>
        <w:rPr>
          <w:rStyle w:val="FootnoteCharacters"/>
        </w:rPr>
        <w:footnoteRef/>
      </w:r>
      <w:r>
        <w:rPr/>
        <w:tab/>
        <w:t xml:space="preserve">Jacques Derrida, </w:t>
      </w:r>
      <w:r>
        <w:rPr>
          <w:i/>
          <w:iCs/>
        </w:rPr>
        <w:t>De la gramatología,</w:t>
      </w:r>
      <w:r>
        <w:rPr/>
        <w:t xml:space="preserve"> [Traducción al español de Oscar del Barco y Conrado Cereti. México: Siglo XXI Editores. 1986].</w:t>
      </w:r>
    </w:p>
  </w:footnote>
  <w:footnote w:id="13">
    <w:p>
      <w:pPr>
        <w:pStyle w:val="Footnote"/>
        <w:suppressLineNumbers/>
        <w:bidi w:val="0"/>
        <w:ind w:left="283" w:right="0" w:hanging="283"/>
        <w:jc w:val="left"/>
        <w:rPr/>
      </w:pPr>
      <w:r>
        <w:rPr>
          <w:rStyle w:val="FootnoteCharacters"/>
        </w:rPr>
        <w:footnoteRef/>
      </w:r>
      <w:r>
        <w:rPr/>
        <w:tab/>
        <w:t xml:space="preserve">Barbara Johnson, “Introduction,” en Jacques Derrida, </w:t>
      </w:r>
      <w:r>
        <w:rPr>
          <w:i/>
          <w:iCs/>
        </w:rPr>
        <w:t>Dissemination,</w:t>
      </w:r>
      <w:r>
        <w:rPr/>
        <w:t xml:space="preserve"> (Chicago: University of Chicago Press, 1981), xiii. [N. de T.:La traducción es nuestra].</w:t>
      </w:r>
    </w:p>
  </w:footnote>
  <w:footnote w:id="14">
    <w:p>
      <w:pPr>
        <w:pStyle w:val="Footnote"/>
        <w:suppressLineNumbers/>
        <w:bidi w:val="0"/>
        <w:ind w:left="283" w:right="0" w:hanging="283"/>
        <w:jc w:val="left"/>
        <w:rPr/>
      </w:pPr>
      <w:r>
        <w:rPr>
          <w:rStyle w:val="FootnoteCharacters"/>
        </w:rPr>
        <w:footnoteRef/>
      </w:r>
      <w:r>
        <w:rPr/>
        <w:tab/>
        <w:t xml:space="preserve">H. D. S. Greenway, “Adversaries Create Devils of Each Other,” </w:t>
      </w:r>
      <w:r>
        <w:rPr>
          <w:i/>
          <w:iCs/>
        </w:rPr>
        <w:t>Boston Globe,</w:t>
      </w:r>
      <w:r>
        <w:rPr/>
        <w:t xml:space="preserve"> December 15, 1992, 1.</w:t>
      </w:r>
    </w:p>
  </w:footnote>
  <w:footnote w:id="15">
    <w:p>
      <w:pPr>
        <w:pStyle w:val="Footnote"/>
        <w:bidi w:val="0"/>
        <w:jc w:val="left"/>
        <w:rPr>
          <w:i/>
          <w:i/>
          <w:iCs/>
        </w:rPr>
      </w:pPr>
      <w:r>
        <w:rPr>
          <w:rStyle w:val="FootnoteCharacters"/>
        </w:rPr>
        <w:footnoteRef/>
      </w:r>
      <w:r>
        <w:rPr/>
        <w:tab/>
        <w:t>More, T. (1963). The History of King Richard III (R. S. Sylvester, Ed.). En The Yale Edition of the Complete Works of Thomas More (Vol. 2, p. 7). Yale University Press.</w:t>
      </w:r>
    </w:p>
  </w:footnote>
  <w:footnote w:id="16">
    <w:p>
      <w:pPr>
        <w:pStyle w:val="Footnote"/>
        <w:suppressLineNumbers/>
        <w:bidi w:val="0"/>
        <w:ind w:left="283" w:right="0" w:hanging="283"/>
        <w:jc w:val="left"/>
        <w:rPr/>
      </w:pPr>
      <w:r>
        <w:rPr>
          <w:rStyle w:val="FootnoteCharacters"/>
        </w:rPr>
        <w:footnoteRef/>
      </w:r>
      <w:r>
        <w:rPr/>
        <w:tab/>
        <w:t xml:space="preserve">Garber, M. (1988). </w:t>
      </w:r>
      <w:r>
        <w:rPr>
          <w:i/>
          <w:iCs/>
        </w:rPr>
        <w:t>Shakespeare’s ghost writers: Literature as uncanny causality [Los escritores fantasma de Shakespeare: La literatura como causalidad siniestra]</w:t>
      </w:r>
      <w:r>
        <w:rPr/>
        <w:t xml:space="preserve"> (p. 30). Routledge, Chapman &amp; Hall. Mi análisis sobre Ricardo se basa en la provocadora obra de Marjorie Garber.</w:t>
      </w:r>
    </w:p>
  </w:footnote>
  <w:footnote w:id="17">
    <w:p>
      <w:pPr>
        <w:pStyle w:val="Footnote"/>
        <w:suppressLineNumbers/>
        <w:bidi w:val="0"/>
        <w:ind w:left="283" w:right="0" w:hanging="283"/>
        <w:jc w:val="left"/>
        <w:rPr/>
      </w:pPr>
      <w:r>
        <w:rPr>
          <w:rStyle w:val="FootnoteCharacters"/>
        </w:rPr>
        <w:footnoteRef/>
      </w:r>
      <w:r>
        <w:rPr/>
        <w:tab/>
        <w:t>Un retrato que se conserva actualmente en la Sociedad de Anticuarios de Londres, que fue pintado hacia 1505, muestra a un Ricardo con los hombros erguidos. Pero un segundo retrato, posiblemente de fecha anterior, presente en la Royal Collection, parece emblematizar toda la controversia [en torno a la supuesta monstruosidad de Ricardo], pues en él, un examen radiográfico revela una línea original de hombros recta, que fue posteriormente repintada para presentar la silueta del hombro derecho elevado, tan a menudo copiada por retratistas posteriores.” *Ibid.*, 35.</w:t>
      </w:r>
    </w:p>
  </w:footnote>
  <w:footnote w:id="18">
    <w:p>
      <w:pPr>
        <w:pStyle w:val="Footnote"/>
        <w:suppressLineNumbers/>
        <w:bidi w:val="0"/>
        <w:ind w:left="283" w:right="0" w:hanging="283"/>
        <w:jc w:val="left"/>
        <w:rPr/>
      </w:pPr>
      <w:r>
        <w:rPr>
          <w:rStyle w:val="FootnoteCharacters"/>
        </w:rPr>
        <w:footnoteRef/>
      </w:r>
      <w:r>
        <w:rPr/>
        <w:tab/>
        <w:t xml:space="preserve">Aquí insinúo la posibilidad de una recuperación feminista del monstruo atravesado por el género al citar los títulos de dos libros famosos sobre Lilith, que es una figura predilecta en la escritura feminista: </w:t>
      </w:r>
      <w:r>
        <w:rPr>
          <w:i/>
          <w:iCs/>
        </w:rPr>
        <w:t>Lilith, ou, La Mère obscure</w:t>
      </w:r>
      <w:r>
        <w:rPr/>
        <w:t xml:space="preserve">, de Jacques Bril (París: Payot, 1981), y </w:t>
      </w:r>
      <w:r>
        <w:rPr>
          <w:i/>
          <w:iCs/>
        </w:rPr>
        <w:t>Lilith, die erste Eva: Eine Studie über dunkle Aspekte des Weiblichen</w:t>
      </w:r>
      <w:r>
        <w:rPr/>
        <w:t>, de Siegmund Hurwitz (Zúrich: Daimon Verlag, 1980).</w:t>
      </w:r>
    </w:p>
  </w:footnote>
  <w:footnote w:id="19">
    <w:p>
      <w:pPr>
        <w:pStyle w:val="Footnote"/>
        <w:suppressLineNumbers/>
        <w:bidi w:val="0"/>
        <w:ind w:left="283" w:right="0" w:hanging="283"/>
        <w:jc w:val="left"/>
        <w:rPr/>
      </w:pPr>
      <w:r>
        <w:rPr>
          <w:rStyle w:val="FootnoteCharacters"/>
        </w:rPr>
        <w:footnoteRef/>
      </w:r>
      <w:r>
        <w:rPr/>
        <w:tab/>
        <w:t xml:space="preserve">"La mujer-monstruo, amenazando con reemplazar a su hermana angelical, encarna la autonomía femenina intransigente y, de este modo, representa tanto el poder del autor para aliviar 'sus' ansiedades insultando a su fuente con malas palabras (bruja, zorra, demonio, monstruo) como, de forma simultánea, el misterioso poder del personaje que se niega a permanecer en su 'lugar' ordenado del texto y, por lo tanto, genera una historia que 'escapa' de su autor". Gilbert, S. M., &amp; Gubar, S. (1998). </w:t>
      </w:r>
      <w:r>
        <w:rPr>
          <w:i/>
          <w:iCs/>
        </w:rPr>
        <w:t>*La loca del desván: La escritora y la imaginación literaria del siglo XIX*</w:t>
      </w:r>
      <w:r>
        <w:rPr/>
        <w:t xml:space="preserve"> (p. 43). Madrid: Ediciones Cátedra. Marie-Hélène Huet también explora el papel “peligroso” de la voluntad femenina en la gestación de monstruos en </w:t>
      </w:r>
      <w:r>
        <w:rPr>
          <w:i/>
          <w:iCs/>
        </w:rPr>
        <w:t>Monstrous Imagination</w:t>
      </w:r>
      <w:r>
        <w:rPr/>
        <w:t xml:space="preserve"> (Cambridge: Harvard University Press, 1993). </w:t>
      </w:r>
    </w:p>
  </w:footnote>
  <w:footnote w:id="20">
    <w:p>
      <w:pPr>
        <w:pStyle w:val="Footnote"/>
        <w:suppressLineNumbers/>
        <w:bidi w:val="0"/>
        <w:ind w:left="283" w:right="0" w:hanging="283"/>
        <w:jc w:val="left"/>
        <w:rPr/>
      </w:pPr>
      <w:r>
        <w:rPr>
          <w:rStyle w:val="FootnoteCharacters"/>
        </w:rPr>
        <w:footnoteRef/>
      </w:r>
      <w:r>
        <w:rPr/>
        <w:tab/>
        <w:t xml:space="preserve">Un cinocéfalo es un hombre con cabeza de perro, como el descanonizado San Cristóbal. Ser un cinocéfalo ya resulta aberrante como para, además, ser hermafrodita: el monstruo acumula una diferencia sobre otra, como un imán que las atrae y las concentra en una identidad compuesta y polivalente en torno a un nucleo inestable. </w:t>
      </w:r>
    </w:p>
  </w:footnote>
  <w:footnote w:id="21">
    <w:p>
      <w:pPr>
        <w:pStyle w:val="Footnote"/>
        <w:suppressLineNumbers/>
        <w:bidi w:val="0"/>
        <w:ind w:left="283" w:right="0" w:hanging="283"/>
        <w:jc w:val="left"/>
        <w:rPr/>
      </w:pPr>
      <w:r>
        <w:rPr>
          <w:rStyle w:val="FootnoteCharacters"/>
        </w:rPr>
        <w:footnoteRef/>
      </w:r>
      <w:r>
        <w:rPr/>
        <w:tab/>
        <w:t xml:space="preserve">Roy, B. (1975). En marge du monde connu: Les races de monstres. En G.-H. Allard (Comp.), </w:t>
      </w:r>
      <w:r>
        <w:rPr>
          <w:i/>
          <w:iCs/>
        </w:rPr>
        <w:t>*Aspects de la marginalité au Moyen Âge*</w:t>
      </w:r>
      <w:r>
        <w:rPr/>
        <w:t xml:space="preserve"> (p. 77). (Quebec: Les Éditions de l’Aurore, 1975), 77. Esta traducción es mía. </w:t>
      </w:r>
    </w:p>
  </w:footnote>
  <w:footnote w:id="22">
    <w:p>
      <w:pPr>
        <w:pStyle w:val="Footnote"/>
        <w:suppressLineNumbers/>
        <w:bidi w:val="0"/>
        <w:ind w:left="283" w:right="0" w:hanging="283"/>
        <w:jc w:val="left"/>
        <w:rPr/>
      </w:pPr>
      <w:r>
        <w:rPr>
          <w:rStyle w:val="FootnoteCharacters"/>
        </w:rPr>
        <w:footnoteRef/>
      </w:r>
      <w:r>
        <w:rPr/>
        <w:tab/>
        <w:t xml:space="preserve">Véase, por ejemplo, McAlpine, M. E.: *The Pardoner’s Homosexuality and How It Matters*. </w:t>
      </w:r>
      <w:r>
        <w:rPr>
          <w:i/>
          <w:iCs/>
        </w:rPr>
        <w:t>PMLA</w:t>
      </w:r>
      <w:r>
        <w:rPr/>
        <w:t xml:space="preserve"> 95 (1980): 8-22. </w:t>
      </w:r>
    </w:p>
  </w:footnote>
  <w:footnote w:id="23">
    <w:p>
      <w:pPr>
        <w:pStyle w:val="Footnote"/>
        <w:suppressLineNumbers/>
        <w:bidi w:val="0"/>
        <w:ind w:left="283" w:right="0" w:hanging="283"/>
        <w:jc w:val="left"/>
        <w:rPr/>
      </w:pPr>
      <w:r>
        <w:rPr>
          <w:rStyle w:val="FootnoteCharacters"/>
        </w:rPr>
        <w:footnoteRef/>
      </w:r>
      <w:r>
        <w:rPr/>
        <w:tab/>
        <w:t xml:space="preserve">Citado por Friedman, </w:t>
      </w:r>
      <w:r>
        <w:rPr>
          <w:i/>
          <w:iCs/>
        </w:rPr>
        <w:t>*The Monstrous Races*</w:t>
      </w:r>
      <w:r>
        <w:rPr/>
        <w:t>, 64.</w:t>
      </w:r>
    </w:p>
  </w:footnote>
  <w:footnote w:id="24">
    <w:p>
      <w:pPr>
        <w:pStyle w:val="Footnote"/>
        <w:suppressLineNumbers/>
        <w:bidi w:val="0"/>
        <w:ind w:left="283" w:right="0" w:hanging="283"/>
        <w:jc w:val="left"/>
        <w:rPr/>
      </w:pPr>
      <w:r>
        <w:rPr>
          <w:rStyle w:val="FootnoteCharacters"/>
        </w:rPr>
        <w:footnoteRef/>
      </w:r>
      <w:r>
        <w:rPr/>
        <w:tab/>
        <w:t xml:space="preserve">Isabel I deportó a los “moros negros” en 1596 y nuevamente en 1601. Véase Newman, K. "And Wash the Ethiop White’: Femininity and the Monstrous in Othello", en </w:t>
      </w:r>
      <w:r>
        <w:rPr>
          <w:i/>
          <w:iCs/>
        </w:rPr>
        <w:t>Shakespeare Reproduced: The Text in History and Ideology</w:t>
      </w:r>
      <w:r>
        <w:rPr/>
        <w:t xml:space="preserve"> J. E. Howard &amp; M. F. O’Connor (Comp.) Nueva York: Methuen (1987), 148. </w:t>
      </w:r>
    </w:p>
  </w:footnote>
  <w:footnote w:id="25">
    <w:p>
      <w:pPr>
        <w:pStyle w:val="Footnote"/>
        <w:suppressLineNumbers/>
        <w:bidi w:val="0"/>
        <w:ind w:left="283" w:right="0" w:hanging="283"/>
        <w:jc w:val="left"/>
        <w:rPr/>
      </w:pPr>
      <w:r>
        <w:rPr>
          <w:rStyle w:val="FootnoteCharacters"/>
        </w:rPr>
        <w:footnoteRef/>
      </w:r>
      <w:r>
        <w:rPr/>
        <w:tab/>
        <w:t xml:space="preserve">Consultar Giraldus Cambrensis, </w:t>
      </w:r>
      <w:r>
        <w:rPr>
          <w:i/>
          <w:iCs/>
        </w:rPr>
        <w:t>Topographia Hiberniae,</w:t>
      </w:r>
      <w:r>
        <w:rPr/>
        <w:t xml:space="preserve"> versión en inglés *Topographia Hibernae (The History and Topography of Ireland),* [N. de T.: La traducción es nuestra]</w:t>
      </w:r>
    </w:p>
  </w:footnote>
  <w:footnote w:id="26">
    <w:p>
      <w:pPr>
        <w:pStyle w:val="Footnote"/>
        <w:suppressLineNumbers/>
        <w:bidi w:val="0"/>
        <w:ind w:left="283" w:right="0" w:hanging="283"/>
        <w:jc w:val="left"/>
        <w:rPr/>
      </w:pPr>
      <w:r>
        <w:rPr>
          <w:rStyle w:val="FootnoteCharacters"/>
        </w:rPr>
        <w:footnoteRef/>
      </w:r>
      <w:r>
        <w:rPr/>
        <w:tab/>
        <w:t xml:space="preserve">Consultar Edward Said, </w:t>
      </w:r>
      <w:r>
        <w:rPr>
          <w:i/>
          <w:iCs/>
        </w:rPr>
        <w:t>Orientalism</w:t>
      </w:r>
      <w:r>
        <w:rPr/>
        <w:t xml:space="preserve"> (Nueva York: Pantheon, 1978) [Traducción de María Luisa Fuentes. Barcelona: Debolsillo. 2002]; Henry Louis Gates Jr., </w:t>
      </w:r>
      <w:r>
        <w:rPr>
          <w:i/>
          <w:iCs/>
        </w:rPr>
        <w:t>The Signifying Monkey: A Theory of Afro-American Literature</w:t>
      </w:r>
      <w:r>
        <w:rPr/>
        <w:t xml:space="preserve"> (Nueva York: Oxford University Press, 1988). [N. de T.: La traducción es nuestra]</w:t>
      </w:r>
    </w:p>
  </w:footnote>
  <w:footnote w:id="27">
    <w:p>
      <w:pPr>
        <w:pStyle w:val="Footnote"/>
        <w:suppressLineNumbers/>
        <w:bidi w:val="0"/>
        <w:ind w:left="283" w:right="0" w:hanging="283"/>
        <w:jc w:val="left"/>
        <w:rPr/>
      </w:pPr>
      <w:r>
        <w:rPr>
          <w:rStyle w:val="FootnoteCharacters"/>
        </w:rPr>
        <w:footnoteRef/>
      </w:r>
      <w:r>
        <w:rPr/>
        <w:tab/>
        <w:t xml:space="preserve">René Girard, </w:t>
      </w:r>
      <w:r>
        <w:rPr>
          <w:i/>
          <w:iCs/>
        </w:rPr>
        <w:t>The Scapegoat,</w:t>
      </w:r>
      <w:r>
        <w:rPr/>
        <w:t xml:space="preserve"> (Baltimore: Johns Hopkins University Press, 1986), 33. [Traducción de Joaquín Fordá. Barcelona: Anagrama. 1986]</w:t>
      </w:r>
    </w:p>
  </w:footnote>
  <w:footnote w:id="28">
    <w:p>
      <w:pPr>
        <w:pStyle w:val="Footnote"/>
        <w:suppressLineNumbers/>
        <w:bidi w:val="0"/>
        <w:ind w:left="283" w:right="0" w:hanging="283"/>
        <w:jc w:val="left"/>
        <w:rPr/>
      </w:pPr>
      <w:r>
        <w:rPr>
          <w:rStyle w:val="FootnoteCharacters"/>
        </w:rPr>
        <w:footnoteRef/>
      </w:r>
      <w:r>
        <w:rPr/>
        <w:tab/>
        <w:t>Ibíd., 21-22.</w:t>
      </w:r>
    </w:p>
  </w:footnote>
  <w:footnote w:id="29">
    <w:p>
      <w:pPr>
        <w:pStyle w:val="Footnote"/>
        <w:suppressLineNumbers/>
        <w:bidi w:val="0"/>
        <w:ind w:left="283" w:right="0" w:hanging="283"/>
        <w:jc w:val="left"/>
        <w:rPr/>
      </w:pPr>
      <w:r>
        <w:rPr>
          <w:rStyle w:val="FootnoteCharacters"/>
        </w:rPr>
        <w:footnoteRef/>
      </w:r>
      <w:r>
        <w:rPr/>
        <w:tab/>
        <w:t xml:space="preserve">Tanto en el mundo antiguo como en el medieval, los viajes prolongados dependían del consenso de un ideal de hospitalidad que consagraba la responsabilidad del anfitrión hacia su huésped. La violación de ese código es la causa de la destrucción de Sodoma y Gomorra que aparece en la biblia, de la regresión del hombre a gigante en </w:t>
      </w:r>
      <w:r>
        <w:rPr>
          <w:i/>
          <w:iCs/>
        </w:rPr>
        <w:t>Sir Gawain and the Carl of Carlisle</w:t>
      </w:r>
      <w:r>
        <w:rPr/>
        <w:t xml:space="preserve">, y de la primera transformación punitiva en las Metamorfosis de Ovidio </w:t>
      </w:r>
      <w:r>
        <w:rPr>
          <w:i/>
          <w:iCs/>
        </w:rPr>
        <w:t>.</w:t>
      </w:r>
      <w:r>
        <w:rPr/>
        <w:t xml:space="preserve"> Este tipo popular de narración puede puede denominarse, con acierto, como la fábula de la hospitalidad; historias así enaltecen la práctica cuya violación ilustran mediante un drama que repudia ese comportamiento peligroso. La exaltación del valor se realiza de una de dos maneras: o bien el anfitrión ya es un monstruo y aprende una lección del huésped, o bien el anfitrión se convierte en monstruo durante la narración y los lectores o espectadores comprenden cómo deben comportarse. En cualquier caso, el manto de la monstruosidad resalta los comportamientos y actitudes que el texto busca prohibir.</w:t>
      </w:r>
    </w:p>
  </w:footnote>
  <w:footnote w:id="30">
    <w:p>
      <w:pPr>
        <w:pStyle w:val="Footnote"/>
        <w:suppressLineNumbers/>
        <w:bidi w:val="0"/>
        <w:ind w:left="283" w:right="0" w:hanging="283"/>
        <w:jc w:val="left"/>
        <w:rPr/>
      </w:pPr>
      <w:r>
        <w:rPr>
          <w:rStyle w:val="FootnoteCharacters"/>
        </w:rPr>
        <w:footnoteRef/>
      </w:r>
      <w:r>
        <w:rPr/>
        <w:tab/>
        <w:t xml:space="preserve">Ovid, </w:t>
      </w:r>
      <w:r>
        <w:rPr>
          <w:i/>
          <w:iCs/>
        </w:rPr>
        <w:t>Metamorphoses</w:t>
      </w:r>
      <w:r>
        <w:rPr/>
        <w:t xml:space="preserve"> (Loeb Classical Library no. 42), ed. G P. Goold (Cambridge: Harvard University Press, 1916, rpr. 1984), [.156-62, 30] Versión utilizada en esta traducción: Madrid: Ediciones Cátedra. 203. Traducción al español de Consuelo Álvarez y Rosa Ma. Iglesias.</w:t>
      </w:r>
    </w:p>
  </w:footnote>
  <w:footnote w:id="31">
    <w:p>
      <w:pPr>
        <w:pStyle w:val="Footnote"/>
        <w:suppressLineNumbers/>
        <w:bidi w:val="0"/>
        <w:ind w:left="283" w:right="0" w:hanging="283"/>
        <w:jc w:val="left"/>
        <w:rPr/>
      </w:pPr>
      <w:r>
        <w:rPr>
          <w:rStyle w:val="FootnoteCharacters"/>
        </w:rPr>
        <w:footnoteRef/>
      </w:r>
      <w:r>
        <w:rPr/>
        <w:tab/>
        <w:t>Ibid., 1.231-39</w:t>
      </w:r>
    </w:p>
  </w:footnote>
  <w:footnote w:id="32">
    <w:p>
      <w:pPr>
        <w:pStyle w:val="Footnote"/>
        <w:suppressLineNumbers/>
        <w:bidi w:val="0"/>
        <w:ind w:left="283" w:right="0" w:hanging="283"/>
        <w:jc w:val="left"/>
        <w:rPr/>
      </w:pPr>
      <w:r>
        <w:rPr>
          <w:rStyle w:val="FootnoteCharacters"/>
        </w:rPr>
        <w:footnoteRef/>
      </w:r>
      <w:r>
        <w:rPr/>
        <w:tab/>
        <w:t xml:space="preserve">Quedo en deuda con Keeryung Hong de la Universidad de Harvard por haberme compartido su investigación sobre la producción de mapas medievales para esta hipótesis. </w:t>
      </w:r>
    </w:p>
  </w:footnote>
  <w:footnote w:id="33">
    <w:p>
      <w:pPr>
        <w:pStyle w:val="Footnote"/>
        <w:suppressLineNumbers/>
        <w:bidi w:val="0"/>
        <w:ind w:left="283" w:right="0" w:hanging="283"/>
        <w:jc w:val="left"/>
        <w:rPr/>
      </w:pPr>
      <w:r>
        <w:rPr>
          <w:rStyle w:val="FootnoteCharacters"/>
        </w:rPr>
        <w:footnoteRef/>
      </w:r>
      <w:r>
        <w:rPr/>
        <w:tab/>
        <w:t xml:space="preserve">Un término útil (aunque políticamente cargado) para un colectivo como este es </w:t>
      </w:r>
      <w:r>
        <w:rPr>
          <w:i/>
          <w:iCs/>
        </w:rPr>
        <w:t>Männerbünde,</w:t>
      </w:r>
      <w:r>
        <w:rPr/>
        <w:t xml:space="preserve"> “grupos exclusivamente masculinos cuya función principal es la agresión”. Harris, J. (1993). "Love and Death in the Mannerbund: An Essay with Special Reference to the </w:t>
      </w:r>
      <w:r>
        <w:rPr>
          <w:i/>
          <w:iCs/>
        </w:rPr>
        <w:t>Bjarkamál</w:t>
      </w:r>
      <w:r>
        <w:rPr/>
        <w:t xml:space="preserve"> and </w:t>
      </w:r>
      <w:r>
        <w:rPr>
          <w:i/>
          <w:iCs/>
        </w:rPr>
        <w:t>The Battle of Maldon</w:t>
      </w:r>
      <w:r>
        <w:rPr/>
        <w:t xml:space="preserve">". En H. Damico &amp; L. Leyerle (Comp.), *Heroic Poetry in the Anglo-Saxon Period* (1993, p. 78). Kalamazoo: Instituto Medieval / Universidad Estatal Western Michigan. Véase también el [seminario] </w:t>
      </w:r>
      <w:r>
        <w:rPr>
          <w:i/>
          <w:iCs/>
        </w:rPr>
        <w:t>Interscripta</w:t>
      </w:r>
      <w:r>
        <w:rPr/>
        <w:t xml:space="preserve"> sobre “Masculinidades medievales”, moderado y editado por Jeffrey Jerome Cohen, accesible en línea: http://www.georgetown.edu/labyrinth/e-center/interscripta/mm.html (el material se publicará en una versión impresa en la revista </w:t>
      </w:r>
      <w:r>
        <w:rPr>
          <w:i/>
          <w:iCs/>
        </w:rPr>
        <w:t>Arthuriana,</w:t>
      </w:r>
      <w:r>
        <w:rPr/>
        <w:t xml:space="preserve"> en el ensayo “The Armour of an Alienating Identity”). </w:t>
      </w:r>
    </w:p>
  </w:footnote>
  <w:footnote w:id="34">
    <w:p>
      <w:pPr>
        <w:pStyle w:val="Footnote"/>
        <w:suppressLineNumbers/>
        <w:bidi w:val="0"/>
        <w:ind w:left="283" w:right="0" w:hanging="283"/>
        <w:jc w:val="left"/>
        <w:rPr/>
      </w:pPr>
      <w:r>
        <w:rPr>
          <w:rStyle w:val="FootnoteCharacters"/>
        </w:rPr>
        <w:footnoteRef/>
      </w:r>
      <w:r>
        <w:rPr/>
        <w:tab/>
        <w:t xml:space="preserve">La palabra griega </w:t>
      </w:r>
      <w:r>
        <w:rPr>
          <w:i/>
          <w:iCs/>
        </w:rPr>
        <w:t>barbaros,</w:t>
      </w:r>
      <w:r>
        <w:rPr/>
        <w:t xml:space="preserve"> de la cual derivamos la palabra del inglés moderno *barbaric*, significa “hacer el sonido ‘</w:t>
      </w:r>
      <w:r>
        <w:rPr>
          <w:i/>
          <w:iCs/>
        </w:rPr>
        <w:t>bar bar</w:t>
      </w:r>
      <w:r>
        <w:rPr/>
        <w:t xml:space="preserve">’”, lo que no es hablar griego, por tanto, es hablar de manera ininteligible. </w:t>
      </w:r>
    </w:p>
  </w:footnote>
  <w:footnote w:id="35">
    <w:p>
      <w:pPr>
        <w:pStyle w:val="Footnote"/>
        <w:suppressLineNumbers/>
        <w:bidi w:val="0"/>
        <w:ind w:left="283" w:right="0" w:hanging="283"/>
        <w:jc w:val="left"/>
        <w:rPr/>
      </w:pPr>
      <w:r>
        <w:rPr>
          <w:rStyle w:val="FootnoteCharacters"/>
        </w:rPr>
        <w:footnoteRef/>
      </w:r>
      <w:r>
        <w:rPr/>
        <w:tab/>
        <w:t xml:space="preserve">Foucault, M. (1998). </w:t>
      </w:r>
      <w:r>
        <w:rPr>
          <w:i/>
          <w:iCs/>
        </w:rPr>
        <w:t>La historia de la sexualidad</w:t>
      </w:r>
      <w:r>
        <w:rPr/>
        <w:t xml:space="preserve">. Vol. 1: </w:t>
      </w:r>
      <w:r>
        <w:rPr>
          <w:i/>
          <w:iCs/>
        </w:rPr>
        <w:t>Una introducción</w:t>
      </w:r>
      <w:r>
        <w:rPr/>
        <w:t xml:space="preserve"> (U. Guiñazú, Trad.). México: Siglo XXI, p. 30. </w:t>
      </w:r>
    </w:p>
  </w:footnote>
  <w:footnote w:id="36">
    <w:p>
      <w:pPr>
        <w:pStyle w:val="Footnote"/>
        <w:suppressLineNumbers/>
        <w:bidi w:val="0"/>
        <w:ind w:left="283" w:right="0" w:hanging="283"/>
        <w:jc w:val="left"/>
        <w:rPr/>
      </w:pPr>
      <w:r>
        <w:rPr>
          <w:rStyle w:val="FootnoteCharacters"/>
        </w:rPr>
        <w:footnoteRef/>
      </w:r>
      <w:r>
        <w:rPr/>
        <w:tab/>
        <w:t xml:space="preserve">Stewart, </w:t>
      </w:r>
      <w:r>
        <w:rPr>
          <w:i/>
          <w:iCs/>
        </w:rPr>
        <w:t xml:space="preserve">El ansia. </w:t>
      </w:r>
      <w:r>
        <w:rPr/>
        <w:t xml:space="preserve">Véase especialmente “El cuerpo imaginario”, p.166. </w:t>
      </w:r>
    </w:p>
  </w:footnote>
  <w:footnote w:id="37">
    <w:p>
      <w:pPr>
        <w:pStyle w:val="Footnote"/>
        <w:suppressLineNumbers/>
        <w:bidi w:val="0"/>
        <w:ind w:left="283" w:right="0" w:hanging="283"/>
        <w:jc w:val="left"/>
        <w:rPr/>
      </w:pPr>
      <w:r>
        <w:rPr>
          <w:rStyle w:val="FootnoteCharacters"/>
        </w:rPr>
        <w:footnoteRef/>
      </w:r>
      <w:r>
        <w:rPr/>
        <w:tab/>
        <w:t>La situación era obviamente mucho más compleja de lo que estas afirmaciones pueden empezar a mostrar; "europeo", por ejemplo, generalmente incluye solo a los hombres de la tradición latina occidental. La orientación sexual complica aun más el panorama, como veremos.</w:t>
        <w:br/>
      </w:r>
    </w:p>
  </w:footnote>
  <w:footnote w:id="38">
    <w:p>
      <w:pPr>
        <w:pStyle w:val="Footnote"/>
        <w:suppressLineNumbers/>
        <w:bidi w:val="0"/>
        <w:ind w:left="283" w:right="0" w:hanging="283"/>
        <w:jc w:val="left"/>
        <w:rPr/>
      </w:pPr>
      <w:r>
        <w:rPr>
          <w:rStyle w:val="FootnoteCharacters"/>
        </w:rPr>
        <w:footnoteRef/>
      </w:r>
      <w:r>
        <w:rPr/>
        <w:tab/>
        <w:t xml:space="preserve">Este debate tiene una deuda evidente con Mary Douglas, Purity and Danger: </w:t>
      </w:r>
      <w:r>
        <w:rPr>
          <w:i/>
          <w:iCs/>
        </w:rPr>
        <w:t>An Analysis of the Concepts of Pollution and Taboo</w:t>
      </w:r>
      <w:r>
        <w:rPr/>
        <w:t xml:space="preserve"> (Nueva York: Routledge &amp; Kegan Paul, 1966).</w:t>
      </w:r>
    </w:p>
  </w:footnote>
  <w:footnote w:id="39">
    <w:p>
      <w:pPr>
        <w:pStyle w:val="Footnote"/>
        <w:suppressLineNumbers/>
        <w:bidi w:val="0"/>
        <w:ind w:left="283" w:right="0" w:hanging="283"/>
        <w:jc w:val="left"/>
        <w:rPr/>
      </w:pPr>
      <w:r>
        <w:rPr>
          <w:rStyle w:val="FootnoteCharacters"/>
        </w:rPr>
        <w:footnoteRef/>
      </w:r>
      <w:r>
        <w:rPr/>
        <w:tab/>
        <w:t xml:space="preserve">John Eastman, Retakes: </w:t>
      </w:r>
      <w:r>
        <w:rPr>
          <w:i/>
          <w:iCs/>
        </w:rPr>
        <w:t>Behind the Scenes of 500 Classic Movies,</w:t>
      </w:r>
      <w:r>
        <w:rPr/>
        <w:t xml:space="preserve"> 9-10 [N. de T.:La traducción es nuestra]</w:t>
      </w:r>
    </w:p>
  </w:footnote>
  <w:footnote w:id="40">
    <w:p>
      <w:pPr>
        <w:pStyle w:val="Footnote"/>
        <w:suppressLineNumbers/>
        <w:bidi w:val="0"/>
        <w:ind w:left="283" w:right="0" w:hanging="283"/>
        <w:jc w:val="left"/>
        <w:rPr/>
      </w:pPr>
      <w:r>
        <w:rPr>
          <w:rStyle w:val="FootnoteCharacters"/>
        </w:rPr>
        <w:footnoteRef/>
      </w:r>
      <w:r>
        <w:rPr/>
        <w:tab/>
        <w:t xml:space="preserve">Paul Coates interestingly observes that “the horror film becomes the essential form of cinema, monstrous content manifesting itself in the monstrous form of the gigantic screen.” </w:t>
      </w:r>
      <w:r>
        <w:rPr>
          <w:i/>
          <w:iCs/>
        </w:rPr>
        <w:t>The Gorgon’s Gaze</w:t>
      </w:r>
      <w:r>
        <w:rPr/>
        <w:t xml:space="preserve"> (Cambridge: Cambridge University Press, 1991), 77. Carol Clover locates some of the pleasure of the monster film in its cross-gender game of identification; see </w:t>
      </w:r>
      <w:r>
        <w:rPr>
          <w:i/>
          <w:iCs/>
        </w:rPr>
        <w:t>Men, Women, and Chain Saws: Gender in the Modern Horror Film</w:t>
      </w:r>
      <w:r>
        <w:rPr/>
        <w:t xml:space="preserve"> (Princeton, N.J.: Princeton University Press, 1992). Why not go further, and call the pleasure cross-somatic?</w:t>
      </w:r>
    </w:p>
  </w:footnote>
  <w:footnote w:id="41">
    <w:p>
      <w:pPr>
        <w:pStyle w:val="Footnote"/>
        <w:suppressLineNumbers/>
        <w:bidi w:val="0"/>
        <w:ind w:left="283" w:right="0" w:hanging="283"/>
        <w:jc w:val="left"/>
        <w:rPr/>
      </w:pPr>
      <w:r>
        <w:rPr>
          <w:rStyle w:val="FootnoteCharacters"/>
        </w:rPr>
        <w:footnoteRef/>
      </w:r>
      <w:r>
        <w:rPr/>
        <w:tab/>
        <w:t xml:space="preserve">Le Goff, J. (2020). The Medieval West and the Indian Ocean: An Oneiric Horizon [Traducción al español de Mauro Armiño: “El Occidente medieval y el océano Índico: Un horizonte onírico”]. En </w:t>
      </w:r>
      <w:r>
        <w:rPr>
          <w:i/>
          <w:iCs/>
        </w:rPr>
        <w:t>*Por otra Edad Media. Tiempo, trabajo y cultura en Occidente*</w:t>
      </w:r>
      <w:r>
        <w:rPr/>
        <w:t xml:space="preserve"> (p. 106). Madrid: Paidós. El equivalente posmoderno de esos espacios es el ciberespacio gibsoniano, con sus MOOs[^1 N. de T.] y MUSHes[^2 N. de T.] y otros terrenos de posibilidades ilimitadas.</w:t>
      </w:r>
    </w:p>
  </w:footnote>
  <w:footnote w:id="42">
    <w:p>
      <w:pPr>
        <w:pStyle w:val="Footnote"/>
        <w:suppressLineNumbers/>
        <w:bidi w:val="0"/>
        <w:ind w:left="283" w:right="0" w:hanging="283"/>
        <w:jc w:val="left"/>
        <w:rPr/>
      </w:pPr>
      <w:r>
        <w:rPr>
          <w:rStyle w:val="FootnoteCharacters"/>
        </w:rPr>
        <w:footnoteRef/>
      </w:r>
      <w:r>
        <w:rPr/>
        <w:tab/>
        <w:t xml:space="preserve">Para Mijaíl Bajtín, lo que caracteriza el poder transformador de la risa es que: “La risa libera no solo de la censura externa, sino sobre todo del gran censor interno; libera del miedo que se desarrolló en el hombre durante miles de años: el miedo a lo sagrado, el miedo a las prohibiciones, al pasado, al poder”. Bajtín, M. </w:t>
      </w:r>
      <w:r>
        <w:rPr>
          <w:i/>
          <w:iCs/>
        </w:rPr>
        <w:t>*Rabelais and His World*</w:t>
      </w:r>
      <w:r>
        <w:rPr/>
        <w:t xml:space="preserve"> (H. Iswolsky, Trad.). Indianapolis: Indiana University Press 1984, p. 94. [N. de T.:La traducción al español es nuestra]. Bajtín sitúa el momento del escape en el punto en que la risa se convirtió en parte de los “niveles superiores de la literatura”, cuando Rabelais escribió </w:t>
      </w:r>
      <w:r>
        <w:rPr>
          <w:i/>
          <w:iCs/>
        </w:rPr>
        <w:t>Gargantúa y Pantagruel</w:t>
      </w:r>
      <w:r>
        <w:rPr/>
        <w:t>.</w:t>
      </w:r>
    </w:p>
  </w:footnote>
  <w:footnote w:id="43">
    <w:p>
      <w:pPr>
        <w:pStyle w:val="Footnote"/>
        <w:suppressLineNumbers/>
        <w:bidi w:val="0"/>
        <w:ind w:left="283" w:right="0" w:hanging="283"/>
        <w:jc w:val="left"/>
        <w:rPr/>
      </w:pPr>
      <w:r>
        <w:rPr>
          <w:rStyle w:val="FootnoteCharacters"/>
        </w:rPr>
        <w:footnoteRef/>
      </w:r>
      <w:r>
        <w:rPr/>
        <w:tab/>
        <w:t>The Quest for the Holy Grail,</w:t>
      </w:r>
    </w:p>
  </w:footnote>
  <w:footnote w:id="44">
    <w:p>
      <w:pPr>
        <w:pStyle w:val="Footnote"/>
        <w:suppressLineNumbers/>
        <w:bidi w:val="0"/>
        <w:ind w:left="283" w:right="0" w:hanging="283"/>
        <w:jc w:val="left"/>
        <w:rPr/>
      </w:pPr>
      <w:r>
        <w:rPr>
          <w:rStyle w:val="FootnoteCharacters"/>
        </w:rPr>
        <w:footnoteRef/>
      </w:r>
      <w:r>
        <w:rPr/>
        <w:tab/>
        <w:t xml:space="preserve">Julia Kristeva, </w:t>
      </w:r>
      <w:r>
        <w:rPr>
          <w:i/>
          <w:iCs/>
        </w:rPr>
        <w:t>Pouvoirs de l'horreur. Essai sur l'abjection,</w:t>
      </w:r>
      <w:r>
        <w:rPr/>
        <w:t xml:space="preserve"> Versión en inglés: *The Powers of Horror: An Essay on Abjection,* traducción Leon S. Roudiez (Nueva York: Columbia University Press, 1982), 1. [N. de T.: La traducción es nuestra] </w:t>
      </w:r>
    </w:p>
  </w:footnote>
  <w:footnote w:id="45">
    <w:p>
      <w:pPr>
        <w:pStyle w:val="Footnote"/>
        <w:suppressLineNumbers/>
        <w:bidi w:val="0"/>
        <w:ind w:left="283" w:right="0" w:hanging="283"/>
        <w:jc w:val="left"/>
        <w:rPr/>
      </w:pPr>
      <w:r>
        <w:rPr>
          <w:rStyle w:val="FootnoteCharacters"/>
        </w:rPr>
        <w:footnoteRef/>
      </w:r>
      <w:r>
        <w:rPr/>
        <w:tab/>
        <w:t xml:space="preserve">Judith Butler, </w:t>
      </w:r>
      <w:r>
        <w:rPr>
          <w:i/>
          <w:iCs/>
        </w:rPr>
        <w:t xml:space="preserve">Bodies That Matter: On the Discursive Limits of </w:t>
      </w:r>
      <w:r>
        <w:rPr/>
        <w:t xml:space="preserve">“Sex” (New York: Routledge, 1993), 22. [N. de T.: La traducción es nuestra] Tanto Butler como yo tenemos en mente aquí la noción de Foucault de emancipar al pensamiento "de lo que calladamente piensa", lo que le permitirá "pensar de otro modo". Michel Foucault, </w:t>
      </w:r>
      <w:r>
        <w:rPr>
          <w:i/>
          <w:iCs/>
        </w:rPr>
        <w:t>The Use of Pleasure,</w:t>
      </w:r>
      <w:r>
        <w:rPr/>
        <w:t xml:space="preserve"> traducción al inglés de Robert Hurley (New York: Vintage, 1985), 9. [La traducción es nuestra] En el esayo incluido en este volumen, Michael Uebel amplía esta práctica y la aplicarse al monstruo.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suppressAutoHyphens w:val="true"/>
      <w:overflowPunct w:val="false"/>
      <w:bidi w:val="0"/>
      <w:spacing w:before="0" w:after="0"/>
      <w:jc w:val="left"/>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TextBody"/>
    <w:qFormat/>
    <w:pPr>
      <w:numPr>
        <w:ilvl w:val="0"/>
        <w:numId w:val="2"/>
      </w:numPr>
      <w:outlineLvl w:val="0"/>
    </w:pPr>
    <w:rPr>
      <w:b/>
      <w:bCs/>
      <w:sz w:val="32"/>
      <w:szCs w:val="32"/>
    </w:rPr>
  </w:style>
  <w:style w:type="paragraph" w:styleId="Heading2">
    <w:name w:val="Heading 2"/>
    <w:basedOn w:val="Heading"/>
    <w:next w:val="TextBody"/>
    <w:qFormat/>
    <w:pPr>
      <w:numPr>
        <w:ilvl w:val="1"/>
        <w:numId w:val="2"/>
      </w:numPr>
      <w:outlineLvl w:val="1"/>
    </w:pPr>
    <w:rPr>
      <w:b/>
      <w:bCs/>
      <w:i/>
      <w:iCs/>
      <w:sz w:val="28"/>
      <w:szCs w:val="28"/>
    </w:rPr>
  </w:style>
  <w:style w:type="paragraph" w:styleId="Heading3">
    <w:name w:val="Heading 3"/>
    <w:basedOn w:val="Heading"/>
    <w:next w:val="TextBody"/>
    <w:qFormat/>
    <w:pPr>
      <w:numPr>
        <w:ilvl w:val="2"/>
        <w:numId w:val="2"/>
      </w:numPr>
      <w:outlineLvl w:val="2"/>
    </w:pPr>
    <w:rPr>
      <w:b/>
      <w:bCs/>
      <w:sz w:val="28"/>
      <w:szCs w:val="28"/>
    </w:rPr>
  </w:style>
  <w:style w:type="paragraph" w:styleId="Heading4">
    <w:name w:val="Heading 4"/>
    <w:basedOn w:val="Heading"/>
    <w:next w:val="TextBody"/>
    <w:qFormat/>
    <w:pPr>
      <w:numPr>
        <w:ilvl w:val="3"/>
        <w:numId w:val="2"/>
      </w:numPr>
      <w:outlineLvl w:val="3"/>
    </w:pPr>
    <w:rPr>
      <w:b/>
      <w:bCs/>
      <w:i/>
      <w:iCs/>
      <w:sz w:val="24"/>
      <w:szCs w:val="24"/>
    </w:rPr>
  </w:style>
  <w:style w:type="paragraph" w:styleId="Heading5">
    <w:name w:val="Heading 5"/>
    <w:basedOn w:val="Heading"/>
    <w:next w:val="TextBody"/>
    <w:qFormat/>
    <w:pPr>
      <w:numPr>
        <w:ilvl w:val="4"/>
        <w:numId w:val="2"/>
      </w:numPr>
      <w:outlineLvl w:val="4"/>
    </w:pPr>
    <w:rPr>
      <w:b/>
      <w:bCs/>
      <w:sz w:val="24"/>
      <w:szCs w:val="24"/>
    </w:rPr>
  </w:style>
  <w:style w:type="paragraph" w:styleId="Heading6">
    <w:name w:val="Heading 6"/>
    <w:basedOn w:val="Heading"/>
    <w:next w:val="TextBody"/>
    <w:qFormat/>
    <w:pPr>
      <w:numPr>
        <w:ilvl w:val="5"/>
        <w:numId w:val="2"/>
      </w:numPr>
      <w:outlineLvl w:val="5"/>
    </w:pPr>
    <w:rPr>
      <w:b/>
      <w:bCs/>
      <w:sz w:val="21"/>
      <w:szCs w:val="21"/>
    </w:rPr>
  </w:style>
  <w:style w:type="character" w:styleId="SourceText">
    <w:name w:val="Source_Text"/>
    <w:qFormat/>
    <w:rPr>
      <w:rFonts w:ascii="Courier New" w:hAnsi="Courier New" w:eastAsia="Courier New" w:cs="Courier New"/>
      <w:sz w:val="20"/>
      <w:szCs w:val="20"/>
      <w:lang w:val="zxx"/>
    </w:rPr>
  </w:style>
  <w:style w:type="character" w:styleId="Highlighted">
    <w:name w:val="Highlighted"/>
    <w:qFormat/>
    <w:rPr>
      <w:shd w:fill="FFFF38" w:val="clear"/>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InternetLink">
    <w:name w:val="Hyperlink"/>
    <w:rPr>
      <w:color w:val="000080"/>
      <w:u w:val="single"/>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Definition">
    <w:name w:val="Definition"/>
    <w:qFormat/>
    <w:rPr/>
  </w:style>
  <w:style w:type="character" w:styleId="KeywordTok">
    <w:name w:val="KeywordTok"/>
    <w:qFormat/>
    <w:rPr>
      <w:b/>
      <w:color w:val="007020"/>
    </w:rPr>
  </w:style>
  <w:style w:type="character" w:styleId="DataTypeTok">
    <w:name w:val="DataTypeTok"/>
    <w:qFormat/>
    <w:rPr>
      <w:color w:val="902000"/>
    </w:rPr>
  </w:style>
  <w:style w:type="character" w:styleId="DecValTok">
    <w:name w:val="DecValTok"/>
    <w:qFormat/>
    <w:rPr>
      <w:color w:val="40A070"/>
    </w:rPr>
  </w:style>
  <w:style w:type="character" w:styleId="BaseNTok">
    <w:name w:val="BaseNTok"/>
    <w:qFormat/>
    <w:rPr>
      <w:color w:val="40A070"/>
    </w:rPr>
  </w:style>
  <w:style w:type="character" w:styleId="FloatTok">
    <w:name w:val="FloatTok"/>
    <w:qFormat/>
    <w:rPr>
      <w:color w:val="40A070"/>
    </w:rPr>
  </w:style>
  <w:style w:type="character" w:styleId="ConstantTok">
    <w:name w:val="ConstantTok"/>
    <w:qFormat/>
    <w:rPr>
      <w:color w:val="880000"/>
    </w:rPr>
  </w:style>
  <w:style w:type="character" w:styleId="CharTok">
    <w:name w:val="CharTok"/>
    <w:qFormat/>
    <w:rPr>
      <w:color w:val="4070A0"/>
    </w:rPr>
  </w:style>
  <w:style w:type="character" w:styleId="SpecialCharTok">
    <w:name w:val="SpecialCharTok"/>
    <w:qFormat/>
    <w:rPr>
      <w:color w:val="4070A0"/>
    </w:rPr>
  </w:style>
  <w:style w:type="character" w:styleId="StringTok">
    <w:name w:val="StringTok"/>
    <w:qFormat/>
    <w:rPr>
      <w:color w:val="4070A0"/>
    </w:rPr>
  </w:style>
  <w:style w:type="character" w:styleId="VerbatimStringTok">
    <w:name w:val="VerbatimStringTok"/>
    <w:qFormat/>
    <w:rPr>
      <w:color w:val="4070A0"/>
    </w:rPr>
  </w:style>
  <w:style w:type="character" w:styleId="SpecialStringTok">
    <w:name w:val="SpecialStringTok"/>
    <w:qFormat/>
    <w:rPr>
      <w:color w:val="BB6688"/>
    </w:rPr>
  </w:style>
  <w:style w:type="character" w:styleId="ImportTok">
    <w:name w:val="ImportTok"/>
    <w:qFormat/>
    <w:rPr>
      <w:b/>
      <w:color w:val="008000"/>
    </w:rPr>
  </w:style>
  <w:style w:type="character" w:styleId="CommentTok">
    <w:name w:val="CommentTok"/>
    <w:qFormat/>
    <w:rPr>
      <w:i/>
      <w:color w:val="60A0B0"/>
    </w:rPr>
  </w:style>
  <w:style w:type="character" w:styleId="DocumentationTok">
    <w:name w:val="DocumentationTok"/>
    <w:qFormat/>
    <w:rPr>
      <w:i/>
      <w:color w:val="BA2121"/>
    </w:rPr>
  </w:style>
  <w:style w:type="character" w:styleId="AnnotationTok">
    <w:name w:val="AnnotationTok"/>
    <w:qFormat/>
    <w:rPr>
      <w:b/>
      <w:i/>
      <w:color w:val="60A0B0"/>
    </w:rPr>
  </w:style>
  <w:style w:type="character" w:styleId="CommentVarTok">
    <w:name w:val="CommentVarTok"/>
    <w:qFormat/>
    <w:rPr>
      <w:b/>
      <w:i/>
      <w:color w:val="60A0B0"/>
    </w:rPr>
  </w:style>
  <w:style w:type="character" w:styleId="OtherTok">
    <w:name w:val="OtherTok"/>
    <w:qFormat/>
    <w:rPr>
      <w:color w:val="007020"/>
    </w:rPr>
  </w:style>
  <w:style w:type="character" w:styleId="FunctionTok">
    <w:name w:val="FunctionTok"/>
    <w:qFormat/>
    <w:rPr>
      <w:color w:val="06287E"/>
    </w:rPr>
  </w:style>
  <w:style w:type="character" w:styleId="VariableTok">
    <w:name w:val="VariableTok"/>
    <w:qFormat/>
    <w:rPr>
      <w:color w:val="19177C"/>
    </w:rPr>
  </w:style>
  <w:style w:type="character" w:styleId="ControlFlowTok">
    <w:name w:val="ControlFlowTok"/>
    <w:qFormat/>
    <w:rPr>
      <w:b/>
      <w:color w:val="007020"/>
    </w:rPr>
  </w:style>
  <w:style w:type="character" w:styleId="OperatorTok">
    <w:name w:val="OperatorTok"/>
    <w:qFormat/>
    <w:rPr>
      <w:color w:val="666666"/>
    </w:rPr>
  </w:style>
  <w:style w:type="character" w:styleId="BuiltInTok">
    <w:name w:val="BuiltInTok"/>
    <w:qFormat/>
    <w:rPr>
      <w:color w:val="008000"/>
    </w:rPr>
  </w:style>
  <w:style w:type="character" w:styleId="ExtensionTok">
    <w:name w:val="ExtensionTok"/>
    <w:qFormat/>
    <w:rPr/>
  </w:style>
  <w:style w:type="character" w:styleId="PreprocessorTok">
    <w:name w:val="PreprocessorTok"/>
    <w:qFormat/>
    <w:rPr>
      <w:color w:val="BC7A00"/>
    </w:rPr>
  </w:style>
  <w:style w:type="character" w:styleId="AttributeTok">
    <w:name w:val="AttributeTok"/>
    <w:qFormat/>
    <w:rPr>
      <w:color w:val="7D9029"/>
    </w:rPr>
  </w:style>
  <w:style w:type="character" w:styleId="RegionMarkerTok">
    <w:name w:val="RegionMarkerTok"/>
    <w:qFormat/>
    <w:rPr/>
  </w:style>
  <w:style w:type="character" w:styleId="InformationTok">
    <w:name w:val="InformationTok"/>
    <w:qFormat/>
    <w:rPr>
      <w:b/>
      <w:i/>
      <w:color w:val="60A0B0"/>
    </w:rPr>
  </w:style>
  <w:style w:type="character" w:styleId="WarningTok">
    <w:name w:val="WarningTok"/>
    <w:qFormat/>
    <w:rPr>
      <w:b/>
      <w:i/>
      <w:color w:val="60A0B0"/>
    </w:rPr>
  </w:style>
  <w:style w:type="character" w:styleId="AlertTok">
    <w:name w:val="AlertTok"/>
    <w:qFormat/>
    <w:rPr>
      <w:b/>
      <w:color w:val="FF0000"/>
    </w:rPr>
  </w:style>
  <w:style w:type="character" w:styleId="ErrorTok">
    <w:name w:val="ErrorTok"/>
    <w:qFormat/>
    <w:rPr>
      <w:b/>
      <w:color w:val="FF0000"/>
    </w:rPr>
  </w:style>
  <w:style w:type="character" w:styleId="NormalTok">
    <w:name w:val="NormalTok"/>
    <w:qFormat/>
    <w:rPr/>
  </w:style>
  <w:style w:type="character" w:styleId="EndnoteCharacters">
    <w:name w:val="Endnote Characters"/>
    <w:qFormat/>
    <w:rPr/>
  </w:style>
  <w:style w:type="character" w:styleId="EndnoteAnchor">
    <w:name w:val="Endnote Reference"/>
    <w:rPr>
      <w:vertAlign w:val="superscript"/>
    </w:rPr>
  </w:style>
  <w:style w:type="paragraph" w:styleId="Heading">
    <w:name w:val="Heading"/>
    <w:basedOn w:val="Normal"/>
    <w:next w:val="TextBody"/>
    <w:qFormat/>
    <w:pPr>
      <w:keepNext w:val="true"/>
      <w:spacing w:before="240" w:after="120"/>
    </w:pPr>
    <w:rPr>
      <w:rFonts w:ascii="Arial" w:hAnsi="Arial" w:eastAsia="Lucida Sans Unicode" w:cs="Tahoma"/>
      <w:sz w:val="28"/>
      <w:szCs w:val="28"/>
    </w:rPr>
  </w:style>
  <w:style w:type="paragraph" w:styleId="TextBody">
    <w:name w:val="Body Text"/>
    <w:basedOn w:val="Normal"/>
    <w:pPr>
      <w:spacing w:before="86" w:after="86"/>
    </w:pPr>
    <w:rPr/>
  </w:style>
  <w:style w:type="paragraph" w:styleId="List">
    <w:name w:val="List"/>
    <w:basedOn w:val="TextBody"/>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Index">
    <w:name w:val="Index"/>
    <w:basedOn w:val="Normal"/>
    <w:qFormat/>
    <w:pPr>
      <w:suppressLineNumbers/>
    </w:pPr>
    <w:rPr>
      <w:rFonts w:cs="Tahoma"/>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left="567" w:right="567" w:hanging="0"/>
    </w:pPr>
    <w:rPr/>
  </w:style>
  <w:style w:type="paragraph" w:styleId="TableCaption">
    <w:name w:val="TableCaption"/>
    <w:basedOn w:val="Caption"/>
    <w:qFormat/>
    <w:pPr/>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Quotations">
    <w:name w:val="Quotations"/>
    <w:basedOn w:val="Normal"/>
    <w:qFormat/>
    <w:pPr>
      <w:spacing w:before="144" w:after="144"/>
      <w:ind w:left="567" w:right="567" w:hanging="0"/>
    </w:pPr>
    <w:rPr/>
  </w:style>
  <w:style w:type="paragraph" w:styleId="PreformattedText">
    <w:name w:val="Preformatted Text"/>
    <w:basedOn w:val="Normal"/>
    <w:qFormat/>
    <w:pPr>
      <w:spacing w:before="0" w:after="0"/>
    </w:pPr>
    <w:rPr>
      <w:rFonts w:ascii="Courier New" w:hAnsi="Courier New" w:eastAsia="Courier New" w:cs="Courier New"/>
      <w:sz w:val="20"/>
      <w:szCs w:val="20"/>
      <w:lang w:val="zxx"/>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TextBody"/>
    <w:qFormat/>
    <w:pPr>
      <w:ind w:left="720" w:right="0" w:hanging="0"/>
    </w:pPr>
    <w:rPr/>
  </w:style>
  <w:style w:type="paragraph" w:styleId="TableContents">
    <w:name w:val="Table Contents"/>
    <w:basedOn w:val="Normal"/>
    <w:qFormat/>
    <w:pPr>
      <w:suppressLineNumbers/>
      <w:ind w:left="43" w:right="43" w:hanging="0"/>
    </w:pPr>
    <w:rPr/>
  </w:style>
  <w:style w:type="paragraph" w:styleId="TableHeading">
    <w:name w:val="Table Heading"/>
    <w:basedOn w:val="TableContents"/>
    <w:qFormat/>
    <w:pPr>
      <w:suppressLineNumbers/>
      <w:ind w:left="43" w:right="43" w:hanging="0"/>
      <w:jc w:val="left"/>
    </w:pPr>
    <w:rPr>
      <w:b/>
      <w:bCs/>
    </w:rPr>
  </w:style>
  <w:style w:type="paragraph" w:styleId="Footnote">
    <w:name w:val="Footnote Text"/>
    <w:basedOn w:val="Normal"/>
    <w:pPr>
      <w:suppressLineNumbers/>
      <w:ind w:left="283" w:right="0" w:hanging="283"/>
    </w:pPr>
    <w:rPr>
      <w:sz w:val="20"/>
      <w:szCs w:val="20"/>
      <w:lang w:val="es-A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left="720" w:right="0" w:hanging="0"/>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Firstparagraph">
    <w:name w:val="First paragraph"/>
    <w:basedOn w:val="TextBody"/>
    <w:next w:val="TextBody"/>
    <w:qFormat/>
    <w:pPr/>
    <w:rPr/>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ages>18</Pages>
  <Words>10365</Words>
  <Characters>56036</Characters>
  <CharactersWithSpaces>66302</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2025-11-04T13:45:32Z</dcterms:created>
  <dc:creator/>
  <dc:description/>
  <dc:language>es-AR</dc:language>
  <cp:lastModifiedBy>Gabriel Torem</cp:lastModifiedBy>
  <dcterms:modified xsi:type="dcterms:W3CDTF">2025-11-04T11:50:00Z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