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tabs>
          <w:tab w:val="clear" w:pos="709"/>
          <w:tab w:val="left" w:pos="0" w:leader="none"/>
        </w:tabs>
        <w:bidi w:val="0"/>
        <w:spacing w:before="240" w:after="120"/>
        <w:ind w:left="0" w:hanging="0"/>
        <w:jc w:val="left"/>
        <w:rPr>
          <w:lang w:val="es-AR" w:eastAsia="zxx" w:bidi="zxx"/>
        </w:rPr>
      </w:pPr>
      <w:bookmarkStart w:id="0" w:name="southern-gothic-the-monster-as-freak-in-"/>
      <w:r>
        <w:rPr>
          <w:lang w:val="es-AR" w:eastAsia="zxx" w:bidi="zxx"/>
        </w:rPr>
        <w:t>Gótico sureño: El monstruo como un *Freak* en la ficción de Flannery O’Connor</w:t>
      </w:r>
      <w:bookmarkEnd w:id="0"/>
    </w:p>
    <w:p>
      <w:pPr>
        <w:pStyle w:val="Firstparagraph"/>
        <w:bidi w:val="0"/>
        <w:jc w:val="left"/>
        <w:rPr>
          <w:lang w:val="es-AR" w:eastAsia="zxx" w:bidi="zxx"/>
        </w:rPr>
      </w:pPr>
      <w:r>
        <w:rPr>
          <w:lang w:val="es-AR" w:eastAsia="zxx" w:bidi="zxx"/>
        </w:rPr>
        <w:t xml:space="preserve">En </w:t>
      </w:r>
      <w:r>
        <w:rPr>
          <w:i/>
          <w:iCs/>
          <w:lang w:val="es-AR" w:eastAsia="zxx" w:bidi="zxx"/>
        </w:rPr>
        <w:t>Love and Death in the American Novel</w:t>
      </w:r>
      <w:r>
        <w:rPr>
          <w:lang w:val="es-AR" w:eastAsia="zxx" w:bidi="zxx"/>
        </w:rPr>
        <w:t>, un texto fundacional en la historia de la crítica literaria estadounidense, Leslie Fiedler sostiene que la ficción norteamericana es “desconcertante y vergonzosamente una ficción gótica; no realista y negativa, sádica y melodramática; una literatura de oscuridad y grotesco en una tierra de luz y afirmación”. En la misma línea, Teresa Goddu señala la paradoja inherente a estas características: “La automitologización de Estados Unidos como una nación de esperanza y armonía contradice directamente los impulsos más básicos del gótico”. Por eso, el gótico estadounidense llegó a analizarse principalmente como una forma regional, colocando al gótico sureño en su centro. “Al asociar tan estrechamente lo gótico con el Sur, la tradición literaria norteamericana neutraliza la amenaza del gótico para la identidad nacional”. Identificado con la violencia y la fatalidad, “el Sur estadounidense ha servido tradicionalmente como el ‘otro’ de la nación, convirtiéndose en el depósito de todo aquello de lo que la nación quiere desvincularse”: el racismo, el clasismo, la irracionalidad, la locura, la decadencia, la violencia, el fanatismo religioso, la pobreza, el parroquialismo rural y la desviación sexual. El gótico sureño explora todos estos temas, muestra una particular fijación en lo grotesco –es decir, la yuxtaposición de elementos contrastantes o incluso incompatibles– y sus criaturas aberrantes: sus *freaks*.</w:t>
      </w:r>
    </w:p>
    <w:p>
      <w:pPr>
        <w:pStyle w:val="TextBody"/>
        <w:bidi w:val="0"/>
        <w:jc w:val="left"/>
        <w:rPr>
          <w:lang w:val="es-AR" w:eastAsia="zxx" w:bidi="zxx"/>
        </w:rPr>
      </w:pPr>
      <w:r>
        <w:rPr>
          <w:lang w:val="es-AR" w:eastAsia="zxx" w:bidi="zxx"/>
        </w:rPr>
        <w:t xml:space="preserve">Es notable que en la ficción de Flannery O’Connor se epitoma todas estas características, dando relevancia, con un tono humorístico, a lo grotesco y a sus protagonistas peculiares, a quienes la propia O’Connor describía como “freaks”. Aunque ella explora el potencial oscuramente cómico de estos personajes grotescos con una intención religiosa, su impacto y rol simbólico evocan el significado que tradicionalmente conlleva la figura del monstruo. Como se observará a continuación, la ficción de O’Connor resalta el poder disruptivo y revelador del *freak*, a pesar de su aparente marginalidad; además, su narrativa retrata al *freak* en la luz de un contexto específico, ejemplificando que los monstruos en sus diversas manifestaciones encarnan y reflejan los rasgos históricos, culturales y sociales del país y de la época en que aparecen. Como argumenta Judith Halberstam, “La monstruización (y el miedo que provoca) está condicionada históricamente en lugar de ser una universalidad psicológica”. </w:t>
      </w:r>
      <w:r>
        <w:rPr>
          <w:rStyle w:val="FootnoteAnchor"/>
          <w:lang w:val="es-AR" w:eastAsia="zxx" w:bidi="zxx"/>
        </w:rPr>
        <w:footnoteReference w:id="2"/>
      </w:r>
    </w:p>
    <w:p>
      <w:pPr>
        <w:pStyle w:val="TextBody"/>
        <w:bidi w:val="0"/>
        <w:jc w:val="left"/>
        <w:rPr>
          <w:lang w:val="es-AR" w:eastAsia="zxx" w:bidi="zxx"/>
        </w:rPr>
      </w:pPr>
      <w:r>
        <w:rPr>
          <w:lang w:val="es-AR" w:eastAsia="zxx" w:bidi="zxx"/>
        </w:rPr>
        <w:t>El término monstruo —“quizás el nombre más antiguo y perdurable para el cuerpo singular”</w:t>
      </w:r>
      <w:r>
        <w:rPr>
          <w:rStyle w:val="FootnoteAnchor"/>
          <w:lang w:val="es-AR" w:eastAsia="zxx" w:bidi="zxx"/>
        </w:rPr>
        <w:footnoteReference w:id="3"/>
      </w:r>
      <w:r>
        <w:rPr>
          <w:lang w:val="es-AR" w:eastAsia="zxx" w:bidi="zxx"/>
        </w:rPr>
        <w:t>— deriva de los términos latinos *monstrum* y *monere*, que transmiten un doble significado: no solo mostrar o revelar *(monstrum),* sino también advertir e instruir *(monere)*. Desde la antigüedad, los "monstruos" fueron investidos de significados sobrenaturales: de hecho, “se los tomaba como una manifestación de la voluntad divina de la antiguedad antes de que la mano de Dios aparentemente soltó el control sobre el mundo". Así como la palabra monstruo implica otredad y diferencia corporal, el término *freak* — cuya etimología no está tan clara — describe “variación caprichosa o cambio repentino, errático”.</w:t>
      </w:r>
      <w:r>
        <w:rPr>
          <w:rStyle w:val="FootnoteAnchor"/>
          <w:lang w:val="es-AR" w:eastAsia="zxx" w:bidi="zxx"/>
        </w:rPr>
        <w:footnoteReference w:id="4"/>
      </w:r>
      <w:r>
        <w:rPr>
          <w:lang w:val="es-AR" w:eastAsia="zxx" w:bidi="zxx"/>
        </w:rPr>
        <w:t xml:space="preserve"> Evoca lo singular, lo inusual y lo anormal. La frase “*freak de la naturaleza” , acuñada en las primeras décadas del siglo XIX, comenzó a aplicarse a individuos anormales de orígenes diversos que se exhibían como espectáculos de entretenimiento en ferias y exhibiciones ambulantes: por ejemplo, albinos, mujeres con barba, siameses, sin brazos o piernas, gigantes,trillizos, enanos, hermafroditas. Como sostiene Rosemarie G. Thomson, los *freaks* ejemplifican el movimiento “de una narrativa de lo maravilloso a una narrativa de lo desviado”:</w:t>
      </w:r>
    </w:p>
    <w:p>
      <w:pPr>
        <w:pStyle w:val="Quotations"/>
        <w:bidi w:val="0"/>
        <w:ind w:left="720" w:right="0" w:hanging="0"/>
        <w:jc w:val="left"/>
        <w:rPr>
          <w:lang w:val="es-AR" w:eastAsia="zxx" w:bidi="zxx"/>
        </w:rPr>
      </w:pPr>
      <w:r>
        <w:rPr>
          <w:lang w:val="es-AR" w:eastAsia="zxx" w:bidi="zxx"/>
        </w:rPr>
        <w:t>A medida que la modernidad se desarrolla en la cultura occidental, el discurso *freak* registra el cambio: el monstruo prodigioso se transforma en los patológicos *terata*; lo que antes se buscaba como revelación se persigue ahora como entretenimiento; lo que despertaba asombro ahora inspira horror; lo que se tomaba como presagio se traslada a un sitio de progreso. En resumen, la maravilla se convierte en error.</w:t>
      </w:r>
      <w:r>
        <w:rPr>
          <w:rStyle w:val="FootnoteAnchor"/>
          <w:lang w:val="es-AR" w:eastAsia="zxx" w:bidi="zxx"/>
        </w:rPr>
        <w:footnoteReference w:id="5"/>
      </w:r>
    </w:p>
    <w:p>
      <w:pPr>
        <w:pStyle w:val="Firstparagraph"/>
        <w:bidi w:val="0"/>
        <w:jc w:val="left"/>
        <w:rPr>
          <w:lang w:val="es-AR" w:eastAsia="zxx" w:bidi="zxx"/>
        </w:rPr>
      </w:pPr>
      <w:r>
        <w:rPr>
          <w:lang w:val="es-AR" w:eastAsia="zxx" w:bidi="zxx"/>
        </w:rPr>
        <w:t>En la ficción de O’Connor, los *freaks* ya no son monstruos prodigiosos, sino figuras peculiares que constituyen un instrumento de revelación en vez de una fuente de entretenimiento; su anormalidad tiene más que ver con el comportamiento excéntrico y la desviación moral que con la anomalía corporal. En uno de sus ensayos, O’Connor manifiesta que la figura del *freak* es típica de la escritura sureña:</w:t>
      </w:r>
    </w:p>
    <w:p>
      <w:pPr>
        <w:pStyle w:val="Quotations"/>
        <w:bidi w:val="0"/>
        <w:ind w:left="720" w:right="0" w:hanging="0"/>
        <w:jc w:val="left"/>
        <w:rPr>
          <w:lang w:val="es-AR" w:eastAsia="zxx" w:bidi="zxx"/>
        </w:rPr>
      </w:pPr>
      <w:r>
        <w:rPr>
          <w:lang w:val="es-AR" w:eastAsia="zxx" w:bidi="zxx"/>
        </w:rPr>
        <w:t>Siempre que se me pregunta por qué los escritores sureños tienen una fijación con la escritura sobre los *freaks*, respondo que se debe a que aún somos capaces de reconocerlos. Para reconocer a un *freak*, hay que tener una concepción de la totalidad del hombre, y en el sur, su concepción general todavía es, en esencia, teológica.[. . .] Creo que es seguro afirmar que aunque el sur difícilmente sea cristocéntrico, está, sin duda, acechado por la figura de Cristo. El sureño, que no está convencido de eso, tiene mucho temor a haber sido formado a imagen y semejanza de Dios. Los fantasmas pueden ser poderosos e instructivos. Proyectan sombras extrañas, particularmente en nuestra literatura. En cualquier caso, es cuando se percibe al *freak* como figura de nuestro desplazamiento esencial que adquiere cierta hondura literaria.</w:t>
      </w:r>
      <w:r>
        <w:rPr>
          <w:rStyle w:val="FootnoteAnchor"/>
          <w:lang w:val="es-AR" w:eastAsia="zxx" w:bidi="zxx"/>
        </w:rPr>
        <w:footnoteReference w:id="6"/>
      </w:r>
    </w:p>
    <w:p>
      <w:pPr>
        <w:pStyle w:val="Firstparagraph"/>
        <w:bidi w:val="0"/>
        <w:jc w:val="left"/>
        <w:rPr>
          <w:lang w:val="es-AR" w:eastAsia="zxx" w:bidi="zxx"/>
        </w:rPr>
      </w:pPr>
      <w:r>
        <w:rPr>
          <w:lang w:val="es-AR" w:eastAsia="zxx" w:bidi="zxx"/>
        </w:rPr>
        <w:t>Para O’Connor, el *freak* literario debe producir un impacto, y, sobre todo, transmitir valores trascendentales, dadas las ideas cristianas y católicas de la autora. Es relevante mencionar que su trabajo sobre esta figura se incluye en el ensayo titulado “Some Aspects of the Grotesque in Southern Fiction”. En su análisis de lo grotesco, destaca las características de la distorsión y la excentricidad, y la posibilidad en vez de la probabilidad. La distorsión no debe destruir, sino contribuir a la revelación final: “La distorsión, en este caso, es un instrumento; la exageración tiene un propósito [. . .] Este no es el estilo de distorsión que destruye; es el que revela, o debe revelar”(MM, 162).</w:t>
      </w:r>
      <w:r>
        <w:rPr>
          <w:rStyle w:val="FootnoteAnchor"/>
          <w:lang w:val="es-AR" w:eastAsia="zxx" w:bidi="zxx"/>
        </w:rPr>
        <w:footnoteReference w:id="7"/>
      </w:r>
      <w:r>
        <w:rPr>
          <w:lang w:val="es-AR" w:eastAsia="zxx" w:bidi="zxx"/>
        </w:rPr>
        <w:t xml:space="preserve"> O’Connor describe a este tipo de ficción como “salvaje, [. . .] violenta y cómica, debido a las discrepancias que busca fusionar" (MM, 43). En sus cartas, O’Connor destaca en la descripción de su ficción, de forma similar, la mezcla entre el humor y el terror: “todo lo divertido que he escrito es más terrible que divertido, o solo divertido porque es terrible, o solo terrible porque es divertido”.</w:t>
      </w:r>
      <w:r>
        <w:rPr>
          <w:rStyle w:val="FootnoteAnchor"/>
          <w:lang w:val="es-AR" w:eastAsia="zxx" w:bidi="zxx"/>
        </w:rPr>
        <w:footnoteReference w:id="8"/>
      </w:r>
    </w:p>
    <w:p>
      <w:pPr>
        <w:pStyle w:val="TextBody"/>
        <w:bidi w:val="0"/>
        <w:jc w:val="left"/>
        <w:rPr>
          <w:lang w:val="es-AR" w:eastAsia="zxx" w:bidi="zxx"/>
        </w:rPr>
      </w:pPr>
      <w:r>
        <w:rPr>
          <w:lang w:val="es-AR" w:eastAsia="zxx" w:bidi="zxx"/>
        </w:rPr>
        <w:t>En la ficción de O’Connor, la violencia nunca es un fin en sí misma. Hace uso de ella ya que, en sus palabras: “la violencia es curiosamente capaz de devolver a mis personajes a la realidad y prepararlos a aceptar su momento de gracia”: “Es la situación extrema la que mejor revela lo que somos esencialmente” (MM, 112–113).</w:t>
      </w:r>
    </w:p>
    <w:p>
      <w:pPr>
        <w:pStyle w:val="TextBody"/>
        <w:bidi w:val="0"/>
        <w:jc w:val="left"/>
        <w:rPr>
          <w:lang w:val="es-AR" w:eastAsia="zxx" w:bidi="zxx"/>
        </w:rPr>
      </w:pPr>
      <w:r>
        <w:rPr>
          <w:lang w:val="es-AR" w:eastAsia="zxx" w:bidi="zxx"/>
        </w:rPr>
        <w:t xml:space="preserve">O’Connor destaca la yuxtaposición de “el mal y la gracia”, aunque sus personajes no sean plenamente conscientes de su encuentro con la gracia. Es destacable que el *freak*, a veces una figura casi endiablada en la ficción de O’Connor, se vuelve el instrumento de revelación, el personaje que provoca la epifanía: el momento de gracia. Como se ha expresado anteriormente, tal epifanía tiene un doble significado en su ficción: “una aparición o manifestación de un ser divino” y “una manifestación repentina o un entendimiento intuitivo de la naturaleza esencial o del significado de la realidad, usualmente mediante algo simple y, a la vez, movilizante”. </w:t>
      </w:r>
      <w:r>
        <w:rPr>
          <w:rStyle w:val="FootnoteAnchor"/>
          <w:lang w:val="es-AR" w:eastAsia="zxx" w:bidi="zxx"/>
        </w:rPr>
        <w:footnoteReference w:id="9"/>
      </w:r>
      <w:r>
        <w:rPr>
          <w:lang w:val="es-AR" w:eastAsia="zxx" w:bidi="zxx"/>
        </w:rPr>
        <w:t xml:space="preserve"> El punto es que, con frecuencia, el resultado de la epifanía no es lo suficientemente claro en el texto, lo que genera ambigüedad y controversia clave, como muchos críticos han expresado:</w:t>
      </w:r>
    </w:p>
    <w:p>
      <w:pPr>
        <w:pStyle w:val="Quotations"/>
        <w:bidi w:val="0"/>
        <w:ind w:left="720" w:right="0" w:hanging="0"/>
        <w:jc w:val="left"/>
        <w:rPr>
          <w:lang w:val="es-AR" w:eastAsia="zxx" w:bidi="zxx"/>
        </w:rPr>
      </w:pPr>
      <w:r>
        <w:rPr>
          <w:lang w:val="es-AR" w:eastAsia="zxx" w:bidi="zxx"/>
        </w:rPr>
        <w:t>La riqueza de estas dualidades y paradojas en la ficción de O’Connor ―como la ironía, las imágenes simbólicas, el desorden narrativo y las epifanías grotescas― amplían la confusión y la incomodidad del lector, y esto hace que su ficción sea, quizás, la representación más compleja, técnicamente hablando, del uso moderno del grotesco.</w:t>
      </w:r>
      <w:r>
        <w:rPr>
          <w:rStyle w:val="FootnoteAnchor"/>
          <w:lang w:val="es-AR" w:eastAsia="zxx" w:bidi="zxx"/>
        </w:rPr>
        <w:footnoteReference w:id="10"/>
      </w:r>
    </w:p>
    <w:p>
      <w:pPr>
        <w:pStyle w:val="Firstparagraph"/>
        <w:bidi w:val="0"/>
        <w:jc w:val="left"/>
        <w:rPr>
          <w:lang w:val="es-AR" w:eastAsia="zxx" w:bidi="zxx"/>
        </w:rPr>
      </w:pPr>
      <w:r>
        <w:rPr>
          <w:lang w:val="es-AR" w:eastAsia="zxx" w:bidi="zxx"/>
        </w:rPr>
        <w:t>Por un lado, la ambigüedad tiene que ver con que O’Connor prefiere una técnica narrativa que “muestra” en lugar de “decir” y, por lo tanto, se empeña en evitar la intrusión autoral, según observa, “el sentido moral del escritor debe coincidir con su sentido dramático” (MM, 76). Por otro lado, la confusión también responde a la combinación original de elementos de su obra: su intención de evocar la gracia y el misterio a través de lo concreto. Ella "busca una imagen que conecte o combine o represente dos puntos: un punto está en lo concreto y el otro punto es imperceptible a simple vista” (MM, 42). En consecuencia, las características ficticias de los personajes grotescos a los que da vida “se desvían de los patrones sociales típicos, hacia el misterio y lo inesperado” (MM, 40). La autora describe su estrategia literaria de la siguiente manera:</w:t>
      </w:r>
    </w:p>
    <w:p>
      <w:pPr>
        <w:pStyle w:val="Quotations"/>
        <w:bidi w:val="0"/>
        <w:ind w:left="720" w:right="0" w:hanging="0"/>
        <w:jc w:val="left"/>
        <w:rPr>
          <w:lang w:val="es-AR" w:eastAsia="zxx" w:bidi="zxx"/>
        </w:rPr>
      </w:pPr>
      <w:r>
        <w:rPr>
          <w:lang w:val="es-AR" w:eastAsia="zxx" w:bidi="zxx"/>
        </w:rPr>
        <w:t>El problema peculiar que enfrenta el escritor de cuentos es que la acción que describe debe revelar tanto como sea posible sobre el misterio de la existencia. Para hacerlo, dispone de poco espacio y no puede recurrir a la enunciación. Tiene que lograrlo mostrando, no diciendo, y mostrando lo concreto; entonces, su problema en realidad es lograr que lo concreto funcione con un doble propósito. (MM, 98)</w:t>
      </w:r>
    </w:p>
    <w:p>
      <w:pPr>
        <w:pStyle w:val="Firstparagraph"/>
        <w:bidi w:val="0"/>
        <w:jc w:val="left"/>
        <w:rPr>
          <w:lang w:val="es-AR" w:eastAsia="zxx" w:bidi="zxx"/>
        </w:rPr>
      </w:pPr>
      <w:r>
        <w:rPr>
          <w:lang w:val="es-AR" w:eastAsia="zxx" w:bidi="zxx"/>
        </w:rPr>
        <w:t>En cualquier caso, los monstruos, por definición, “producen un significado que trasciende cualquier categoría de identificación”.</w:t>
      </w:r>
      <w:r>
        <w:rPr>
          <w:rStyle w:val="FootnoteAnchor"/>
          <w:lang w:val="es-AR" w:eastAsia="zxx" w:bidi="zxx"/>
        </w:rPr>
        <w:footnoteReference w:id="11"/>
      </w:r>
      <w:r>
        <w:rPr>
          <w:lang w:val="es-AR" w:eastAsia="zxx" w:bidi="zxx"/>
        </w:rPr>
        <w:t xml:space="preserve"> Más aún, el paso del tiempo ha alterado la percepción de la obra de O’Connor, revelando su poder anticipatorio e incrementando su relevancia. Como consecuencia, la ficción de esta autora resulta más realista y menos grotesca que en los años cincuenta. Harold Bloom sostiene que en “esta nueva Era del Terror en la que las torres se desmoronan y el ántrax sale de las cartas [. . .] nuestras vidas se vuelven necesariamente más grotescas”, mientras que “la narrativa de O’Connor es cada vez más relevante”. </w:t>
      </w:r>
      <w:r>
        <w:rPr>
          <w:rStyle w:val="FootnoteAnchor"/>
          <w:lang w:val="es-AR" w:eastAsia="zxx" w:bidi="zxx"/>
        </w:rPr>
        <w:footnoteReference w:id="12"/>
      </w:r>
    </w:p>
    <w:p>
      <w:pPr>
        <w:pStyle w:val="TextBody"/>
        <w:bidi w:val="0"/>
        <w:jc w:val="left"/>
        <w:rPr>
          <w:lang w:val="es-AR" w:eastAsia="zxx" w:bidi="zxx"/>
        </w:rPr>
      </w:pPr>
      <w:r>
        <w:rPr>
          <w:lang w:val="es-AR" w:eastAsia="zxx" w:bidi="zxx"/>
        </w:rPr>
        <w:t>Los *freaks* de O'Connor dan prueba de ser “figuras de nuestro desplazamiento esencial”, como ella indica, pero también emblemas y reflejos de la conciencia estadounidense. Según Scott Poole, los monstruos estadounidenses “tienen una historia que coincide con la historia nacional”, es decir, generan y representan significados asociados a contextos específicos y a sus discursos históricos:</w:t>
      </w:r>
    </w:p>
    <w:p>
      <w:pPr>
        <w:pStyle w:val="Quotations"/>
        <w:bidi w:val="0"/>
        <w:ind w:left="720" w:right="0" w:hanging="0"/>
        <w:jc w:val="left"/>
        <w:rPr>
          <w:lang w:val="es-AR" w:eastAsia="zxx" w:bidi="zxx"/>
        </w:rPr>
      </w:pPr>
      <w:r>
        <w:rPr>
          <w:lang w:val="es-AR" w:eastAsia="zxx" w:bidi="zxx"/>
        </w:rPr>
        <w:t>Los monstruos estadounidenses nacen de la historia estadounidense. [. . .] Son representaciones vivientes de nuestra oscuridad, metáforas y progenitores a la vez de las formas que toman en Estados Unidos el miedo y la violencia. Son criaturas de la historia estadounidense; es imposible explicar todas sus permutaciones en el folclore y la cultura pop sin recurrir a la complejidad de esta historia. La mejor manera de entender la historia estadounidense es por medio de los monstruos de Estados Unidos.</w:t>
      </w:r>
      <w:r>
        <w:rPr>
          <w:rStyle w:val="FootnoteAnchor"/>
          <w:lang w:val="es-AR" w:eastAsia="zxx" w:bidi="zxx"/>
        </w:rPr>
        <w:footnoteReference w:id="13"/>
      </w:r>
    </w:p>
    <w:p>
      <w:pPr>
        <w:pStyle w:val="Firstparagraph"/>
        <w:bidi w:val="0"/>
        <w:jc w:val="left"/>
        <w:rPr>
          <w:lang w:val="es-AR" w:eastAsia="zxx" w:bidi="zxx"/>
        </w:rPr>
      </w:pPr>
      <w:r>
        <w:rPr>
          <w:lang w:val="es-AR" w:eastAsia="zxx" w:bidi="zxx"/>
        </w:rPr>
        <w:t>Más aún, los *freaks* de O’Connor también representan a la sociedad y cultura estadounidenses contemporáneas, ya que la monstruosidad de estos personajes pasa desapercibida. Según afirma Weinstock, “los monstruos actuales no se distinguen a simple vista”; "prácticamente pasan desapercibidos [. . .] entre el común de la gente".</w:t>
      </w:r>
      <w:r>
        <w:rPr>
          <w:rStyle w:val="FootnoteAnchor"/>
          <w:lang w:val="es-AR" w:eastAsia="zxx" w:bidi="zxx"/>
        </w:rPr>
        <w:footnoteReference w:id="14"/>
      </w:r>
      <w:r>
        <w:rPr>
          <w:lang w:val="es-AR" w:eastAsia="zxx" w:bidi="zxx"/>
        </w:rPr>
        <w:t xml:space="preserve"> Los monstruos somos nosotros, propone O’Connor en su ficción y también en sus ensayos: “El *freak* en la ficción actual a menudo resulta perturbador porque nos impide olvidar que compartimos su condición” (MM, 133). </w:t>
      </w:r>
    </w:p>
    <w:p>
      <w:pPr>
        <w:pStyle w:val="TextBody"/>
        <w:bidi w:val="0"/>
        <w:jc w:val="left"/>
        <w:rPr>
          <w:lang w:val="es-AR" w:eastAsia="zxx" w:bidi="zxx"/>
        </w:rPr>
      </w:pPr>
      <w:r>
        <w:rPr>
          <w:lang w:val="es-AR" w:eastAsia="zxx" w:bidi="zxx"/>
        </w:rPr>
        <w:t>El cuento "Un hombre bueno es difícil de encontrar" (1953) resulta un punto de partida idóneo para analizar los *freaks* de O’Connor. En él, una familia de seis miembros —que incluye a una abuela, dos niños pequeños, un bebé y sus padres— parte de Atlanta para hacer un viaje breve a Florida, pero nunca llegan a destino. En el camino se topan con el Desequilibrado, un peligroso criminal fugado de la Penitenciaría Federal, que los mata uno por uno. Solo sobrevive el gato, que la abuela había llevado sin que su hijo supiera, y que es en parte responsable del accidente. Sin duda, la historia —"salvaje, violenta y cómica"— destaca la distorsión y retrata a todos sus personajes como *freaks*. De ese modo, los miembros de esta familia no se parecen en nada a la imagen de la típica familia sureña; al contrario, y pese al conservadurismo asociado a los años cincuenta, anticipan rasgos de las familias corrientes o incluso disfuncionales de hoy en día.</w:t>
      </w:r>
    </w:p>
    <w:p>
      <w:pPr>
        <w:pStyle w:val="TextBody"/>
        <w:bidi w:val="0"/>
        <w:jc w:val="left"/>
        <w:rPr>
          <w:lang w:val="es-AR" w:eastAsia="zxx" w:bidi="zxx"/>
        </w:rPr>
      </w:pPr>
      <w:r>
        <w:rPr>
          <w:lang w:val="es-AR" w:eastAsia="zxx" w:bidi="zxx"/>
        </w:rPr>
        <w:t>La madre de los niños, que tiene el rostro "como un repollo" y su pañuelo en la cabeza con "dos puntas en la parte superior como las orejas de un conejo”</w:t>
      </w:r>
      <w:r>
        <w:rPr>
          <w:rStyle w:val="FootnoteAnchor"/>
          <w:lang w:val="es-AR" w:eastAsia="zxx" w:bidi="zxx"/>
        </w:rPr>
        <w:footnoteReference w:id="15"/>
      </w:r>
      <w:r>
        <w:rPr>
          <w:lang w:val="es-AR" w:eastAsia="zxx" w:bidi="zxx"/>
        </w:rPr>
        <w:t xml:space="preserve"> parece tan tonta que ni siquiera sirve para encarnar una parodia de la *belle* o dama sureña: de manera absurda y cómica, responde "Sí, gracias" (BH, 131) al pedido del Desequilibrado de que siguiera a sus asesinos y se reuniera con su marido muerto. Lo más probable es que O’Connor esté parodiando aquí el excesivo énfasis sureño en los buenos modales. A su vez, Bailey, el padre ineficaz y débil de los niños, demuestra ser incapaz de manejar a su propia familia y, por ende, es aun menos apto para enfrentar al Desequilibrado. Lo *freak* se enfatiza mediante el patrón ridículo de su camisa —amarilla con loros azul brillante—, un motivo que sugiere no solo un estilo estridente y una personalidad imitativa. En cuanto a los niños, no solo son peleadores e irrespetuosos, sino también perversos. Podemos recordar su reacción impactante después de que el auto se volcara: "¡Hemos tenido un accidente!", gritaban los chicos en un delirio de felicidad. ‘Pero nadie se ha muerto’ —señaló June Star con cierta desilusión" (BH, 125).</w:t>
      </w:r>
    </w:p>
    <w:p>
      <w:pPr>
        <w:pStyle w:val="TextBody"/>
        <w:bidi w:val="0"/>
        <w:jc w:val="left"/>
        <w:rPr>
          <w:lang w:val="es-AR" w:eastAsia="zxx" w:bidi="zxx"/>
        </w:rPr>
      </w:pPr>
      <w:r>
        <w:rPr>
          <w:lang w:val="es-AR" w:eastAsia="zxx" w:bidi="zxx"/>
        </w:rPr>
        <w:t>Los personajes más peculiares del relato son los protagonistas: la abuela y el Desiquilibrado. Es el diálogo entre ellos el que transmite la llegada de la gracia y la epifanía de la abuela. Irónicamente, el violento Desequilibrado se convierte en el agente disruptivo de la revelación, y la pía e hipócrita abuela, en la receptora de la gracia. Su conversación —seria y cómica al mismo tiempo— destaca enfoques contrapuestos sobre la vida y la religión. La abuela delata su egoísmo, fe superficial e hipocresía por medio de sus frases tontas repetitivas, repletas de clichés, destinadas a aplazar o incluso evitar la muerte, tales como “No le dispararías a una dama, ¿verdad?”, o “Sé que eres es un buen hombre. "No pareces tener la misma sangre que los demás". Incluso aconseja al Desiquilibrado que rece: “Si rezaras, [. . .] Jesús te ayudaría”.(BH, 130).</w:t>
      </w:r>
    </w:p>
    <w:p>
      <w:pPr>
        <w:pStyle w:val="TextBody"/>
        <w:bidi w:val="0"/>
        <w:jc w:val="left"/>
        <w:rPr>
          <w:lang w:val="es-AR" w:eastAsia="zxx" w:bidi="zxx"/>
        </w:rPr>
      </w:pPr>
      <w:r>
        <w:rPr>
          <w:lang w:val="es-AR" w:eastAsia="zxx" w:bidi="zxx"/>
        </w:rPr>
        <w:t>Sin embargo, el Desequilibrado es demasiado orgulloso para pedir ayuda. Sus palabras y comportamiento lo presentan como franco y de buenos modales, pero también sádico y fundamentalista:</w:t>
      </w:r>
    </w:p>
    <w:p>
      <w:pPr>
        <w:pStyle w:val="Quotations"/>
        <w:bidi w:val="0"/>
        <w:ind w:left="720" w:right="0" w:hanging="0"/>
        <w:jc w:val="left"/>
        <w:rPr>
          <w:lang w:val="es-AR" w:eastAsia="zxx" w:bidi="zxx"/>
        </w:rPr>
      </w:pPr>
      <w:r>
        <w:rPr>
          <w:lang w:val="es-AR" w:eastAsia="zxx" w:bidi="zxx"/>
        </w:rPr>
        <w:t>“</w:t>
      </w:r>
      <w:r>
        <w:rPr>
          <w:lang w:val="es-AR" w:eastAsia="zxx" w:bidi="zxx"/>
        </w:rPr>
        <w:t>Jesús es el único qu’ha resucitao a los muertos [. . .] y no tendría qu’haberlo hecho. Rompió el equilibrio de to. Si Él hacía lo que decía, entonces solo te queda dejarlo to y seguirlo, y si no lo hacía, entonces solo te queda disfrutar de los pocos minutos que tienes de la mejor manera posible, matando a alguien o quemándole la casa o haciéndole alguna otra maldad. No hay placer, sino maldad.”</w:t>
      </w:r>
    </w:p>
    <w:p>
      <w:pPr>
        <w:pStyle w:val="Quotations"/>
        <w:bidi w:val="0"/>
        <w:ind w:left="720" w:right="0" w:hanging="0"/>
        <w:jc w:val="left"/>
        <w:rPr>
          <w:lang w:val="es-AR" w:eastAsia="zxx" w:bidi="zxx"/>
        </w:rPr>
      </w:pPr>
      <w:r>
        <w:rPr>
          <w:lang w:val="es-AR" w:eastAsia="zxx" w:bidi="zxx"/>
        </w:rPr>
        <w:t xml:space="preserve">(*Un hombre bueno es difícil de encontrar*, p. 24). </w:t>
      </w:r>
    </w:p>
    <w:p>
      <w:pPr>
        <w:pStyle w:val="Firstparagraph"/>
        <w:bidi w:val="0"/>
        <w:jc w:val="left"/>
        <w:rPr>
          <w:lang w:val="es-AR" w:eastAsia="zxx" w:bidi="zxx"/>
        </w:rPr>
      </w:pPr>
      <w:r>
        <w:rPr>
          <w:lang w:val="es-AR" w:eastAsia="zxx" w:bidi="zxx"/>
        </w:rPr>
        <w:t>Todas estas características demuestran que el Desequilibrado es un buscador atormentado, según la intención de O’Connor, pero reflejan dos elementos que son centrales en la sociedad contemporánea estadounidense: la violencia caprichosa y el fundamentalismo religioso. De hecho, el Desequilibrado encarna la figura del asesino en serie, el tipo de monstruo más peligroso y prevalente hoy en día en los Estados Unidos. Justamente, también epitomiza la desconexión entre lo visible y la monstruosidad. Tras el asesinato de Bailey, el Desequilibrado se viste con la camisa con loros azul brillante, un detalle de significado revelador: por un lado, sugiere la invisibilidad de los monstruos —su imagen común e incluso familiar— mientras que por otro, por intención de O’Connor, evoca los “lazos de parentesco” (MM, 112. 3^N. d. T) que conectan a la humanidad en su totalidad, lo que contribuye a la epifanía de la abuela: “la cabeza de la abuela se aclaró por un instante. Vio la cara del hombre contraída cerca de la suya como si estuviera a punto de llorar, y entonces murmuró: —¡Si eres uno de mis niños! ¡Eres uno de mis hijos! Tendió la mano y lo tocó en el hombro". (*Un hombre bueno es difícil de encontrar*, p.25).</w:t>
      </w:r>
    </w:p>
    <w:p>
      <w:pPr>
        <w:pStyle w:val="TextBody"/>
        <w:bidi w:val="0"/>
        <w:jc w:val="left"/>
        <w:rPr>
          <w:lang w:val="es-AR" w:eastAsia="zxx" w:bidi="zxx"/>
        </w:rPr>
      </w:pPr>
      <w:r>
        <w:rPr>
          <w:lang w:val="es-AR" w:eastAsia="zxx" w:bidi="zxx"/>
        </w:rPr>
        <w:t>En cambio, las palabras del Desequilibrado, recién al final de la historia —”No hay verdadero placer en la vida”— que contrastan con su frase previa “No hay placer, sino maldad” (GM, 132, 133) podrían sugerir que él también ha experimentado su propia epifanía, y, por tanto, un cambio para mejor, como los comentarios de O’Connor parecen indicar: “No quiero igualar al Desequilibrado con el demonio. Prefiero pensar que, aunque esto pueda parecer poco probable, el gesto de la anciana, como la semilla de mostaza, se convertirá en un gran árbol repleto de cuervos en el corazón del Desequilibrado, y será suficiente el dolor que atraviese para volverse el profeta que se esperaba de él” (MM, 112,113. 4^N. d. T). Sin embargo, como se señaló anteriormente, las epifanías de la ficción de O’Connor están lejos de ser transparentes, y esta historia sirve de buen ejemplo para exhibir tal ambigüedad. En pocas palabras, la evidencia que provee el texto tiende a resaltar la brutalidad, el sadismo y finalmente, el nihilismo, debido a que, como el Desequilibrado concluye, hasta el asesinato serial ha perdido el sentido: “Cállate, Bobby Lee. [. . .] No hay verdadero placer en la vida.” (*Un hombre bueno es difícil de encontrar*, p. 25).</w:t>
      </w:r>
    </w:p>
    <w:p>
      <w:pPr>
        <w:pStyle w:val="TextBody"/>
        <w:bidi w:val="0"/>
        <w:jc w:val="left"/>
        <w:rPr>
          <w:lang w:val="es-AR" w:eastAsia="zxx" w:bidi="zxx"/>
        </w:rPr>
      </w:pPr>
      <w:r>
        <w:rPr>
          <w:lang w:val="es-AR" w:eastAsia="zxx" w:bidi="zxx"/>
        </w:rPr>
        <w:t>En “La buena gente del campo”, de 1955, O’Connor explora el nihilismo y el frikismo de modo más evidente y, a su vez, atenúa la violencia. La historia hace foco en el cuerpo femenino, especialmente el de la protagonista, una chica pretenciosa y frustrada de treinta y dos años “regordeta, maleducada y bizca”, que vive con su madre divorciada en una granja.</w:t>
      </w:r>
      <w:r>
        <w:rPr>
          <w:rStyle w:val="FootnoteAnchor"/>
          <w:lang w:val="es-AR" w:eastAsia="zxx" w:bidi="zxx"/>
        </w:rPr>
        <w:footnoteReference w:id="16"/>
      </w:r>
      <w:r>
        <w:rPr>
          <w:lang w:val="es-AR" w:eastAsia="zxx" w:bidi="zxx"/>
        </w:rPr>
        <w:t xml:space="preserve"> En este caso, la singularidad física del personaje sugiere su deformidad moral. Tiene una pata de palo y un doctorado en filosofía, se siente orgullosa de ser nihilista y aborrece la personalidad convencional de las personas como su madre, la señora Hopewell, y la empleada de su madre, la señora Freeman. Vive en un estado de “furia permanente” (BGC, 273) contra ellas dos, su entorno y el mundo entero. Si bien se llama Joy [^N. de T.], ha cambiado su nombre por uno horrendo, Hulga, “basándose en lo mal que suena” (BGC, 275). [^N. de T.]:En inglés Joy significa "alegría".</w:t>
      </w:r>
      <w:r>
        <w:rPr>
          <w:rStyle w:val="FootnoteAnchor"/>
          <w:lang w:val="es-AR" w:eastAsia="zxx" w:bidi="zxx"/>
        </w:rPr>
        <w:footnoteReference w:id="17"/>
      </w:r>
      <w:r>
        <w:rPr>
          <w:lang w:val="es-AR" w:eastAsia="zxx" w:bidi="zxx"/>
        </w:rPr>
        <w:t xml:space="preserve"> A Hulga no le gustan “los gatos, ni los pájaros, ni las flores, ni la naturaleza, ni los jóvenes amables”. De no haber sido por su grave afección cardíaca, “estaría lejos de estas colinas rojas y de la buena gente del campo” (BGC, 276).</w:t>
      </w:r>
    </w:p>
    <w:p>
      <w:pPr>
        <w:pStyle w:val="TextBody"/>
        <w:bidi w:val="0"/>
        <w:jc w:val="left"/>
        <w:rPr>
          <w:lang w:val="es-AR" w:eastAsia="zxx" w:bidi="zxx"/>
        </w:rPr>
      </w:pPr>
      <w:r>
        <w:rPr>
          <w:lang w:val="es-AR" w:eastAsia="zxx" w:bidi="zxx"/>
        </w:rPr>
        <w:t>Cuando un vendedor de biblias ambulante llega a su casa (un joven en apariencia naíf, con el nombre fálico de Manley Pointer).[^N.deT.] Hulga, que no tiene experiencia sexual, decide seducirlo, aunque más no sea para probar su superioridad intelectual, dando por sentado que él es “solo buena gente del campo” (BGC, 290). [^N.deT.]: Manley sugiere la palabra inglesa "manly" (varonil, masculino) y pointer es aguien que apunta. Tal como revela el desenlace de la historia, el vendedor de biblias termina siendo un embustero y un fraude, es decir, un *freak* peligroso: luego de robar los lentes y la pierna de madera de Hulga, la abandona a su suerte en el desván de un granero, literalmente inválida y emocionalmente ultrajada. Y, al contrario de lo que Hulga suponía, su maleta no contiene biblias, sino una petaca de whisky, condones y un mazo de cartas con fotos obscenas en el reverso.</w:t>
      </w:r>
    </w:p>
    <w:p>
      <w:pPr>
        <w:pStyle w:val="TextBody"/>
        <w:bidi w:val="0"/>
        <w:jc w:val="left"/>
        <w:rPr>
          <w:lang w:val="es-AR" w:eastAsia="zxx" w:bidi="zxx"/>
        </w:rPr>
      </w:pPr>
      <w:r>
        <w:rPr>
          <w:lang w:val="es-AR" w:eastAsia="zxx" w:bidi="zxx"/>
        </w:rPr>
        <w:t>Aunque al principio de la cita fatídica Hulga intenta impresionar a Pointer alardeando de su nihilismo con frases como: “Yo no tengo ilusiones. Soy una de esas personas que ven a través de la nada” (BGC, 287), es el visitante de apariencia inocente quien provoca la mayor conmoción y la revelación final. En respuesta a las palabras acusatorias de Hulga, “Eres un buen cristiano”, él dice:</w:t>
      </w:r>
    </w:p>
    <w:p>
      <w:pPr>
        <w:pStyle w:val="Quotations"/>
        <w:bidi w:val="0"/>
        <w:ind w:left="720" w:right="0" w:hanging="0"/>
        <w:jc w:val="left"/>
        <w:rPr>
          <w:lang w:val="es-AR" w:eastAsia="zxx" w:bidi="zxx"/>
        </w:rPr>
      </w:pPr>
      <w:r>
        <w:rPr>
          <w:lang w:val="es-AR" w:eastAsia="zxx" w:bidi="zxx"/>
        </w:rPr>
        <w:t>“</w:t>
      </w:r>
      <w:r>
        <w:rPr>
          <w:lang w:val="es-AR" w:eastAsia="zxx" w:bidi="zxx"/>
        </w:rPr>
        <w:t xml:space="preserve">¡Espero que no pienses [. . .] que me creo esa mierda! ¡Por más que sea un vendedor de biblias, no tengo un pelo de tonto y no nací ayer y sé a dónde voy! [. . .] Y te digo otra cosa, Hulga, [. . .] tú no ere' tan lista. ¡De’ que nací que no creo en na’!” (BGC, 290–291) </w:t>
      </w:r>
    </w:p>
    <w:p>
      <w:pPr>
        <w:pStyle w:val="Firstparagraph"/>
        <w:bidi w:val="0"/>
        <w:jc w:val="left"/>
        <w:rPr>
          <w:lang w:val="es-AR" w:eastAsia="zxx" w:bidi="zxx"/>
        </w:rPr>
      </w:pPr>
      <w:r>
        <w:rPr>
          <w:lang w:val="es-AR" w:eastAsia="zxx" w:bidi="zxx"/>
        </w:rPr>
        <w:t>Como en el cuento anterior, es a través del encuentro con el Otro violento y *freaky* que el personaje central experimenta su epifanía, la iluminación de la gracia, y aprende que el antagonista no es tan diferente de ella misma como había supuesto. Sin embargo, aparte de este mensaje espiritual, que O’Connor diseñó con cuidado, "La buena gente del campo" transmite una especie de frikismo que el paso del tiempo ha hecho más relevante, tanto en la literatura como en la vida real. De este modo, Hulga no solo representa lo opuesto a la feminidad sureña o la parodia de la tradicional bella sureña (hermosa, religiosa, sumisa, pura, inocente y femenina), sino que, sobre todo (a pesar de su comportamiento inmaduro), anticipa un nuevo tipo de mujer que se popularizó en la década de los sesenta con el surgimiento de la Segunda Ola del Feminismo: atea, rebelde, intelectual, enfrentada a las convenciones y la domesticidad, y deseosa de liberarse del control parental. El vendedor de biblias se siente atraído por su singularidad de un modo que evoca los antiguos espectáculos de fenómenos, muy populares en Estados Unidos en la primera mitad del siglo XX: "La estaba mirando con abierta curiosidad, con fascinación, como un chico que mira un nuevo animal fantástico en el zoológico" (BGC, 13). De modo similar, la señora Freeman, un personaje que presagia a Manley Pointer, también queda fascinada por lo anormal y lo bizarro, y en particular por el cuerpo grotesco de Hulga y su pierna artificial:</w:t>
      </w:r>
    </w:p>
    <w:p>
      <w:pPr>
        <w:pStyle w:val="Quotations"/>
        <w:bidi w:val="0"/>
        <w:ind w:left="720" w:right="0" w:hanging="0"/>
        <w:jc w:val="left"/>
        <w:rPr>
          <w:lang w:val="es-AR" w:eastAsia="zxx" w:bidi="zxx"/>
        </w:rPr>
      </w:pPr>
      <w:r>
        <w:rPr>
          <w:lang w:val="es-AR" w:eastAsia="zxx" w:bidi="zxx"/>
        </w:rPr>
        <w:t>La señora Freeman tenía un gusto especial, por los detalles de las infecciones secretas, de las deformidades escondidas, de los atropellos contra niños. De las enfermedades, ella prefería las prolongadas o las incurables. Hulga había oído a la señora Hopewell darle los detalles del accidente de caza, de qué manera la pierna había sido literalmente arrancada, que ella en ningún instante había perdido el conocimiento. La señora Freeman podía escuchar esto en cualquier momento como si hubiera sucedido hacía una hora. (BGC,14).</w:t>
      </w:r>
    </w:p>
    <w:p>
      <w:pPr>
        <w:pStyle w:val="Firstparagraph"/>
        <w:bidi w:val="0"/>
        <w:jc w:val="left"/>
        <w:rPr>
          <w:lang w:val="es-AR" w:eastAsia="zxx" w:bidi="zxx"/>
        </w:rPr>
      </w:pPr>
      <w:r>
        <w:rPr>
          <w:lang w:val="es-AR" w:eastAsia="zxx" w:bidi="zxx"/>
        </w:rPr>
        <w:t>Mientras que la señora Freeman está cautivada por la fisonomía grande y peculiar de Hulga, su propio aspecto también es notable, como observa el narrador: la expresión de la señora Freeman se compara con la "lenta marcha de un camión pesado" y su presencia física, con "varias bolsas de granos apiladas" (BGC, 1). De modo análogo, la descripción de las hijas de la señora Freeman, Glynese y Carramae (Glycerin y Caramel en la versión de Hulga de sus nombres) amplicar la corporeidad y feminidad que Hulga desprecia. Como ya se ha señalado, “La buena gente del campo” se ocupa sobre todo de “las vicisitudes de ser mujer”, “las cargas de la vida carnal” y “las dificultades físicas de la vida de las mujeres”.</w:t>
      </w:r>
      <w:r>
        <w:rPr>
          <w:rStyle w:val="FootnoteAnchor"/>
          <w:lang w:val="es-AR" w:eastAsia="zxx" w:bidi="zxx"/>
        </w:rPr>
        <w:footnoteReference w:id="18"/>
      </w:r>
      <w:r>
        <w:rPr>
          <w:lang w:val="es-AR" w:eastAsia="zxx" w:bidi="zxx"/>
        </w:rPr>
        <w:t>Sin duda, las imágenes de peso y pesadez asociadas con estas mujeres resaltan su volumen y rasgos físicos, pero también subrayan su vulnerabilidad. Además, el frikismo y el tono humorístico de la narración en los personajes femeninos intensifican más que disminuir la verosimilitud del retrato, así como la de su entorno: es decir, su pertenencia a un contexto espacial y temporal claramente definido.</w:t>
      </w:r>
    </w:p>
    <w:p>
      <w:pPr>
        <w:pStyle w:val="TextBody"/>
        <w:bidi w:val="0"/>
        <w:jc w:val="left"/>
        <w:rPr>
          <w:lang w:val="es-AR" w:eastAsia="zxx" w:bidi="zxx"/>
        </w:rPr>
      </w:pPr>
      <w:r>
        <w:rPr>
          <w:lang w:val="es-AR" w:eastAsia="zxx" w:bidi="zxx"/>
        </w:rPr>
        <w:t>Por otra parte, la figura del vendedor itinerante —un personaje conocido del humor sureño</w:t>
      </w:r>
      <w:r>
        <w:rPr>
          <w:rStyle w:val="FootnoteAnchor"/>
          <w:lang w:val="es-AR" w:eastAsia="zxx" w:bidi="zxx"/>
        </w:rPr>
        <w:footnoteReference w:id="19"/>
      </w:r>
      <w:r>
        <w:rPr>
          <w:lang w:val="es-AR" w:eastAsia="zxx" w:bidi="zxx"/>
        </w:rPr>
        <w:t xml:space="preserve"> y, en este relato, un agente diabólico e inesperado de la gracia— prefigura un tipo de monstruo más siniestro: el fetichista y psicópata sexual que está obsesionado con el cuerpo femenino y con coleccionar partes del cuerpo de mujeres, sean prostéticas o no. De hecho, este misterioso forastero, visitante intempestivo y figura recurrente en la literatura y el cine, tipifica la agresión sexual y a la vez la figura de la Muerte, y anticipa personajes como Arnold Friend en el conocido cuento de Joyce Carol Oates, “Where Are You Going, Where Have You Been” (1966) [“¿Adónde vas? ¿Dónde has estado?”]. Cabe señalar que el psicópata del relato de Oates, Arnold Friend, está basado en un criminal real, Charles Schmid, también conocido como “el Flautista de Tucson”, acusado de violación y asesinato de tres jóvenes mujeres a mediados de la década de 1960.</w:t>
      </w:r>
    </w:p>
    <w:p>
      <w:pPr>
        <w:pStyle w:val="TextBody"/>
        <w:bidi w:val="0"/>
        <w:jc w:val="left"/>
        <w:rPr>
          <w:lang w:val="es-AR" w:eastAsia="zxx" w:bidi="zxx"/>
        </w:rPr>
      </w:pPr>
      <w:r>
        <w:rPr>
          <w:lang w:val="es-AR" w:eastAsia="zxx" w:bidi="zxx"/>
        </w:rPr>
        <w:t>Por último (pero no menos importante), la primera novela de O’Connor, *Wise Blood* [*Sangre Sabia*] (1952) –probablemente “el texto más interesante y desafiante de O’Connor”</w:t>
      </w:r>
      <w:r>
        <w:rPr>
          <w:rStyle w:val="FootnoteAnchor"/>
          <w:lang w:val="es-AR" w:eastAsia="zxx" w:bidi="zxx"/>
        </w:rPr>
        <w:footnoteReference w:id="20"/>
      </w:r>
      <w:r>
        <w:rPr>
          <w:lang w:val="es-AR" w:eastAsia="zxx" w:bidi="zxx"/>
        </w:rPr>
        <w:t>– merece su análisis individual, ya que condensa con singular fuerza las características del estilo gótico sureño: la violencia, el fundamentalismo religioso, el grotesco y la figura del *freak*. Tal como destaca Margaret Earley Whitt, los primeros críticos de *Wise Blood* notaron con rapidez que sus personajes “eran por demás extraños”. En la sección Book Review de The New York Times, se publicó que “ellos no parecían siquiera pertenecer a la raza humana”. Otros periódicos resaltaron la “rareza” de la novela, su “gente rara, depredadora”, y “su mundo demente, poblado de monstruos y subhombres”.</w:t>
      </w:r>
      <w:r>
        <w:rPr>
          <w:rStyle w:val="FootnoteAnchor"/>
          <w:lang w:val="es-AR" w:eastAsia="zxx" w:bidi="zxx"/>
        </w:rPr>
        <w:footnoteReference w:id="21"/>
      </w:r>
    </w:p>
    <w:p>
      <w:pPr>
        <w:pStyle w:val="TextBody"/>
        <w:bidi w:val="0"/>
        <w:jc w:val="left"/>
        <w:rPr>
          <w:lang w:val="es-AR" w:eastAsia="zxx" w:bidi="zxx"/>
        </w:rPr>
      </w:pPr>
      <w:r>
        <w:rPr>
          <w:lang w:val="es-AR" w:eastAsia="zxx" w:bidi="zxx"/>
        </w:rPr>
        <w:t xml:space="preserve">La trama explora la búsqueda divergente de sentido que emprenden dos jóvenes en una ciudad sureña de la posguerra. El personaje principal, Hazel Motes, quien recientemente había recibido la baja en la Segunda Guerra Mundial, regresa al sur para encontrarse con su familia. Al no hallar parientes y encontrar su casa en ruinas, toma un tren hacia la ciudad, donde inspirado por un predicador de la calle y los recuerdos de su propio abuelo —un predicador ambulante que tenía a Jesús “inserto en la cabeza como un aguijón” </w:t>
      </w:r>
      <w:r>
        <w:rPr>
          <w:rStyle w:val="FootnoteAnchor"/>
          <w:lang w:val="es-AR" w:eastAsia="zxx" w:bidi="zxx"/>
        </w:rPr>
        <w:footnoteReference w:id="22"/>
      </w:r>
      <w:r>
        <w:rPr>
          <w:lang w:val="es-AR" w:eastAsia="zxx" w:bidi="zxx"/>
        </w:rPr>
        <w:t xml:space="preserve"> — crea su propia congregación: la Iglesia sin Cristo. Muy probablemente, los traumas infligidos por la guerra convirtieron su religiosidad innata en una obsesión monstruosa, ya que, como el narrador destaca en el primer capítulo, Hazel “supo desde los doce años que sería predicador” (WB, 13). Así describe Hazel, con tono furioso, su iglesia anti-cristiana:</w:t>
      </w:r>
    </w:p>
    <w:p>
      <w:pPr>
        <w:pStyle w:val="Quotations"/>
        <w:bidi w:val="0"/>
        <w:ind w:left="720" w:right="0" w:hanging="0"/>
        <w:jc w:val="left"/>
        <w:rPr>
          <w:lang w:val="es-AR" w:eastAsia="zxx" w:bidi="zxx"/>
        </w:rPr>
      </w:pPr>
      <w:r>
        <w:rPr>
          <w:lang w:val="es-AR" w:eastAsia="zxx" w:bidi="zxx"/>
        </w:rPr>
        <w:t xml:space="preserve">"Bueno, yo predico la Iglesia sin Cristo. Soy miembro y predicador de aquella iglesia en donde los ciegos no ven, los cojos no caminan, y lo que está muerto, permanece así. [. . .] Voy a predicar que no existió la Caída porque no hubo nada de qué caer, ni Redención porque no hubo Caída, ni tampoco Juicio Final porque no existieron los dos anteriores. Nada importa salvo que Jesús era un mentiroso”. (WB, 70-71) [La traducción es nuestra]. </w:t>
      </w:r>
    </w:p>
    <w:p>
      <w:pPr>
        <w:pStyle w:val="Firstparagraph"/>
        <w:bidi w:val="0"/>
        <w:jc w:val="left"/>
        <w:rPr>
          <w:lang w:val="es-AR" w:eastAsia="zxx" w:bidi="zxx"/>
        </w:rPr>
      </w:pPr>
      <w:r>
        <w:rPr>
          <w:lang w:val="es-AR" w:eastAsia="zxx" w:bidi="zxx"/>
        </w:rPr>
        <w:t>Su comportamiento aberrante alcanza el punto máximo cuando atropella a un hombre que contrataron para hacerse pasar por él y cobrar el dinero que se había negado a aceptar por predicar en la calle. Luego de cometer este asesinato y perder su auto, Hazel compra una bolsa de cal viva, regresa a la pensión, se ciega y comienza una vida de penitencia.</w:t>
      </w:r>
      <w:r>
        <w:rPr>
          <w:rStyle w:val="FootnoteAnchor"/>
          <w:lang w:val="es-AR" w:eastAsia="zxx" w:bidi="zxx"/>
        </w:rPr>
        <w:footnoteReference w:id="23"/>
      </w:r>
      <w:r>
        <w:rPr>
          <w:lang w:val="es-AR" w:eastAsia="zxx" w:bidi="zxx"/>
        </w:rPr>
        <w:t xml:space="preserve"> Se envuelve el cuerpo con alambre de púas, pone piedras en sus zapatos y casi no come. “No estoy limpio, repite” (WB, 154). Por último, abandona la casa de huéspedes, en parte debido a las propuestas de matrimonio de la propietaria; unos días más tarde, un policía lo encuentra tirado inconsciente en una zanja y lo golpea en la cabeza con la porra. Hazel muere en el patrullero, pero el policía no se da cuenta y lo lleva a la casa de huéspedes. La hostelera le habla y observa su rostro “rígido y apacible” (WB, 159). Cuando mira a Hazel a los ojos (con los ojos de ella cerrados) experimenta la epifanía que cierra la novela:</w:t>
      </w:r>
    </w:p>
    <w:p>
      <w:pPr>
        <w:pStyle w:val="Quotations"/>
        <w:bidi w:val="0"/>
        <w:ind w:left="720" w:right="0" w:hanging="0"/>
        <w:jc w:val="left"/>
        <w:rPr>
          <w:lang w:val="es-AR" w:eastAsia="zxx" w:bidi="zxx"/>
        </w:rPr>
      </w:pPr>
      <w:r>
        <w:rPr>
          <w:lang w:val="es-AR" w:eastAsia="zxx" w:bidi="zxx"/>
        </w:rPr>
        <w:t>Nunca había visto el rostro de Hazel tan apacible y le tomó una mano y se la llevó al corazón. Estaba inerte y seca. Bajo su piel podía distinguirse claramente el contorno del cráneo y las cuencas de los ojos, profundas y quemadas, parecían conducir al interior del túnel oscuro en el que había desaparecido. Se acercó más y más a su rostro, observando la profundidad de las cuencas, tratando de descifrar cómo la habían estafado o qué la había estafado, pero no pudo ver nada. La señora Flood cerró los ojos y divisó un puntito de luz, pero estaba tan lejos que no pudo fijarlo en su mente. Sintió como si le hubiesen bloqueado la entrada de algo. Se sentó y mantuvo la mirada fija, con los ojos cerrados, dentro de los ojos de Hazel, y sintió que por fin había llegado al principio de algo que le resultaba imposible comenzar y lo vio alejarse más y más, más y más lejos dentro de la oscuridad hasta que se convirtió en el puntito de luz (WB, 160).</w:t>
      </w:r>
    </w:p>
    <w:p>
      <w:pPr>
        <w:pStyle w:val="Firstparagraph"/>
        <w:bidi w:val="0"/>
        <w:jc w:val="left"/>
        <w:rPr>
          <w:lang w:val="es-AR" w:eastAsia="zxx" w:bidi="zxx"/>
        </w:rPr>
      </w:pPr>
      <w:r>
        <w:rPr>
          <w:lang w:val="es-AR" w:eastAsia="zxx" w:bidi="zxx"/>
        </w:rPr>
        <w:t>Sin dudas, Hazel Motes es uno de los personajes más poderosos dentro de la ficción de O’Connor: la autora lo describió como “un cristiano *malgré lui*”, quien, en última instancia, es incapaz de “deshacerse de la figura harapienta (Jesús) que se mueve de árbol en árbol en el fondo de su mente”.</w:t>
      </w:r>
      <w:r>
        <w:rPr>
          <w:rStyle w:val="FootnoteAnchor"/>
          <w:lang w:val="es-AR" w:eastAsia="zxx" w:bidi="zxx"/>
        </w:rPr>
        <w:footnoteReference w:id="24"/>
      </w:r>
      <w:r>
        <w:rPr>
          <w:lang w:val="es-AR" w:eastAsia="zxx" w:bidi="zxx"/>
        </w:rPr>
        <w:t xml:space="preserve"> El ascetismo que adopta en el final nos recuerda el martirio de los santos y, en especial, la vida de san Pablo, que también tuvo un periodo de ceguera y fue un perseguidor violento de cristianos antes de convertirse. En todo caso, resulta claro que el *frikismo* de Hazel encarna los rasgos definitorios del gótico sureño: violencia y violencia autoinfligida, asesinato, intolerancia, fanatismo y fundamentalismo religioso. Las palabras que expresa de modo introspectivo la casera de Hazel sobre el comportamiento excéntrico de su inquilino encapsulan el *frikismo* de la trama de la novela: “Bueno, no es normal. Es como una de esas historias sangrientas, es algo que la gente ha dejado de hacer, como hervir en aceite, o ser un santo, o emparedar gatos [. . .] No existe motivo para tal cosa. La gente ha dejado de hacerlo” (WB, 154). Sin embargo, no ha desaparecido la monstruosidad que Hazel representa. Por el contrario, ha trascendido las fronteras del sur estadounidense para sugerir la globalización de la violencia y el fanatismo religioso, que muchas veces estalla a través de ataques terroristas. Más aún, el *frikismo* de Hazel prefigura una variedad de aberraciones contemporáneas, como los desórdenes alimenticios, la fornicación con menores y la automutilación.</w:t>
      </w:r>
    </w:p>
    <w:p>
      <w:pPr>
        <w:pStyle w:val="TextBody"/>
        <w:bidi w:val="0"/>
        <w:jc w:val="left"/>
        <w:rPr>
          <w:lang w:val="es-AR" w:eastAsia="zxx" w:bidi="zxx"/>
        </w:rPr>
      </w:pPr>
      <w:r>
        <w:rPr>
          <w:lang w:val="es-AR" w:eastAsia="zxx" w:bidi="zxx"/>
        </w:rPr>
        <w:t>En contraste con este personaje, *Sangre sabia* presenta al contrapunto de Hazel, un chico de dieciocho años llamado Enoch Emery, que trabaja en un zoológico y se obsesiona con un "enano medio negro, muerto y reseco" (WB, 120) [N. de T.: La traducción es nuestra], una figura momificada exhibida en el museo de la ciudad. Un día, Enoch roba la momia y se la ofrece a Hazel como "el nuevo Jesús", el ídolo que la Iglesia sin Cristo necesita, pero que Hazel rechaza y destruye. Tras una serie de movimientos erráticos y solitarios, Enoch apuñala a un hombre disfrazado de Gonga —el “Monarca Gigante de la Selva” (WB, 121)— que promocionaba una película. Luego le roba el traje de gorila, entierra su propia ropa —sin advertir que estaba “enterrando a su antiguo yo” (WB, 135)— y se pone el disfraz robado. Como dice el narrador: “Ningún gorila existente, ya fuera en las selvas de África o en California, ni siquiera en los apartamentos más lujosos de Nueva York, fue más feliz en ese momento que este, cuyo dios finalmente lo había recompensado” (WB, 136).</w:t>
      </w:r>
    </w:p>
    <w:p>
      <w:pPr>
        <w:pStyle w:val="TextBody"/>
        <w:bidi w:val="0"/>
        <w:jc w:val="left"/>
        <w:rPr>
          <w:lang w:val="es-AR" w:eastAsia="zxx" w:bidi="zxx"/>
        </w:rPr>
      </w:pPr>
      <w:r>
        <w:rPr>
          <w:lang w:val="es-AR" w:eastAsia="zxx" w:bidi="zxx"/>
        </w:rPr>
        <w:t>De diferentes maneras, la narrativa retrata la degradación de Enoch y su progresivo descenso a la bestialidad. Orgulloso de su sangre sabia, cree estar destinado a una gran misión; quiere ser "EL hombre nuevo del futuro» y "ver una fila de gente esperando para estrechar su mano" (WB, 131). En realidad, no es más que un joven solitario y alienado, “dado a robar”, con “una afición por los supermercados” (WB, 89), y fascinado por el sensacionalismo que exhiben los cines.</w:t>
      </w:r>
    </w:p>
    <w:p>
      <w:pPr>
        <w:pStyle w:val="TextBody"/>
        <w:bidi w:val="0"/>
        <w:jc w:val="left"/>
        <w:rPr>
          <w:lang w:val="es-AR" w:eastAsia="zxx" w:bidi="zxx"/>
        </w:rPr>
      </w:pPr>
      <w:r>
        <w:rPr>
          <w:lang w:val="es-AR" w:eastAsia="zxx" w:bidi="zxx"/>
        </w:rPr>
        <w:t>Como era de esperar, las películas en cartel exhiben la misma violencia y el mismo frikismo que la trama de la novela: después de ver un cartel que muestra “a un monstruo metiendo a una joven en un incinerador”, Enoch no puede resistirse y ve tres películas seguidas. La primera trata sobre un científico llamado "El Ojo" que puede mutilar y robar partes del cuerpo por control remoto; la segunda, sobre la vida «en la Penitenciaría de la Isla del Diablo»; la tercera, "sobre un babuino llamado Lonnie que rescataba niños atractivos de un orfanato en llamas" (WB, 95). Ya convertido en ladrón, Enoch no llega a ser un científico, sino que elige transformarse en un simio, intentando imitar la fama de Gonga y Lonnie. Sin embargo, lejos de atraer la atención y el cariño de la gente, Enoch solo consigue que huyan aterrorizados ante su aparición. Imitando la apariencia de la figura momificada, se ha encogido hasta convertirse en un “eso”, “horrible y negro” (WB, 136).</w:t>
      </w:r>
    </w:p>
    <w:p>
      <w:pPr>
        <w:pStyle w:val="TextBody"/>
        <w:bidi w:val="0"/>
        <w:jc w:val="left"/>
        <w:rPr>
          <w:lang w:val="es-AR" w:eastAsia="zxx" w:bidi="zxx"/>
        </w:rPr>
      </w:pPr>
      <w:r>
        <w:rPr>
          <w:lang w:val="es-AR" w:eastAsia="zxx" w:bidi="zxx"/>
        </w:rPr>
        <w:t>Mientras que el frikismo de Hazel se orienta hacia la introspección, el ascetismo y la espiritualidad, la de Enoc se dirige hacia el materialismo, la degradación y la bestialidad.</w:t>
      </w:r>
      <w:r>
        <w:rPr>
          <w:rStyle w:val="FootnoteAnchor"/>
          <w:lang w:val="es-AR" w:eastAsia="zxx" w:bidi="zxx"/>
        </w:rPr>
        <w:footnoteReference w:id="25"/>
      </w:r>
      <w:r>
        <w:rPr>
          <w:lang w:val="es-AR" w:eastAsia="zxx" w:bidi="zxx"/>
        </w:rPr>
        <w:t xml:space="preserve"> Sus caminos se vuelven cada vez más divergentes, pero ambos personajes reflejan el nihilismo, la locura, la fragmentación y la alienación características de la vida urbana contemporánea; de hecho, el paisaje estéril de la novela recuerda a una versión sureña de *La Tierra Baldía* de Eliot.</w:t>
      </w:r>
      <w:r>
        <w:rPr>
          <w:rStyle w:val="FootnoteAnchor"/>
          <w:lang w:val="es-AR" w:eastAsia="zxx" w:bidi="zxx"/>
        </w:rPr>
        <w:footnoteReference w:id="26"/>
      </w:r>
      <w:r>
        <w:rPr>
          <w:lang w:val="es-AR" w:eastAsia="zxx" w:bidi="zxx"/>
        </w:rPr>
        <w:t xml:space="preserve"> Diez años después de su publicación, O’Connor describió </w:t>
      </w:r>
      <w:r>
        <w:rPr>
          <w:i/>
          <w:iCs/>
          <w:lang w:val="es-AR" w:eastAsia="zxx" w:bidi="zxx"/>
        </w:rPr>
        <w:t>WB</w:t>
      </w:r>
      <w:r>
        <w:rPr>
          <w:lang w:val="es-AR" w:eastAsia="zxx" w:bidi="zxx"/>
        </w:rPr>
        <w:t xml:space="preserve"> como “una novela cómica” que es “muy seria”.</w:t>
      </w:r>
      <w:r>
        <w:rPr>
          <w:rStyle w:val="FootnoteAnchor"/>
          <w:lang w:val="es-AR" w:eastAsia="zxx" w:bidi="zxx"/>
        </w:rPr>
        <w:footnoteReference w:id="27"/>
      </w:r>
      <w:r>
        <w:rPr>
          <w:lang w:val="es-AR" w:eastAsia="zxx" w:bidi="zxx"/>
        </w:rPr>
        <w:t xml:space="preserve"> Hoy en día, varias décadas después, la novela parece más oscura y realista, y las fuentes de su humor son más inquietantes y controvertidas que nunca.</w:t>
      </w:r>
    </w:p>
    <w:p>
      <w:pPr>
        <w:pStyle w:val="TextBody"/>
        <w:bidi w:val="0"/>
        <w:jc w:val="left"/>
        <w:rPr>
          <w:lang w:val="es-AR" w:eastAsia="zxx" w:bidi="zxx"/>
        </w:rPr>
      </w:pPr>
      <w:r>
        <w:rPr>
          <w:lang w:val="es-AR" w:eastAsia="zxx" w:bidi="zxx"/>
        </w:rPr>
        <w:t>Para concluir: los *freaks* de O’Connor, que aparentan ser ridículos y marginales, tienen un potencial poderoso, subversivo y profético: son figuras polifacéticas que se convierten en receptores de gracia y/o instrumentos de revelación. Su otredad aparente –—que remite a la simbolizada por el sur estadounidense—– revela verdades radicales, lo que provoca disrupción y cambio. Pese a su naturaleza arrogante, desmesurada o incluso diabólica, los *freaks* representan la posibilidad de la gracia y el poder del misterio. Son *freaks* de la cultura en vez de *freaks* de la naturaleza; esto es, ellos absorben el significado de su contexto histórico y social (el del sur rural y conservador de la década de 1950; los paisajes estériles urbanos poblados de excluidos, estafadores, predicadores y delincuentes) y lo revisten de sentido. Es importante notar que, a pesar de su religión católica romana, las epifanías de O’Connor no se ven precipitadas por el amor, sino por la violencia, lo que asocia a su ficción con la noción de “regeneración a través de la violencia”, un elemento de gran significación mítica en la historia y cultura de los Estados Unidos.</w:t>
      </w:r>
      <w:r>
        <w:rPr>
          <w:rStyle w:val="FootnoteAnchor"/>
          <w:lang w:val="es-AR" w:eastAsia="zxx" w:bidi="zxx"/>
        </w:rPr>
        <w:footnoteReference w:id="28"/>
      </w:r>
      <w:r>
        <w:rPr>
          <w:lang w:val="es-AR" w:eastAsia="zxx" w:bidi="zxx"/>
        </w:rPr>
        <w:t xml:space="preserve"> Ella lo localizó en el sur reaccionario, infradesarrollado y atormentado por Cristo —su tierra natal— pero la violencia y monstruosidad encarnada en los *freaks* de O’Connor han trascendido sus patrones grotescos y sus límites espacio-temporales para formar parte de nuestra vida diaria –para volverse el emblema de la condición humana en el s. ^^XXI^^.</w:t>
      </w:r>
      <w:r>
        <w:rPr>
          <w:rStyle w:val="FootnoteAnchor"/>
          <w:lang w:val="es-AR" w:eastAsia="zxx" w:bidi="zxx"/>
        </w:rPr>
        <w:footnoteReference w:id="29"/>
      </w:r>
    </w:p>
    <w:p>
      <w:pPr>
        <w:pStyle w:val="Firstparagraph"/>
        <w:bidi w:val="0"/>
        <w:spacing w:before="86" w:after="86"/>
        <w:jc w:val="left"/>
        <w:rPr>
          <w:lang w:val="es-AR" w:eastAsia="zxx" w:bidi="zxx"/>
        </w:rPr>
      </w:pPr>
      <w:r>
        <w:rPr>
          <w:lang w:val="es-AR" w:eastAsia="zxx" w:bidi="zxx"/>
        </w:rPr>
        <w:t>Molly Boyd añade: “sin embargo, el elemento crucial en la definición del grotesco es la yuxtaposición o fusión de elementos contrastivos, paradójicos e incompatibles, como un evento imposible u horroroso que se narra de forma muy realista y con gran nivel de detalle, lo que a menudo genera una respuesta graciosa”. Boyd, M. (2002). The Grotesque. En J. M. Flora &amp; L. H. MacKethan (Comp.), *The Companion to Southern Literature: Themes, Genres, Places, People, Movements, and Motifs* (pp. 321–324, 321). Baton Rouge: Louisiana State University Press. [La traducción es nuestra].</w:t>
      </w:r>
    </w:p>
    <w:sectPr>
      <w:footerReference w:type="default" r:id="rId2"/>
      <w:footnotePr>
        <w:numFmt w:val="decimal"/>
      </w:footnotePr>
      <w:type w:val="nextPage"/>
      <w:pgSz w:w="12240" w:h="15840"/>
      <w:pgMar w:left="1440" w:right="1440" w:gutter="0" w:header="0" w:top="1440" w:footer="1440" w:bottom="2016"/>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modern"/>
    <w:pitch w:val="fixed"/>
  </w:font>
  <w:font w:name="StarSymbol">
    <w:altName w:val="Arial Unicode MS"/>
    <w:charset w:val="01"/>
    <w:family w:val="auto"/>
    <w:pitch w:val="default"/>
  </w:font>
  <w:font w:name="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fldChar w:fldCharType="begin"/>
    </w:r>
    <w:r>
      <w:rPr/>
      <w:instrText xml:space="preserve"> PAGE </w:instrText>
    </w:r>
    <w:r>
      <w:rPr/>
      <w:fldChar w:fldCharType="separate"/>
    </w:r>
    <w:r>
      <w:rPr/>
      <w:t>12</w:t>
    </w:r>
    <w:r>
      <w:rPr/>
      <w:fldChar w:fldCharType="end"/>
    </w:r>
    <w:r>
      <w:rPr/>
      <w:t xml:space="preserve"> </w: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p>
  </w:footnote>
  <w:footnote w:id="1" w:type="continuationSeparator">
    <w:p>
      <w:pPr>
        <w:rPr>
          <w:sz w:val="12"/>
        </w:rPr>
      </w:pPr>
      <w:r/>
    </w:p>
  </w:footnote>
  <w:footnote w:id="2">
    <w:p>
      <w:pPr>
        <w:pStyle w:val="Footnote"/>
        <w:suppressLineNumbers/>
        <w:bidi w:val="0"/>
        <w:ind w:left="283" w:right="0" w:hanging="283"/>
        <w:jc w:val="left"/>
        <w:rPr/>
      </w:pPr>
      <w:r>
        <w:rPr>
          <w:rStyle w:val="FootnoteCharacters"/>
        </w:rPr>
        <w:footnoteRef/>
      </w:r>
      <w:r>
        <w:rPr/>
        <w:tab/>
        <w:t>Halberstam, J. (1995). Skin shows: Gothic horror and the technology of monsters. Duke University Press.</w:t>
      </w:r>
    </w:p>
  </w:footnote>
  <w:footnote w:id="3">
    <w:p>
      <w:pPr>
        <w:pStyle w:val="Footnote"/>
        <w:suppressLineNumbers/>
        <w:bidi w:val="0"/>
        <w:ind w:left="283" w:right="0" w:hanging="283"/>
        <w:jc w:val="left"/>
        <w:rPr/>
      </w:pPr>
      <w:r>
        <w:rPr>
          <w:rStyle w:val="FootnoteCharacters"/>
        </w:rPr>
        <w:footnoteRef/>
      </w:r>
      <w:r>
        <w:rPr/>
        <w:tab/>
        <w:t>Thomson, R. G. (1996). Introduction: From wonder to error: A genealogy of freak discourse in modernity. En R. G. Thomson (Ed.), Freakery: Cultural spectacles of the extraordinary body (pp. 1-19). Thomson, R. G. (1996). Nueva York, NY y Londres, Reino Unido: New York University Press</w:t>
      </w:r>
    </w:p>
  </w:footnote>
  <w:footnote w:id="4">
    <w:p>
      <w:pPr>
        <w:pStyle w:val="Footnote"/>
        <w:suppressLineNumbers/>
        <w:bidi w:val="0"/>
        <w:ind w:left="283" w:right="0" w:hanging="283"/>
        <w:jc w:val="left"/>
        <w:rPr/>
      </w:pPr>
      <w:r>
        <w:rPr>
          <w:rStyle w:val="FootnoteCharacters"/>
        </w:rPr>
        <w:footnoteRef/>
      </w:r>
      <w:r>
        <w:rPr/>
        <w:tab/>
        <w:t>Thomson, “Introduction,” 3–4.</w:t>
      </w:r>
    </w:p>
  </w:footnote>
  <w:footnote w:id="5">
    <w:p>
      <w:pPr>
        <w:pStyle w:val="Footnote"/>
        <w:suppressLineNumbers/>
        <w:bidi w:val="0"/>
        <w:ind w:left="283" w:right="0" w:hanging="283"/>
        <w:jc w:val="left"/>
        <w:rPr/>
      </w:pPr>
      <w:r>
        <w:rPr>
          <w:rStyle w:val="FootnoteCharacters"/>
        </w:rPr>
        <w:footnoteRef/>
      </w:r>
      <w:r>
        <w:rPr/>
        <w:tab/>
        <w:t>Thomson, “Introduction,” 3.</w:t>
      </w:r>
    </w:p>
  </w:footnote>
  <w:footnote w:id="6">
    <w:p>
      <w:pPr>
        <w:pStyle w:val="Footnote"/>
        <w:suppressLineNumbers/>
        <w:bidi w:val="0"/>
        <w:ind w:left="283" w:right="0" w:hanging="283"/>
        <w:jc w:val="left"/>
        <w:rPr/>
      </w:pPr>
      <w:r>
        <w:rPr>
          <w:rStyle w:val="FootnoteCharacters"/>
        </w:rPr>
        <w:footnoteRef/>
      </w:r>
      <w:r>
        <w:rPr/>
        <w:tab/>
        <w:t>O’Connor, F. (1969/1970). *Mystery and Manners* (S. &amp; R. Fitzgerald, Comp.). Nueva York: Farrar, Straus and Giroux, pp. 44–45. Las referencias posteriores en el texto se abrevian con las siglas MM.</w:t>
      </w:r>
    </w:p>
  </w:footnote>
  <w:footnote w:id="7">
    <w:p>
      <w:pPr>
        <w:pStyle w:val="Footnote"/>
        <w:suppressLineNumbers/>
        <w:bidi w:val="0"/>
        <w:ind w:left="283" w:right="0" w:hanging="283"/>
        <w:jc w:val="left"/>
        <w:rPr/>
      </w:pPr>
      <w:r>
        <w:rPr>
          <w:rStyle w:val="FootnoteCharacters"/>
        </w:rPr>
        <w:footnoteRef/>
      </w:r>
      <w:r>
        <w:rPr/>
        <w:tab/>
        <w:t>El término grotesco “se aplica al arte decorativo en esculturas, pinturas y en la arquitectura, y se caracteriza por la presencia de representaciones fantásticas de figuras humanas y animales, combinadas a menudo en distorsiones formales hasta el punto de lo absurdo, la fealdad y lo caricaturesco. Recibió ese nombre a partir de las pinturas y decoraciones antiguas que se hallaron en las cámaras subterráneas (*grotte*) de las ruinas romanas. Por extensión, el término se aplica a todo lo que tenga las cualidades del arte grotesco: bizarro, incongruente, feo, innatural, fantástico, anormal”. Harmon, W. (1936/2006). *A Handbook to Literature*. Upper Saddle River, NJ: Prentice Hall. p. 244. [La traducción es nuestra].</w:t>
        <w:br/>
      </w:r>
    </w:p>
  </w:footnote>
  <w:footnote w:id="8">
    <w:p>
      <w:pPr>
        <w:pStyle w:val="Footnote"/>
        <w:suppressLineNumbers/>
        <w:bidi w:val="0"/>
        <w:ind w:left="283" w:right="0" w:hanging="283"/>
        <w:jc w:val="left"/>
        <w:rPr/>
      </w:pPr>
      <w:r>
        <w:rPr>
          <w:rStyle w:val="FootnoteCharacters"/>
        </w:rPr>
        <w:footnoteRef/>
      </w:r>
      <w:r>
        <w:rPr/>
        <w:tab/>
        <w:t>O’Connor, F. (1979). *The Habit of Being* (S. Fitzgerald, Comp.). Nueva York: Farrar, Straus y Giroux. p. 105. [La traducción es nuestra].</w:t>
      </w:r>
    </w:p>
  </w:footnote>
  <w:footnote w:id="9">
    <w:p>
      <w:pPr>
        <w:pStyle w:val="Footnote"/>
        <w:suppressLineNumbers/>
        <w:bidi w:val="0"/>
        <w:ind w:left="283" w:right="0" w:hanging="283"/>
        <w:jc w:val="left"/>
        <w:rPr/>
      </w:pPr>
      <w:r>
        <w:rPr>
          <w:rStyle w:val="FootnoteCharacters"/>
        </w:rPr>
        <w:footnoteRef/>
      </w:r>
      <w:r>
        <w:rPr/>
        <w:tab/>
        <w:t>Boyd, “The Grotesque,” 323. [La traducción es nuestra].</w:t>
      </w:r>
    </w:p>
  </w:footnote>
  <w:footnote w:id="10">
    <w:p>
      <w:pPr>
        <w:pStyle w:val="Footnote"/>
        <w:suppressLineNumbers/>
        <w:bidi w:val="0"/>
        <w:ind w:left="283" w:right="0" w:hanging="283"/>
        <w:jc w:val="left"/>
        <w:rPr/>
      </w:pPr>
      <w:r>
        <w:rPr>
          <w:rStyle w:val="FootnoteCharacters"/>
        </w:rPr>
        <w:footnoteRef/>
      </w:r>
      <w:r>
        <w:rPr/>
        <w:tab/>
        <w:t>Boyd, “The Grotesque,” 324. [La traducción es nuestra].</w:t>
      </w:r>
    </w:p>
  </w:footnote>
  <w:footnote w:id="11">
    <w:p>
      <w:pPr>
        <w:pStyle w:val="Footnote"/>
        <w:suppressLineNumbers/>
        <w:bidi w:val="0"/>
        <w:ind w:left="283" w:right="0" w:hanging="283"/>
        <w:jc w:val="left"/>
        <w:rPr/>
      </w:pPr>
      <w:r>
        <w:rPr>
          <w:rStyle w:val="FootnoteCharacters"/>
        </w:rPr>
        <w:footnoteRef/>
      </w:r>
      <w:r>
        <w:rPr/>
        <w:tab/>
        <w:t>Marina Levina and Diem-My T. Bui, “Introduction: Toward a Comprehensive Monster Theory in the 21st Century,” en *Monster Culture in the 21st Century: A Reader,* editores Marina Levina y Diem-My T. Bui (Nueva York: Bloomsbury): 1–13, 5. [N. de T.:La traducción es nuestra]</w:t>
      </w:r>
    </w:p>
  </w:footnote>
  <w:footnote w:id="12">
    <w:p>
      <w:pPr>
        <w:pStyle w:val="Footnote"/>
        <w:suppressLineNumbers/>
        <w:bidi w:val="0"/>
        <w:ind w:left="283" w:right="0" w:hanging="283"/>
        <w:jc w:val="left"/>
        <w:rPr/>
      </w:pPr>
      <w:r>
        <w:rPr>
          <w:rStyle w:val="FootnoteCharacters"/>
        </w:rPr>
        <w:footnoteRef/>
      </w:r>
      <w:r>
        <w:rPr/>
        <w:tab/>
        <w:t>Harold Bloom, “Flannery O’Connor,” en *Genius: A Mosaic of One Hundred Exemplary Creative Minds* (Fourth Estate: Londres, 2002): 575–579, 575. [Traducción de Margarita Valencia Vargas. Barcelona: Anagrama. 2004]</w:t>
      </w:r>
    </w:p>
  </w:footnote>
  <w:footnote w:id="13">
    <w:p>
      <w:pPr>
        <w:pStyle w:val="Footnote"/>
        <w:suppressLineNumbers/>
        <w:bidi w:val="0"/>
        <w:ind w:left="283" w:right="0" w:hanging="283"/>
        <w:jc w:val="left"/>
        <w:rPr/>
      </w:pPr>
      <w:r>
        <w:rPr>
          <w:rStyle w:val="FootnoteCharacters"/>
        </w:rPr>
        <w:footnoteRef/>
      </w:r>
      <w:r>
        <w:rPr/>
        <w:tab/>
        <w:t>W. Scott Poole, "Monsters in America: Our Historical Obsession with the Hideous and the Haunting" (Waco, Texas: Baylor University Press, 2011), 18, 4. [N. de T.:La traducción es nuestra]</w:t>
      </w:r>
    </w:p>
  </w:footnote>
  <w:footnote w:id="14">
    <w:p>
      <w:pPr>
        <w:pStyle w:val="Footnote"/>
        <w:suppressLineNumbers/>
        <w:bidi w:val="0"/>
        <w:ind w:left="283" w:right="0" w:hanging="283"/>
        <w:jc w:val="left"/>
        <w:rPr/>
      </w:pPr>
      <w:r>
        <w:rPr>
          <w:rStyle w:val="FootnoteCharacters"/>
        </w:rPr>
        <w:footnoteRef/>
      </w:r>
      <w:r>
        <w:rPr/>
        <w:tab/>
        <w:t>Jeffrey Andrew Weinstock, “American Monsters,” en *A Companion to American Gothic,* editor Charles L. Crow (Malden y Oxford: Wiley Blackwell, 2014): 41–55, 45. [N. de T.:La traducción es nuestra]</w:t>
      </w:r>
    </w:p>
  </w:footnote>
  <w:footnote w:id="15">
    <w:p>
      <w:pPr>
        <w:pStyle w:val="Footnote"/>
        <w:suppressLineNumbers/>
        <w:bidi w:val="0"/>
        <w:ind w:left="283" w:right="0" w:hanging="283"/>
        <w:jc w:val="left"/>
        <w:rPr/>
      </w:pPr>
      <w:r>
        <w:rPr>
          <w:rStyle w:val="FootnoteCharacters"/>
        </w:rPr>
        <w:footnoteRef/>
      </w:r>
      <w:r>
        <w:rPr/>
        <w:tab/>
        <w:t>O’Connor, F. (1990). Cuentos completos (p. 117). Londres: Faber and Faber. Las referencias subsiguientes en el texto se indican con la abreviatura BH, correspondiente al cuento "Un hombre bueno es difícil de encontrar" de Flannery O’Connor..</w:t>
      </w:r>
    </w:p>
  </w:footnote>
  <w:footnote w:id="16">
    <w:p>
      <w:pPr>
        <w:pStyle w:val="Footnote"/>
        <w:suppressLineNumbers/>
        <w:bidi w:val="0"/>
        <w:ind w:left="283" w:right="0" w:hanging="283"/>
        <w:jc w:val="left"/>
        <w:rPr/>
      </w:pPr>
      <w:r>
        <w:rPr>
          <w:rStyle w:val="FootnoteCharacters"/>
        </w:rPr>
        <w:footnoteRef/>
      </w:r>
      <w:r>
        <w:rPr/>
        <w:tab/>
        <w:t>Flannery O’Connor, *The Complete Stories* (Londres: Faber y Faber, 1990), 276. [N. de T.: La traducción es nuestra] Las referencias subsiguientes en el texto se abrevian como BGC (*La buena gente del campo*).</w:t>
      </w:r>
    </w:p>
  </w:footnote>
  <w:footnote w:id="17">
    <w:p>
      <w:pPr>
        <w:pStyle w:val="Footnote"/>
        <w:suppressLineNumbers/>
        <w:bidi w:val="0"/>
        <w:ind w:left="283" w:right="0" w:hanging="283"/>
        <w:jc w:val="left"/>
        <w:rPr/>
      </w:pPr>
      <w:r>
        <w:rPr>
          <w:rStyle w:val="FootnoteCharacters"/>
        </w:rPr>
        <w:footnoteRef/>
      </w:r>
      <w:r>
        <w:rPr/>
        <w:tab/>
        <w:t>Según explica Ralph Wood, para la madre de Hulga, el nombre evoca “el casco de un barco de guerra ancho y vacío”. No obstante, “Cuando Flannery O’Connor visitó la universidad East Texas State College, en noviembre de 1962, dio su propia versión sobre el origen del nombre. Dijo que le llegó en un momento de pura inspiración, como un híbrido entre las palabras en inglés “huge” y “ugly” [^N. de T.]. [^N. de T.]: "Hulga" es un juego de palabras entre ugly (feo en inglés) y "huge" (enorme en inglés). Ralph C. Wood, *Flannery O’Connor and the Christ-Haunted South* (Grand Rapids, Michigan: Eerdmans, 2004), 200. [N. de T.: La traducción es nuestra]</w:t>
      </w:r>
    </w:p>
  </w:footnote>
  <w:footnote w:id="18">
    <w:p>
      <w:pPr>
        <w:pStyle w:val="Footnote"/>
        <w:suppressLineNumbers/>
        <w:bidi w:val="0"/>
        <w:ind w:left="283" w:right="0" w:hanging="283"/>
        <w:jc w:val="left"/>
        <w:rPr/>
      </w:pPr>
      <w:r>
        <w:rPr>
          <w:rStyle w:val="FootnoteCharacters"/>
        </w:rPr>
        <w:footnoteRef/>
      </w:r>
      <w:r>
        <w:rPr/>
        <w:tab/>
        <w:t>O'Connor, F. (2005). Cuentos completos (V. Ozores, C. F. Isicato, &amp; M. Covián Fasce, Trads.). Lumen.</w:t>
      </w:r>
    </w:p>
  </w:footnote>
  <w:footnote w:id="19">
    <w:p>
      <w:pPr>
        <w:pStyle w:val="Footnote"/>
        <w:suppressLineNumbers/>
        <w:bidi w:val="0"/>
        <w:ind w:left="283" w:right="0" w:hanging="283"/>
        <w:jc w:val="left"/>
        <w:rPr/>
      </w:pPr>
      <w:r>
        <w:rPr>
          <w:rStyle w:val="FootnoteCharacters"/>
        </w:rPr>
        <w:footnoteRef/>
      </w:r>
      <w:r>
        <w:rPr/>
        <w:tab/>
        <w:t xml:space="preserve">Véase Gray, R. (2000). *Southern Aberrations: Writers of the American South and the Problems of Regionalism*. Baton Rouge: Louisiana State University Press. 408. </w:t>
      </w:r>
    </w:p>
  </w:footnote>
  <w:footnote w:id="20">
    <w:p>
      <w:pPr>
        <w:pStyle w:val="Footnote"/>
        <w:suppressLineNumbers/>
        <w:bidi w:val="0"/>
        <w:ind w:left="283" w:right="0" w:hanging="283"/>
        <w:jc w:val="left"/>
        <w:rPr/>
      </w:pPr>
      <w:r>
        <w:rPr>
          <w:rStyle w:val="FootnoteCharacters"/>
        </w:rPr>
        <w:footnoteRef/>
      </w:r>
      <w:r>
        <w:rPr/>
        <w:tab/>
        <w:t>Gentry, M. B. (1986). *Flannery O’Connor’s religion of the grotesque*. Jackson: University Press of Mississippi. 119.</w:t>
      </w:r>
    </w:p>
  </w:footnote>
  <w:footnote w:id="21">
    <w:p>
      <w:pPr>
        <w:pStyle w:val="Footnote"/>
        <w:suppressLineNumbers/>
        <w:bidi w:val="0"/>
        <w:ind w:left="283" w:right="0" w:hanging="283"/>
        <w:jc w:val="left"/>
        <w:rPr/>
      </w:pPr>
      <w:r>
        <w:rPr>
          <w:rStyle w:val="FootnoteCharacters"/>
        </w:rPr>
        <w:footnoteRef/>
      </w:r>
      <w:r>
        <w:rPr/>
        <w:tab/>
        <w:t>Whitt, M. E. (1995). *Understanding Flannery O’Connor*. Columbia: University of South Carolina Press. 15.</w:t>
      </w:r>
    </w:p>
  </w:footnote>
  <w:footnote w:id="22">
    <w:p>
      <w:pPr>
        <w:pStyle w:val="Footnote"/>
        <w:suppressLineNumbers/>
        <w:bidi w:val="0"/>
        <w:ind w:left="283" w:right="0" w:hanging="283"/>
        <w:jc w:val="left"/>
        <w:rPr/>
      </w:pPr>
      <w:r>
        <w:rPr>
          <w:rStyle w:val="FootnoteCharacters"/>
        </w:rPr>
        <w:footnoteRef/>
      </w:r>
      <w:r>
        <w:rPr/>
        <w:tab/>
        <w:t>O’Connor, F. (1952/1996). *Wise Blood*. Londres: Faber and Faber. 11. Las referencias futuras en el texto se abreviarán como WB.</w:t>
      </w:r>
    </w:p>
  </w:footnote>
  <w:footnote w:id="23">
    <w:p>
      <w:pPr>
        <w:pStyle w:val="Footnote"/>
        <w:suppressLineNumbers/>
        <w:bidi w:val="0"/>
        <w:ind w:left="283" w:right="0" w:hanging="283"/>
        <w:jc w:val="left"/>
        <w:rPr/>
      </w:pPr>
      <w:r>
        <w:rPr>
          <w:rStyle w:val="FootnoteCharacters"/>
        </w:rPr>
        <w:footnoteRef/>
      </w:r>
      <w:r>
        <w:rPr/>
        <w:tab/>
        <w:t>En *Mystery and Manners*, O’Connor destaca el rol simbólico del auto de Hazel: “El automóvil color rata del héroe es su púlpito y su ataúd y también algo que él considera un medio de escape. Por supuesto, se equivoca al pensar que es un medio de escape, y en realidad no escapa de su encrucijada hasta que un patrullero destruye el auto. El auto es una especie de símbolo de la muerte en la vida, al igual que su ceguera simboliza la vida en la muerte. El hecho de que esos significados estén presentes le da relevancia al libro” (MM, 72). Lo que Hazel dice con arrogancia sobre su auto es igualmente significativo, sobre todo si se tiene en cuenta que es un vehículo destartalado de segunda mano: “Nadie que tenga un buen auto necesita justificarse” (WB, 76).</w:t>
      </w:r>
    </w:p>
  </w:footnote>
  <w:footnote w:id="24">
    <w:p>
      <w:pPr>
        <w:pStyle w:val="Footnote"/>
        <w:suppressLineNumbers/>
        <w:bidi w:val="0"/>
        <w:ind w:left="283" w:right="0" w:hanging="283"/>
        <w:jc w:val="left"/>
        <w:rPr/>
      </w:pPr>
      <w:r>
        <w:rPr>
          <w:rStyle w:val="FootnoteCharacters"/>
        </w:rPr>
        <w:footnoteRef/>
      </w:r>
      <w:r>
        <w:rPr/>
        <w:tab/>
        <w:t>Flannery O'Connor, "Nota del autor a la segunda edición", en *Wise Blood* (Londres: Faber y Faber, 1996), xiii. [N. de T.: La traducción es nuestra]</w:t>
      </w:r>
    </w:p>
  </w:footnote>
  <w:footnote w:id="25">
    <w:p>
      <w:pPr>
        <w:pStyle w:val="Footnote"/>
        <w:suppressLineNumbers/>
        <w:bidi w:val="0"/>
        <w:ind w:left="283" w:right="0" w:hanging="283"/>
        <w:jc w:val="left"/>
        <w:rPr/>
      </w:pPr>
      <w:r>
        <w:rPr>
          <w:rStyle w:val="FootnoteCharacters"/>
        </w:rPr>
        <w:footnoteRef/>
      </w:r>
      <w:r>
        <w:rPr/>
        <w:tab/>
        <w:t>El nombre del protagonista simboliza la visión: en hebreo, Hazel significa “el que ve a Dios”; en inglés, su forma abreviada, Haze, sugiere dificultad para ver con claridad. Motes alude al pasaje del Evangelio según san Mateo (7:3–5) en el que Jesús advierte contra juzgar a los demás: “¿O cómo dirás a tu hermano: “Déjame sacar la paja de tu ojo”, cuando tienes la viga en el tuyo?" (Sociedades Bíblicas, 1995). Irónicamente, Hazel es incapaz de ver con claridad hasta que se ciega a sí mismo. El nombre Enoc también es bíblico y refleja la fragmentación del personaje, ya que se refiere a dos figuras bíblicas opuestas: Enoc, el padre de Matusalén, y Enoc, el hijo de Caín. Tal como argumenta Jordan Cofer, “la bifurcación de Enoc [entre lo espiritual y lo carnal] ayuda a los lectores a entender la decisión final por lo físico (Enoc, el hijo de Caín), una explicación para su salida de la novela en un traje de gorila”. Cofer, J. *The Gospel According to Flannery O’Connor: Examining the Role of the Bible in Flannery O’Connor’s Fiction* (Nueva York: Bloomsbury, 2014), 44–46. [La traducción es nuestra].</w:t>
      </w:r>
    </w:p>
  </w:footnote>
  <w:footnote w:id="26">
    <w:p>
      <w:pPr>
        <w:pStyle w:val="Footnote"/>
        <w:suppressLineNumbers/>
        <w:bidi w:val="0"/>
        <w:ind w:left="283" w:right="0" w:hanging="283"/>
        <w:jc w:val="left"/>
        <w:rPr/>
      </w:pPr>
      <w:r>
        <w:rPr>
          <w:rStyle w:val="FootnoteCharacters"/>
        </w:rPr>
        <w:footnoteRef/>
      </w:r>
      <w:r>
        <w:rPr/>
        <w:tab/>
        <w:t>Varios críticos han señalado la influencia del poema de Eliot en WB. Por ejemplo, Sally Fitzgerald, compiladora y amiga de O’Connor, sostiene que, aunque escritores como Sófocles, E.A. Poe y Nathaniel West fueron fuentes de inspiración para esta novela, “fueron Eliot y su Tierra Baldía quienes le proporcionaron [a O’Connor] el primer impulso para escribir un libro como WB”. Fitzgerald, S. "The Owl and the Nightingale". *Flannery O’Connor Bulletin* 13 (1984): 44–58, 55. [La traducción es nuestra].</w:t>
      </w:r>
    </w:p>
  </w:footnote>
  <w:footnote w:id="27">
    <w:p>
      <w:pPr>
        <w:pStyle w:val="Footnote"/>
        <w:suppressLineNumbers/>
        <w:bidi w:val="0"/>
        <w:ind w:left="283" w:right="0" w:hanging="283"/>
        <w:jc w:val="left"/>
        <w:rPr/>
      </w:pPr>
      <w:r>
        <w:rPr>
          <w:rStyle w:val="FootnoteCharacters"/>
        </w:rPr>
        <w:footnoteRef/>
      </w:r>
      <w:r>
        <w:rPr/>
        <w:tab/>
        <w:t>O’Connor, "Nota de la autora", xiii.</w:t>
      </w:r>
    </w:p>
  </w:footnote>
  <w:footnote w:id="28">
    <w:p>
      <w:pPr>
        <w:pStyle w:val="Footnote"/>
        <w:suppressLineNumbers/>
        <w:bidi w:val="0"/>
        <w:ind w:left="283" w:right="0" w:hanging="283"/>
        <w:jc w:val="left"/>
        <w:rPr/>
      </w:pPr>
      <w:r>
        <w:rPr>
          <w:rStyle w:val="FootnoteCharacters"/>
        </w:rPr>
        <w:footnoteRef/>
      </w:r>
      <w:r>
        <w:rPr/>
        <w:tab/>
        <w:t>Véase Slotkin, R. (1998). *Gunfighter Nation: The Myth of the Frontier in Twentieth-Century America*. Norman: University of Oklahoma Press.</w:t>
      </w:r>
    </w:p>
  </w:footnote>
  <w:footnote w:id="29">
    <w:p>
      <w:pPr>
        <w:pStyle w:val="Footnote"/>
        <w:suppressLineNumbers/>
        <w:bidi w:val="0"/>
        <w:ind w:left="283" w:right="0" w:hanging="283"/>
        <w:jc w:val="left"/>
        <w:rPr/>
      </w:pPr>
      <w:r>
        <w:rPr>
          <w:rStyle w:val="FootnoteCharacters"/>
        </w:rPr>
        <w:footnoteRef/>
      </w:r>
      <w:r>
        <w:rPr/>
        <w:tab/>
        <w:t>La investigación realizada para la redacción de este artículo forma parte de un proyecto financiado por el Ministerio de Economía, Industria y Competitividad de España (MINECO) y el Fondo Europeo de Desarrollo Regional (DGI/ERDF) (código FFI2015-63506P). La autora también agradece el apoyo del Gobierno de Aragón y del Fondo Social Europeo (código H03_17R).</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lvlText w:val="%1"/>
      <w:lvlJc w:val="left"/>
      <w:pPr>
        <w:tabs>
          <w:tab w:val="num" w:pos="0"/>
        </w:tabs>
        <w:ind w:left="0" w:hanging="0"/>
      </w:pPr>
    </w:lvl>
    <w:lvl w:ilvl="1">
      <w:start w:val="1"/>
      <w:pStyle w:val="Heading2"/>
      <w:numFmt w:val="none"/>
      <w:lvlText w:val="%2"/>
      <w:lvlJc w:val="left"/>
      <w:pPr>
        <w:tabs>
          <w:tab w:val="num" w:pos="0"/>
        </w:tabs>
        <w:ind w:left="0" w:hanging="0"/>
      </w:pPr>
    </w:lvl>
    <w:lvl w:ilvl="2">
      <w:start w:val="1"/>
      <w:pStyle w:val="Heading3"/>
      <w:numFmt w:val="none"/>
      <w:lvlText w:val="%3"/>
      <w:lvlJc w:val="left"/>
      <w:pPr>
        <w:tabs>
          <w:tab w:val="num" w:pos="0"/>
        </w:tabs>
        <w:ind w:left="0" w:hanging="0"/>
      </w:pPr>
    </w:lvl>
    <w:lvl w:ilvl="3">
      <w:start w:val="1"/>
      <w:pStyle w:val="Heading4"/>
      <w:numFmt w:val="none"/>
      <w:lvlText w:val="%4"/>
      <w:lvlJc w:val="left"/>
      <w:pPr>
        <w:tabs>
          <w:tab w:val="num" w:pos="0"/>
        </w:tabs>
        <w:ind w:left="0" w:hanging="0"/>
      </w:pPr>
    </w:lvl>
    <w:lvl w:ilvl="4">
      <w:start w:val="1"/>
      <w:pStyle w:val="Heading5"/>
      <w:numFmt w:val="none"/>
      <w:lvlText w:val="%5"/>
      <w:lvlJc w:val="left"/>
      <w:pPr>
        <w:tabs>
          <w:tab w:val="num" w:pos="0"/>
        </w:tabs>
        <w:ind w:left="0" w:hanging="0"/>
      </w:pPr>
    </w:lvl>
    <w:lvl w:ilvl="5">
      <w:start w:val="1"/>
      <w:pStyle w:val="Heading6"/>
      <w:numFmt w:val="none"/>
      <w:lvlText w:val="%6"/>
      <w:lvlJc w:val="left"/>
      <w:pPr>
        <w:tabs>
          <w:tab w:val="num" w:pos="0"/>
        </w:tabs>
        <w:ind w:left="0" w:hanging="0"/>
      </w:pPr>
    </w:lvl>
    <w:lvl w:ilvl="6">
      <w:start w:val="1"/>
      <w:numFmt w:val="none"/>
      <w:lvlText w:val="%7"/>
      <w:lvlJc w:val="left"/>
      <w:pPr>
        <w:tabs>
          <w:tab w:val="num" w:pos="0"/>
        </w:tabs>
        <w:ind w:left="0" w:hanging="0"/>
      </w:pPr>
    </w:lvl>
    <w:lvl w:ilvl="7">
      <w:start w:val="1"/>
      <w:numFmt w:val="none"/>
      <w:lvlText w:val="%8"/>
      <w:lvlJc w:val="left"/>
      <w:pPr>
        <w:tabs>
          <w:tab w:val="num" w:pos="0"/>
        </w:tabs>
        <w:ind w:left="0" w:hanging="0"/>
      </w:pPr>
    </w:lvl>
    <w:lvl w:ilvl="8">
      <w:start w:val="1"/>
      <w:numFmt w:val="none"/>
      <w:lvlText w:val="%9"/>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20"/>
  <w:defaultTabStop w:val="709"/>
  <w:autoHyphenation w:val="true"/>
  <w:footnotePr>
    <w:numFmt w:val="decimal"/>
    <w:footnote w:id="0"/>
    <w:footnote w:id="1"/>
  </w:footnotePr>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Lucida Sans Unicode" w:cs="Tahoma"/>
        <w:kern w:val="2"/>
        <w:sz w:val="24"/>
        <w:szCs w:val="24"/>
        <w:lang w:val="en-US" w:eastAsia="zxx" w:bidi="zxx"/>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Times New Roman" w:hAnsi="Times New Roman" w:eastAsia="Lucida Sans Unicode" w:cs="Tahoma"/>
      <w:color w:val="auto"/>
      <w:kern w:val="2"/>
      <w:sz w:val="24"/>
      <w:szCs w:val="24"/>
      <w:lang w:val="en-US" w:eastAsia="zxx" w:bidi="zxx"/>
    </w:rPr>
  </w:style>
  <w:style w:type="paragraph" w:styleId="Heading1">
    <w:name w:val="Heading 1"/>
    <w:basedOn w:val="Heading"/>
    <w:next w:val="TextBody"/>
    <w:qFormat/>
    <w:pPr>
      <w:numPr>
        <w:ilvl w:val="0"/>
        <w:numId w:val="1"/>
      </w:numPr>
      <w:outlineLvl w:val="0"/>
    </w:pPr>
    <w:rPr>
      <w:b/>
      <w:bCs/>
      <w:sz w:val="32"/>
      <w:szCs w:val="32"/>
    </w:rPr>
  </w:style>
  <w:style w:type="paragraph" w:styleId="Heading2">
    <w:name w:val="Heading 2"/>
    <w:basedOn w:val="Heading"/>
    <w:next w:val="TextBody"/>
    <w:qFormat/>
    <w:pPr>
      <w:numPr>
        <w:ilvl w:val="1"/>
        <w:numId w:val="1"/>
      </w:numPr>
      <w:outlineLvl w:val="1"/>
    </w:pPr>
    <w:rPr>
      <w:b/>
      <w:bCs/>
      <w:i/>
      <w:iCs/>
      <w:sz w:val="28"/>
      <w:szCs w:val="28"/>
    </w:rPr>
  </w:style>
  <w:style w:type="paragraph" w:styleId="Heading3">
    <w:name w:val="Heading 3"/>
    <w:basedOn w:val="Heading"/>
    <w:next w:val="TextBody"/>
    <w:qFormat/>
    <w:pPr>
      <w:numPr>
        <w:ilvl w:val="2"/>
        <w:numId w:val="1"/>
      </w:numPr>
      <w:outlineLvl w:val="2"/>
    </w:pPr>
    <w:rPr>
      <w:b/>
      <w:bCs/>
      <w:sz w:val="28"/>
      <w:szCs w:val="28"/>
    </w:rPr>
  </w:style>
  <w:style w:type="paragraph" w:styleId="Heading4">
    <w:name w:val="Heading 4"/>
    <w:basedOn w:val="Heading"/>
    <w:next w:val="TextBody"/>
    <w:qFormat/>
    <w:pPr>
      <w:numPr>
        <w:ilvl w:val="3"/>
        <w:numId w:val="1"/>
      </w:numPr>
      <w:outlineLvl w:val="3"/>
    </w:pPr>
    <w:rPr>
      <w:b/>
      <w:bCs/>
      <w:i/>
      <w:iCs/>
      <w:sz w:val="24"/>
      <w:szCs w:val="24"/>
    </w:rPr>
  </w:style>
  <w:style w:type="paragraph" w:styleId="Heading5">
    <w:name w:val="Heading 5"/>
    <w:basedOn w:val="Heading"/>
    <w:next w:val="TextBody"/>
    <w:qFormat/>
    <w:pPr>
      <w:numPr>
        <w:ilvl w:val="4"/>
        <w:numId w:val="1"/>
      </w:numPr>
      <w:outlineLvl w:val="4"/>
    </w:pPr>
    <w:rPr>
      <w:b/>
      <w:bCs/>
      <w:sz w:val="24"/>
      <w:szCs w:val="24"/>
    </w:rPr>
  </w:style>
  <w:style w:type="paragraph" w:styleId="Heading6">
    <w:name w:val="Heading 6"/>
    <w:basedOn w:val="Heading"/>
    <w:next w:val="TextBody"/>
    <w:qFormat/>
    <w:pPr>
      <w:numPr>
        <w:ilvl w:val="5"/>
        <w:numId w:val="1"/>
      </w:numPr>
      <w:outlineLvl w:val="5"/>
    </w:pPr>
    <w:rPr>
      <w:b/>
      <w:bCs/>
      <w:sz w:val="21"/>
      <w:szCs w:val="21"/>
    </w:rPr>
  </w:style>
  <w:style w:type="character" w:styleId="SourceText">
    <w:name w:val="Source_Text"/>
    <w:qFormat/>
    <w:rPr>
      <w:rFonts w:ascii="Courier New" w:hAnsi="Courier New" w:eastAsia="Courier New" w:cs="Courier New"/>
      <w:sz w:val="20"/>
      <w:szCs w:val="20"/>
    </w:rPr>
  </w:style>
  <w:style w:type="character" w:styleId="NumberingSymbols">
    <w:name w:val="Numbering Symbols"/>
    <w:qFormat/>
    <w:rPr/>
  </w:style>
  <w:style w:type="character" w:styleId="Bullets">
    <w:name w:val="Bullets"/>
    <w:qFormat/>
    <w:rPr>
      <w:rFonts w:ascii="StarSymbol" w:hAnsi="StarSymbol" w:eastAsia="StarSymbol" w:cs="StarSymbol"/>
      <w:sz w:val="18"/>
      <w:szCs w:val="18"/>
    </w:rPr>
  </w:style>
  <w:style w:type="character" w:styleId="Emphasis">
    <w:name w:val="Emphasis"/>
    <w:qFormat/>
    <w:rPr>
      <w:i/>
      <w:iCs/>
    </w:rPr>
  </w:style>
  <w:style w:type="character" w:styleId="StrongEmphasis">
    <w:name w:val="Strong"/>
    <w:qFormat/>
    <w:rPr>
      <w:b/>
      <w:bCs/>
    </w:rPr>
  </w:style>
  <w:style w:type="character" w:styleId="Strikeout">
    <w:name w:val="Strikeout"/>
    <w:qFormat/>
    <w:rPr>
      <w:strike/>
    </w:rPr>
  </w:style>
  <w:style w:type="character" w:styleId="Superscript">
    <w:name w:val="Superscript"/>
    <w:qFormat/>
    <w:rPr>
      <w:vertAlign w:val="superscript"/>
    </w:rPr>
  </w:style>
  <w:style w:type="character" w:styleId="Subscript">
    <w:name w:val="Subscript"/>
    <w:qFormat/>
    <w:rPr>
      <w:vertAlign w:val="subscript"/>
    </w:rPr>
  </w:style>
  <w:style w:type="character" w:styleId="Quotation">
    <w:name w:val="Quotation"/>
    <w:qFormat/>
    <w:rPr>
      <w:i/>
      <w:iCs/>
    </w:rPr>
  </w:style>
  <w:style w:type="character" w:styleId="Teletype">
    <w:name w:val="Teletype"/>
    <w:qFormat/>
    <w:rPr>
      <w:rFonts w:ascii="Courier New" w:hAnsi="Courier New" w:eastAsia="Courier New" w:cs="Courier New"/>
    </w:rPr>
  </w:style>
  <w:style w:type="character" w:styleId="InternetLink">
    <w:name w:val="Hyperlink"/>
    <w:rPr>
      <w:color w:val="000080"/>
      <w:u w:val="single"/>
    </w:rPr>
  </w:style>
  <w:style w:type="character" w:styleId="FootnoteCharacters">
    <w:name w:val="Footnote Characters"/>
    <w:qFormat/>
    <w:rPr/>
  </w:style>
  <w:style w:type="character" w:styleId="FootnoteAnchor">
    <w:name w:val="Footnote Reference"/>
    <w:rPr>
      <w:vertAlign w:val="superscript"/>
    </w:rPr>
  </w:style>
  <w:style w:type="character" w:styleId="Definition">
    <w:name w:val="Definition"/>
    <w:qFormat/>
    <w:rPr/>
  </w:style>
  <w:style w:type="character" w:styleId="EndnoteAnchor">
    <w:name w:val="Endnote Reference"/>
    <w:rPr>
      <w:vertAlign w:val="superscript"/>
    </w:rPr>
  </w:style>
  <w:style w:type="character" w:styleId="EndnoteCharacters">
    <w:name w:val="Endnote Characters"/>
    <w:qFormat/>
    <w:rPr/>
  </w:style>
  <w:style w:type="paragraph" w:styleId="Author">
    <w:name w:val="Author"/>
    <w:basedOn w:val="Normal"/>
    <w:qFormat/>
    <w:pPr>
      <w:jc w:val="center"/>
    </w:pPr>
    <w:rPr/>
  </w:style>
  <w:style w:type="paragraph" w:styleId="Date">
    <w:name w:val="Date"/>
    <w:basedOn w:val="Normal"/>
    <w:qFormat/>
    <w:pPr>
      <w:jc w:val="center"/>
    </w:pPr>
    <w:rPr/>
  </w:style>
  <w:style w:type="paragraph" w:styleId="Abstract">
    <w:name w:val="Abstract"/>
    <w:basedOn w:val="Normal"/>
    <w:qFormat/>
    <w:pPr>
      <w:spacing w:before="144" w:after="144"/>
      <w:ind w:left="567" w:right="567" w:hanging="0"/>
    </w:pPr>
    <w:rPr/>
  </w:style>
  <w:style w:type="paragraph" w:styleId="Heading">
    <w:name w:val="Heading"/>
    <w:basedOn w:val="Normal"/>
    <w:next w:val="TextBody"/>
    <w:qFormat/>
    <w:pPr>
      <w:keepNext w:val="true"/>
      <w:spacing w:before="240" w:after="120"/>
    </w:pPr>
    <w:rPr>
      <w:rFonts w:ascii="Arial" w:hAnsi="Arial" w:eastAsia="Lucida Sans Unicode" w:cs="Tahoma"/>
      <w:sz w:val="28"/>
      <w:szCs w:val="28"/>
    </w:rPr>
  </w:style>
  <w:style w:type="paragraph" w:styleId="TextBody">
    <w:name w:val="Body Text"/>
    <w:basedOn w:val="Normal"/>
    <w:pPr>
      <w:spacing w:before="86" w:after="86"/>
    </w:pPr>
    <w:rPr/>
  </w:style>
  <w:style w:type="paragraph" w:styleId="List">
    <w:name w:val="List"/>
    <w:basedOn w:val="TextBody"/>
    <w:pPr/>
    <w:rPr>
      <w:rFonts w:cs="Tahoma"/>
    </w:rPr>
  </w:style>
  <w:style w:type="paragraph" w:styleId="Caption">
    <w:name w:val="Caption"/>
    <w:basedOn w:val="Normal"/>
    <w:qFormat/>
    <w:pPr>
      <w:suppressLineNumbers/>
      <w:spacing w:before="120" w:after="120"/>
    </w:pPr>
    <w:rPr>
      <w:rFonts w:cs="Tahoma"/>
      <w:i/>
      <w:iCs/>
      <w:sz w:val="24"/>
      <w:szCs w:val="24"/>
    </w:rPr>
  </w:style>
  <w:style w:type="paragraph" w:styleId="Table">
    <w:name w:val="Table"/>
    <w:basedOn w:val="Caption"/>
    <w:qFormat/>
    <w:pPr/>
    <w:rPr/>
  </w:style>
  <w:style w:type="paragraph" w:styleId="FigureCaption">
    <w:name w:val="FigureCaption"/>
    <w:basedOn w:val="Caption"/>
    <w:qFormat/>
    <w:pPr/>
    <w:rPr/>
  </w:style>
  <w:style w:type="paragraph" w:styleId="Figure">
    <w:name w:val="Figure"/>
    <w:basedOn w:val="Normal"/>
    <w:qFormat/>
    <w:pPr>
      <w:suppressLineNumbers/>
    </w:pPr>
    <w:rPr/>
  </w:style>
  <w:style w:type="paragraph" w:styleId="FigureWithCaption">
    <w:name w:val="FigureWithCaption"/>
    <w:basedOn w:val="Figure"/>
    <w:qFormat/>
    <w:pPr>
      <w:keepNext w:val="true"/>
      <w:suppressLineNumbers/>
    </w:pPr>
    <w:rPr/>
  </w:style>
  <w:style w:type="paragraph" w:styleId="Index">
    <w:name w:val="Index"/>
    <w:basedOn w:val="Normal"/>
    <w:qFormat/>
    <w:pPr>
      <w:suppressLineNumbers/>
    </w:pPr>
    <w:rPr>
      <w:rFonts w:cs="Tahoma"/>
    </w:rPr>
  </w:style>
  <w:style w:type="paragraph" w:styleId="Quotations">
    <w:name w:val="Quotations"/>
    <w:basedOn w:val="Normal"/>
    <w:qFormat/>
    <w:pPr>
      <w:spacing w:before="144" w:after="144"/>
      <w:ind w:left="567" w:right="567" w:hanging="0"/>
    </w:pPr>
    <w:rPr/>
  </w:style>
  <w:style w:type="paragraph" w:styleId="PreformattedText">
    <w:name w:val="Preformatted Text"/>
    <w:basedOn w:val="Normal"/>
    <w:qFormat/>
    <w:pPr>
      <w:spacing w:before="0" w:after="0"/>
    </w:pPr>
    <w:rPr>
      <w:rFonts w:ascii="Courier New" w:hAnsi="Courier New" w:eastAsia="Courier New" w:cs="Courier New"/>
      <w:sz w:val="20"/>
      <w:szCs w:val="20"/>
    </w:rPr>
  </w:style>
  <w:style w:type="paragraph" w:styleId="DefinitionTerm">
    <w:name w:val="Definition Term"/>
    <w:basedOn w:val="Normal"/>
    <w:next w:val="DefinitionDefinition"/>
    <w:qFormat/>
    <w:pPr>
      <w:spacing w:before="86" w:after="86"/>
    </w:pPr>
    <w:rPr/>
  </w:style>
  <w:style w:type="paragraph" w:styleId="DefinitionDefinition">
    <w:name w:val="Definition Definition"/>
    <w:basedOn w:val="Normal"/>
    <w:next w:val="TextBody"/>
    <w:qFormat/>
    <w:pPr>
      <w:ind w:left="720" w:right="0" w:hanging="0"/>
    </w:pPr>
    <w:rPr/>
  </w:style>
  <w:style w:type="paragraph" w:styleId="TableContents">
    <w:name w:val="Table Contents"/>
    <w:basedOn w:val="Normal"/>
    <w:qFormat/>
    <w:pPr>
      <w:suppressLineNumbers/>
      <w:ind w:left="43" w:right="43" w:hanging="0"/>
    </w:pPr>
    <w:rPr/>
  </w:style>
  <w:style w:type="paragraph" w:styleId="TableHeading">
    <w:name w:val="Table Heading"/>
    <w:basedOn w:val="TableContents"/>
    <w:qFormat/>
    <w:pPr>
      <w:suppressLineNumbers/>
      <w:ind w:left="43" w:right="43" w:hanging="0"/>
      <w:jc w:val="left"/>
    </w:pPr>
    <w:rPr>
      <w:b/>
      <w:bCs/>
    </w:rPr>
  </w:style>
  <w:style w:type="paragraph" w:styleId="Footnote">
    <w:name w:val="Footnote Text"/>
    <w:basedOn w:val="Normal"/>
    <w:pPr>
      <w:suppressLineNumbers/>
      <w:ind w:left="283" w:right="0" w:hanging="283"/>
    </w:pPr>
    <w:rPr>
      <w:sz w:val="20"/>
      <w:szCs w:val="20"/>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Normal"/>
    <w:pPr>
      <w:suppressLineNumbers/>
      <w:tabs>
        <w:tab w:val="clear" w:pos="709"/>
        <w:tab w:val="center" w:pos="4680" w:leader="none"/>
        <w:tab w:val="right" w:pos="9360" w:leader="none"/>
      </w:tabs>
    </w:pPr>
    <w:rPr/>
  </w:style>
  <w:style w:type="paragraph" w:styleId="DefinitionTermTight">
    <w:name w:val="Definition Term Tight"/>
    <w:basedOn w:val="Normal"/>
    <w:next w:val="DefinitionDefinitionTight"/>
    <w:qFormat/>
    <w:pPr>
      <w:spacing w:before="115" w:after="115"/>
    </w:pPr>
    <w:rPr/>
  </w:style>
  <w:style w:type="paragraph" w:styleId="DefinitionDefinitionTight">
    <w:name w:val="Definition Definition Tight"/>
    <w:basedOn w:val="Normal"/>
    <w:qFormat/>
    <w:pPr>
      <w:spacing w:before="0" w:after="0"/>
      <w:ind w:left="720" w:right="0" w:hanging="0"/>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Firstparagraph">
    <w:name w:val="First paragraph"/>
    <w:basedOn w:val="TextBody"/>
    <w:next w:val="TextBody"/>
    <w:qFormat/>
    <w:pPr/>
    <w:rPr/>
  </w:style>
  <w:style w:type="numbering" w:styleId="Bullet">
    <w:name w:val="Bullet •"/>
    <w:qFormat/>
  </w:style>
  <w:style w:type="numbering" w:styleId="Bullet1">
    <w:name w:val="Bullet –"/>
    <w:qFormat/>
  </w:style>
  <w:style w:type="numbering" w:styleId="Bullet2">
    <w:name w:val="Bullet "/>
    <w:qFormat/>
  </w:style>
  <w:style w:type="numbering" w:styleId="Bullet3">
    <w:name w:val="Bullet "/>
    <w:qFormat/>
  </w:style>
  <w:style w:type="numbering" w:styleId="Bullet4">
    <w:name w:val="Bullet "/>
    <w:qFormat/>
  </w:style>
  <w:style w:type="numbering" w:styleId="Numbering1">
    <w:name w:val="Numbering 1"/>
    <w:qFormat/>
  </w:style>
  <w:style w:type="numbering" w:styleId="Numbering2">
    <w:name w:val="Numbering 2"/>
    <w:qFormat/>
  </w:style>
  <w:style w:type="numbering" w:styleId="Numbering3">
    <w:name w:val="Numbering 3"/>
    <w:qFormat/>
  </w:style>
  <w:style w:type="numbering" w:styleId="Numbering4">
    <w:name w:val="Numbering 4"/>
    <w:qFormat/>
  </w:style>
  <w:style w:type="numbering" w:styleId="Numbering5">
    <w:name w:val="Numbering 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notes" Target="footnotes.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TotalTime>
  <Application>LibreOffice/7.4.7.2$Linux_X86_64 LibreOffice_project/40$Build-2</Application>
  <AppVersion>15.0000</AppVersion>
  <Pages>12</Pages>
  <Words>6968</Words>
  <Characters>35558</Characters>
  <CharactersWithSpaces>42450</CharactersWithSpaces>
  <Paragraphs>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2025-08-11T19:22:14Z</dcterms:created>
  <dc:creator/>
  <dc:description/>
  <cp:keywords/>
  <dc:language>es-AR</dc:language>
  <cp:lastModifiedBy>Gabriel Torem</cp:lastModifiedBy>
  <dcterms:modified xsi:type="dcterms:W3CDTF">2025-11-04T11:03:37Z</dcterms:modified>
  <cp:revision>1</cp:revision>
  <dc:subject/>
  <dc:title/>
</cp:coreProperties>
</file>